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Time Series Analysis Report</w:t>
      </w:r>
    </w:p>
    <w:p>
      <w:pPr>
        <w:jc w:val="center"/>
      </w:pPr>
      <w:r>
        <w:rPr>
          <w:color w:val="666666"/>
          <w:sz w:val="28"/>
          <w:szCs w:val="28"/>
        </w:rPr>
        <w:t xml:space="preserve">Retail Sales Data</w:t>
      </w:r>
    </w:p>
    <w:p/>
    <w:p>
      <w:pPr>
        <w:pStyle w:val="Heading1"/>
      </w:pPr>
      <w:r>
        <w:t xml:space="preserve">Executive Summary</w:t>
      </w:r>
    </w:p>
    <w:p>
      <w:r>
        <w:t xml:space="preserve">This report presents a comprehensive diagnostic analysis of the retail sales time series data spanning from 2015-01-01 to 2024-12-01 with 120 monthly observations.</w:t>
      </w:r>
    </w:p>
    <w:p/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t xml:space="preserve">The data is FORECASTABLE - exhibits predictable patterns suitable for forecasting</w:t>
      </w:r>
    </w:p>
    <w:p>
      <w:pPr>
        <w:pStyle w:val="ListParagraph"/>
        <w:numPr>
          <w:ilvl w:val="0"/>
          <w:numId w:val="2"/>
        </w:numPr>
      </w:pPr>
      <w:r>
        <w:t xml:space="preserve">NON-STATIONARY series requiring 1 order of differencing (d=1)</w:t>
      </w:r>
    </w:p>
    <w:p>
      <w:pPr>
        <w:pStyle w:val="ListParagraph"/>
        <w:numPr>
          <w:ilvl w:val="0"/>
          <w:numId w:val="2"/>
        </w:numPr>
      </w:pPr>
      <w:r>
        <w:t xml:space="preserve">STRONG SEASONALITY detected with a 12-month period (strength: 0.95)</w:t>
      </w:r>
    </w:p>
    <w:p>
      <w:pPr>
        <w:pStyle w:val="ListParagraph"/>
        <w:numPr>
          <w:ilvl w:val="0"/>
          <w:numId w:val="2"/>
        </w:numPr>
      </w:pPr>
      <w:r>
        <w:t xml:space="preserve">STRONG UPWARD TREND with increasing direction (strength: 0.98)</w:t>
      </w:r>
    </w:p>
    <w:p>
      <w:pPr>
        <w:pStyle w:val="ListParagraph"/>
        <w:numPr>
          <w:ilvl w:val="0"/>
          <w:numId w:val="2"/>
        </w:numPr>
      </w:pPr>
      <w:r>
        <w:t xml:space="preserve">No transformation needed - variance is stable</w:t>
      </w:r>
    </w:p>
    <w:p/>
    <w:p>
      <w:r>
        <w:br w:type="page"/>
      </w:r>
    </w:p>
    <w:p>
      <w:pPr>
        <w:pStyle w:val="Heading1"/>
      </w:pPr>
      <w:r>
        <w:t xml:space="preserve">1. Data Overview</w:t>
      </w:r>
    </w:p>
    <w:p>
      <w:pPr>
        <w:pStyle w:val="Heading2"/>
      </w:pPr>
      <w:r>
        <w:t xml:space="preserve">1.1 Data Quality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Observations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2015-01-01 to 2024-12-01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monthly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 (0%)</w:t>
            </w:r>
          </w:p>
        </w:tc>
      </w:tr>
    </w:tbl>
    <w:p/>
    <w:p>
      <w:pPr>
        <w:pStyle w:val="Heading2"/>
      </w:pPr>
      <w:r>
        <w:t xml:space="preserve">1.2 Distribution Statistics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87131.27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Median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88524.50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22759.07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Minimum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33927.00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Maximum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134022.00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Skewness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-0.0878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Kurtosis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-0.7220</w:t>
            </w:r>
          </w:p>
        </w:tc>
      </w:tr>
    </w:tbl>
    <w:p/>
    <w:p>
      <w:pPr>
        <w:pStyle w:val="Heading2"/>
      </w:pPr>
      <w:r>
        <w:t xml:space="preserve">1.3 Time Series Plot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chart" descr="Time series diagnostic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1.4 Distribution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chart" descr="Time series diagnostic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2. Stationarity Analysis</w:t>
      </w:r>
    </w:p>
    <w:p>
      <w:r>
        <w:t xml:space="preserve">Stationarity tests assess whether the statistical properties of the series remain constant over time. Both the Augmented Dickey-Fuller (ADF) and KPSS tests indicate the series is non-stationary, requiring differencing for modeling.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Statistic (p-value)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ADF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-0.6415 (p=0.8613)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Non-stationary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KPSS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1.6810 (p=0.0100)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Non-stationary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Differencing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 =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Verified</w:t>
            </w:r>
          </w:p>
        </w:tc>
      </w:tr>
    </w:tbl>
    <w:p/>
    <w:p>
      <w:r>
        <w:rPr>
          <w:b/>
          <w:bCs/>
        </w:rPr>
        <w:t xml:space="preserve">Interpretation:</w:t>
      </w:r>
      <w:r>
        <w:t xml:space="preserve"> The series requires one order of differencing (d=1) to achieve stationarity. This is common in economic time series with trends.</w:t>
      </w:r>
    </w:p>
    <w:p/>
    <w:p>
      <w:pPr>
        <w:pStyle w:val="Heading2"/>
      </w:pPr>
      <w:r>
        <w:t xml:space="preserve">2.1 Rolling Mean and Standard Deviation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chart" descr="Time series diagnostic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3. Seasonality Analysis</w:t>
      </w:r>
    </w:p>
    <w:p>
      <w:r>
        <w:t xml:space="preserve">Seasonal decomposition reveals strong recurring patterns in the data.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Seasonal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0.9459 (strong)</w:t>
            </w:r>
          </w:p>
        </w:tc>
      </w:tr>
    </w:tbl>
    <w:p/>
    <w:p>
      <w:pPr>
        <w:pStyle w:val="Heading2"/>
      </w:pPr>
      <w:r>
        <w:t xml:space="preserve">3.1 Seasonal Decomposition (STL)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4762500"/>
            <wp:effectExtent t="0" r="0" b="0" l="0"/>
            <wp:docPr id="1" name="chart" descr="Time series diagnostic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3.2 Seasonal Patterns by Month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chart" descr="Time series diagnostic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3.3 Seasonal Patterns by Quarter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chart" descr="Time series diagnostic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4. Trend Analysis</w:t>
      </w:r>
    </w:p>
    <w:p>
      <w:r>
        <w:t xml:space="preserve">The data exhibits a strong upward trend, indicating sustained growth in retail sales over the observation period.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Has Trend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increasing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0.9837 (strong)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Slope (normalized)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0.025717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Autocorrelation Analysis</w:t>
      </w:r>
    </w:p>
    <w:p>
      <w:r>
        <w:t xml:space="preserve">ACF and PACF plots help identify the order of AR and MA components for ARIMA modeling. These plots show the differenced series (d=1).</w:t>
      </w:r>
    </w:p>
    <w:p/>
    <w:p>
      <w:pPr>
        <w:pStyle w:val="ListParagraph"/>
        <w:numPr>
          <w:ilvl w:val="0"/>
          <w:numId w:val="3"/>
        </w:numPr>
      </w:pPr>
      <w:r>
        <w:t xml:space="preserve">Significant ACF lags: 1, 6, 11, 12, 24, 30, 36</w:t>
      </w:r>
    </w:p>
    <w:p>
      <w:pPr>
        <w:pStyle w:val="ListParagraph"/>
        <w:numPr>
          <w:ilvl w:val="0"/>
          <w:numId w:val="3"/>
        </w:numPr>
      </w:pPr>
      <w:r>
        <w:t xml:space="preserve">Significant PACF lags: 1, 6, 7, 8, 9, 10, 11, 12, 13, 14</w:t>
      </w:r>
    </w:p>
    <w:p>
      <w:pPr>
        <w:pStyle w:val="ListParagraph"/>
        <w:numPr>
          <w:ilvl w:val="0"/>
          <w:numId w:val="3"/>
        </w:numPr>
      </w:pPr>
      <w:r>
        <w:t xml:space="preserve">Confidence threshold: ±0.1797</w:t>
      </w:r>
    </w:p>
    <w:p/>
    <w:p>
      <w:pPr>
        <w:pStyle w:val="Heading2"/>
      </w:pPr>
      <w:r>
        <w:t xml:space="preserve">5.1 ACF and PACF Plots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4286250"/>
            <wp:effectExtent t="0" r="0" b="0" l="0"/>
            <wp:docPr id="1" name="chart" descr="Time series diagnostic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5.2 Lag Scatter Plots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4762500"/>
            <wp:effectExtent t="0" r="0" b="0" l="0"/>
            <wp:docPr id="1" name="chart" descr="Time series diagnostic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6. Forecastability Analysis</w:t>
      </w:r>
    </w:p>
    <w:p>
      <w:r>
        <w:t xml:space="preserve">The Ljung-Box test assesses whether the series contains predictable structure. Low p-values indicate the presence of autocorrelation, making the series suitable for forecasting.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P-value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Ljung-Box (lag 10)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25.1154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0.0051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Ljung-Box (lag 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118.8107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0.0000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Ljung-Box (lag 23)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122.5957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0.0000</w:t>
            </w:r>
          </w:p>
        </w:tc>
      </w:tr>
    </w:tbl>
    <w:p/>
    <w:p>
      <w:r>
        <w:rPr>
          <w:b/>
          <w:bCs/>
        </w:rPr>
        <w:t xml:space="preserve">Conclusion: </w:t>
      </w:r>
      <w:r>
        <w:t xml:space="preserve">The data is FORECASTABLE. All Ljung-Box tests show significant autocorrelation (p &lt; 0.05), indicating predictable patterns suitable for time series forecasting models.</w:t>
      </w:r>
    </w:p>
    <w:p>
      <w:r>
        <w:br w:type="page"/>
      </w:r>
    </w:p>
    <w:p>
      <w:pPr>
        <w:pStyle w:val="Heading1"/>
      </w:pPr>
      <w:r>
        <w:t xml:space="preserve">7. Transform Recommendation</w:t>
      </w:r>
    </w:p>
    <w:p>
      <w:r>
        <w:t xml:space="preserve">Box-Cox transformation analysis determines whether the data needs variance stabilization.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Variance Stable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Box-Cox Lambda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1.0256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Box-Cox λ ≈ 1, no transform needed</w:t>
            </w:r>
          </w:p>
        </w:tc>
      </w:tr>
    </w:tbl>
    <w:p/>
    <w:p>
      <w:r>
        <w:rPr>
          <w:b/>
          <w:bCs/>
        </w:rPr>
        <w:t xml:space="preserve">Interpretation: </w:t>
      </w:r>
      <w:r>
        <w:t xml:space="preserve">Since the optimal lambda is approximately 1.0, no transformation is needed. The variance is already stable across the series.</w:t>
      </w:r>
    </w:p>
    <w:p>
      <w:r>
        <w:br w:type="page"/>
      </w:r>
    </w:p>
    <w:p>
      <w:pPr>
        <w:pStyle w:val="Heading1"/>
      </w:pPr>
      <w:r>
        <w:t xml:space="preserve">8. Modeling Recommendations</w:t>
      </w:r>
    </w:p>
    <w:p>
      <w:r>
        <w:t xml:space="preserve">Based on the diagnostic analysis, the following modeling approaches are recommended:</w:t>
      </w:r>
    </w:p>
    <w:p/>
    <w:p>
      <w:pPr>
        <w:pStyle w:val="ListParagraph"/>
        <w:numPr>
          <w:ilvl w:val="0"/>
          <w:numId w:val="3"/>
        </w:numPr>
      </w:pPr>
      <w:r>
        <w:t xml:space="preserve">Use SARIMA (Seasonal ARIMA) models given the strong seasonality (period=12)</w:t>
      </w:r>
    </w:p>
    <w:p>
      <w:pPr>
        <w:pStyle w:val="ListParagraph"/>
        <w:numPr>
          <w:ilvl w:val="0"/>
          <w:numId w:val="3"/>
        </w:numPr>
      </w:pPr>
      <w:r>
        <w:t xml:space="preserve">Apply first-order differencing (d=1) to achieve stationarity</w:t>
      </w:r>
    </w:p>
    <w:p>
      <w:pPr>
        <w:pStyle w:val="ListParagraph"/>
        <w:numPr>
          <w:ilvl w:val="0"/>
          <w:numId w:val="3"/>
        </w:numPr>
      </w:pPr>
      <w:r>
        <w:t xml:space="preserve">Consider seasonal differencing (D=1) at lag 12 to handle seasonal patterns</w:t>
      </w:r>
    </w:p>
    <w:p>
      <w:pPr>
        <w:pStyle w:val="ListParagraph"/>
        <w:numPr>
          <w:ilvl w:val="0"/>
          <w:numId w:val="3"/>
        </w:numPr>
      </w:pPr>
      <w:r>
        <w:t xml:space="preserve">Suggested starting point: SARIMA(p,1,q)(P,1,Q)[12] where p,q,P,Q can be determined from ACF/PACF</w:t>
      </w:r>
    </w:p>
    <w:p>
      <w:pPr>
        <w:pStyle w:val="ListParagraph"/>
        <w:numPr>
          <w:ilvl w:val="0"/>
          <w:numId w:val="3"/>
        </w:numPr>
      </w:pPr>
      <w:r>
        <w:t xml:space="preserve">No transformation needed - model on original scale</w:t>
      </w:r>
    </w:p>
    <w:p>
      <w:pPr>
        <w:pStyle w:val="ListParagraph"/>
        <w:numPr>
          <w:ilvl w:val="0"/>
          <w:numId w:val="3"/>
        </w:numPr>
      </w:pPr>
      <w:r>
        <w:t xml:space="preserve">The strong trend component suggests models that can capture long-term growth</w:t>
      </w:r>
    </w:p>
    <w:p/>
    <w:p>
      <w:pPr>
        <w:pStyle w:val="Heading1"/>
      </w:pPr>
      <w:r>
        <w:t xml:space="preserve">9. Conclusion</w:t>
      </w:r>
    </w:p>
    <w:p>
      <w:r>
        <w:t xml:space="preserve">The retail sales data exhibits clear patterns suitable for forecasting:</w:t>
      </w:r>
    </w:p>
    <w:p/>
    <w:p>
      <w:r>
        <w:rPr>
          <w:b/>
          <w:bCs/>
        </w:rPr>
        <w:t xml:space="preserve">• Predictable Structure: </w:t>
      </w:r>
      <w:r>
        <w:t xml:space="preserve">Ljung-Box tests confirm significant autocorrelation, making this series highly forecastable.</w:t>
      </w:r>
    </w:p>
    <w:p>
      <w:r>
        <w:rPr>
          <w:b/>
          <w:bCs/>
        </w:rPr>
        <w:t xml:space="preserve">• Strong Seasonality: </w:t>
      </w:r>
      <w:r>
        <w:t xml:space="preserve">Monthly patterns repeat annually with high consistency (strength=0.95).</w:t>
      </w:r>
    </w:p>
    <w:p>
      <w:r>
        <w:rPr>
          <w:b/>
          <w:bCs/>
        </w:rPr>
        <w:t xml:space="preserve">• Robust Trend: </w:t>
      </w:r>
      <w:r>
        <w:t xml:space="preserve">Sustained upward growth trend (strength=0.98) indicates continued expansion.</w:t>
      </w:r>
    </w:p>
    <w:p>
      <w:r>
        <w:rPr>
          <w:b/>
          <w:bCs/>
        </w:rPr>
        <w:t xml:space="preserve">• Model-Ready: </w:t>
      </w:r>
      <w:r>
        <w:t xml:space="preserve">The data is well-suited for SARIMA modeling with d=1, seasonal period=12, and no transformation required.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73eb6587dafb5e4e6656552bb4d24fbc62e0682.png"/><Relationship Id="rId7" Type="http://schemas.openxmlformats.org/officeDocument/2006/relationships/image" Target="media/22d338d86c6f79aa6111054794171bc253b27249.png"/><Relationship Id="rId8" Type="http://schemas.openxmlformats.org/officeDocument/2006/relationships/image" Target="media/99962aa33f25282f8694449ee45968980f06de0a.png"/><Relationship Id="rId9" Type="http://schemas.openxmlformats.org/officeDocument/2006/relationships/image" Target="media/a4fe5f94894a928500832fe75dfa87f26a8c667e.png"/><Relationship Id="rId10" Type="http://schemas.openxmlformats.org/officeDocument/2006/relationships/image" Target="media/66b8a216be297a224f140686929f3dcf3bdae1a0.png"/><Relationship Id="rId11" Type="http://schemas.openxmlformats.org/officeDocument/2006/relationships/image" Target="media/ba990311405c9525ef75e352a0f581a11c13fc0d.png"/><Relationship Id="rId12" Type="http://schemas.openxmlformats.org/officeDocument/2006/relationships/image" Target="media/1915042ef4eb2246ddeca02f1ccb18ee7bde036a.png"/><Relationship Id="rId13" Type="http://schemas.openxmlformats.org/officeDocument/2006/relationships/image" Target="media/4697f46e1786943c88ea50df1fe58185203d80f4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2026-03-06T12:34:55.575Z</dcterms:created>
  <dcterms:modified xsi:type="dcterms:W3CDTF">2026-03-06T12:34:55.609Z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