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40" w:lineRule="auto"/>
        <w:jc w:val="center"/>
      </w:pPr>
      <w:r>
        <w:rPr>
          <w:rFonts w:ascii="Times New Roman" w:hAnsi="Times New Roman" w:eastAsia="Times New Roman"/>
          <w:b/>
          <w:i w:val="0"/>
          <w:sz w:val="24"/>
        </w:rPr>
        <w:t>Instituto Federal do Tocantins</w:t>
      </w:r>
    </w:p>
    <w:p>
      <w:pPr>
        <w:spacing w:before="0" w:after="0" w:line="240" w:lineRule="auto"/>
        <w:jc w:val="center"/>
      </w:pPr>
      <w:r>
        <w:rPr>
          <w:rFonts w:ascii="Times New Roman" w:hAnsi="Times New Roman" w:eastAsia="Times New Roman"/>
          <w:b w:val="0"/>
          <w:i w:val="0"/>
          <w:sz w:val="24"/>
        </w:rPr>
        <w:t>Campus Paraíso do Tocantins</w:t>
      </w:r>
    </w:p>
    <w:p>
      <w:pPr>
        <w:spacing w:before="0" w:after="0" w:line="240" w:lineRule="auto"/>
        <w:jc w:val="center"/>
      </w:pPr>
      <w:r>
        <w:rPr>
          <w:rFonts w:ascii="Times New Roman" w:hAnsi="Times New Roman" w:eastAsia="Times New Roman"/>
          <w:b w:val="0"/>
          <w:i w:val="0"/>
          <w:sz w:val="24"/>
        </w:rPr>
        <w:t>Sistemas de Informação — 6º período</w:t>
      </w:r>
    </w:p>
    <w:p>
      <w:pPr>
        <w:spacing w:before="0" w:after="200" w:line="240" w:lineRule="auto"/>
        <w:jc w:val="center"/>
      </w:pPr>
      <w:r>
        <w:rPr>
          <w:rFonts w:ascii="Times New Roman" w:hAnsi="Times New Roman" w:eastAsia="Times New Roman"/>
          <w:b w:val="0"/>
          <w:i w:val="0"/>
          <w:sz w:val="24"/>
        </w:rPr>
        <w:t>Disciplina de Mineração de Dados — Prof. Marcos Raimundo</w:t>
      </w:r>
    </w:p>
    <w:p>
      <w:pPr>
        <w:spacing w:before="0" w:after="40" w:line="240" w:lineRule="auto"/>
        <w:jc w:val="center"/>
      </w:pPr>
      <w:r>
        <w:rPr>
          <w:rFonts w:ascii="Times New Roman" w:hAnsi="Times New Roman" w:eastAsia="Times New Roman"/>
          <w:b w:val="0"/>
          <w:i/>
          <w:sz w:val="24"/>
        </w:rPr>
        <w:t>Relatório</w:t>
      </w:r>
    </w:p>
    <w:p>
      <w:pPr>
        <w:spacing w:before="0" w:after="160" w:line="276" w:lineRule="auto"/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Perfis clínicos e classificação da doença arterial coronariana na base Heart Disease</w:t>
      </w:r>
    </w:p>
    <w:p>
      <w:pPr>
        <w:spacing w:before="0" w:after="240" w:line="240" w:lineRule="auto"/>
        <w:jc w:val="center"/>
      </w:pPr>
      <w:r>
        <w:rPr>
          <w:rFonts w:ascii="Times New Roman" w:hAnsi="Times New Roman" w:eastAsia="Times New Roman"/>
          <w:b w:val="0"/>
          <w:i w:val="0"/>
          <w:sz w:val="24"/>
        </w:rPr>
        <w:t>David Samuel, Valdinei Sousa, Gabriel Cunha e Lohan Reis</w:t>
      </w:r>
    </w:p>
    <w:p>
      <w:pPr>
        <w:spacing w:before="280" w:after="120" w:line="276" w:lineRule="auto"/>
        <w:jc w:val="both"/>
      </w:pPr>
      <w:r>
        <w:rPr>
          <w:rFonts w:ascii="Times New Roman" w:hAnsi="Times New Roman" w:eastAsia="Times New Roman"/>
          <w:b/>
          <w:i w:val="0"/>
          <w:sz w:val="28"/>
        </w:rPr>
        <w:t>1. Problema</w:t>
      </w:r>
    </w:p>
    <w:p>
      <w:pPr>
        <w:spacing w:before="0" w:after="16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A pergunta deste trabalho é: entre pacientes avaliados para doença arterial coronariana, quais perfis clínicos se parecem e é possível classificar a presença da doença a partir dos exames disponíveis? A unidade de análise é a ficha do paciente. O resultado procurado é duplo: grupos de fichas parecidas e uma classe conhecida, ausência ou presença.</w:t>
      </w:r>
    </w:p>
    <w:p>
      <w:pPr>
        <w:spacing w:before="0" w:after="16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O contexto é um arquivo histórico de avaliação cardiológica, não um pronto-socorro. A decisão que a análise poderia apoiar, apenas como exercício de gestão da informação, é a ordem de revisão dessas fichas. Um perfil de maior risco poderia ser lido primeiro por uma pessoa. O modelo não emite laudo, não sugere tratamento e não substitui exame.</w:t>
      </w:r>
    </w:p>
    <w:p>
      <w:pPr>
        <w:spacing w:before="0" w:after="16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A pergunta é verificável. Os grupos podem ser descritos por médias de exames, e a classificação pode ser medida em fichas que o algoritmo não usou para aprender. Duas técnicas respondem às duas partes da pergunta: o agrupamento, para a semelhança, e a classificação, para a classe de um registro novo.</w:t>
      </w:r>
    </w:p>
    <w:p>
      <w:pPr>
        <w:spacing w:before="280" w:after="120" w:line="276" w:lineRule="auto"/>
        <w:jc w:val="both"/>
      </w:pPr>
      <w:r>
        <w:rPr>
          <w:rFonts w:ascii="Times New Roman" w:hAnsi="Times New Roman" w:eastAsia="Times New Roman"/>
          <w:b/>
          <w:i w:val="0"/>
          <w:sz w:val="28"/>
        </w:rPr>
        <w:t>2. Dataset</w:t>
      </w:r>
    </w:p>
    <w:p>
      <w:pPr>
        <w:spacing w:before="0" w:after="16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A base é a Heart Disease, publicada no UCI Machine Learning Repository por Andras Janosi, William Steinbrunn, Matthias Pfisterer e Robert Detrano em 1989. O endereço é https://archive.ics.uci.edu/dataset/45/heart+disease e o identificador permanente é https://doi.org/10.24432/C52P4X. A licença é Creative Commons Attribution 4.0 (CC BY 4.0), que permite uso acadêmico com o crédito aos autores.</w:t>
      </w:r>
    </w:p>
    <w:p>
      <w:pPr>
        <w:spacing w:before="0" w:after="16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Os dados foram coletados em quatro instituições: Cleveland Clinic Foundation; Hungarian Institute of Cardiology, em Budapeste; University Hospital, em Zurique; e V.A. Medical Center, em Long Beach. São fichas do fim dos anos 1980. Cada linha é um paciente. A página do UCI destaca 303 fichas de Cleveland e 13 atributos. Os quatro hospitais, no mesmo formato de 14 colunas, somam 920 fichas: 303 em Cleveland, 294 na Hungria, 200 em Long Beach e 123 na Suíça.</w:t>
      </w:r>
    </w:p>
    <w:p>
      <w:pPr>
        <w:spacing w:before="0" w:after="16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Os exames usados na literatura são idade, sexo, tipo de dor no peito, pressão arterial em repouso, colesterol sérico, glicemia de jejum acima de 120 mg/dl, eletrocardiograma em repouso, frequência cardíaca máxima, angina provocada por exercício, depressão do segmento ST, inclinação desse segmento, número de vasos principais visíveis na fluoroscopia e resultado do tálio. A classe original, chamada num, vale 0 quando não há estreitamento relevante da artéria e de 1 a 4 quando há presença em graus. A Hungria só registra 0 e 1. Os nomes dos pacientes não constam da versão pública.</w:t>
      </w:r>
    </w:p>
    <w:p>
      <w:pPr>
        <w:spacing w:before="280" w:after="120" w:line="276" w:lineRule="auto"/>
        <w:jc w:val="both"/>
      </w:pPr>
      <w:r>
        <w:rPr>
          <w:rFonts w:ascii="Times New Roman" w:hAnsi="Times New Roman" w:eastAsia="Times New Roman"/>
          <w:b/>
          <w:i w:val="0"/>
          <w:sz w:val="28"/>
        </w:rPr>
        <w:t>3. Método</w:t>
      </w:r>
    </w:p>
    <w:p>
      <w:pPr>
        <w:spacing w:before="0" w:after="16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O notebook segue o roteiro da disciplina: carga, exploração, limpeza, duas técnicas, avaliação e interpretação. Os quatro arquivos processados do UCI foram lidos sem cabeçalho. O ponto de interrogação foi tratado como valor ausente, e a origem de cada ficha foi guardada na coluna hospital. A tabela original foi preservada. Toda a preparação ocorreu em uma cópia.</w:t>
      </w:r>
    </w:p>
    <w:p>
      <w:pPr>
        <w:spacing w:before="0" w:after="16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A exploração mostrou três problemas de qualidade. As colunas de inclinação do ST, número de vasos e tálio faltam em mais de 30% das fichas e quase só existem em Cleveland. Na Suíça, o colesterol está zerado nas 123 fichas; em Long Beach, 24,5% também estão zerados. Zero, nesse campo, não é medida: é ausência escrita de outro jeito. A proporção de doença, ainda na base bruta, não é a mesma nos quatro hospitais.</w:t>
      </w:r>
    </w:p>
    <w:p>
      <w:pPr>
        <w:spacing w:before="0" w:after="16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A limpeza tratou colesterol zero como ausente e retirou da modelagem a inclinação do ST, o número de vasos e o tálio. Permaneceram idade, sexo, tipo de dor, pressão, colesterol, glicemia, eletrocardiograma, frequência cardíaca máxima, angina de exercício e depressão de ST. A ficha saiu quando algum desses exames estava vazio. Não houve imputação. A classe foi simplificada como nos experimentos clássicos da base: num igual a 0 é ausência; num de 1 a 4 é presença.</w:t>
      </w:r>
    </w:p>
    <w:p>
      <w:pPr>
        <w:spacing w:before="0" w:after="16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No agrupamento, tipo de dor e eletrocardiograma viraram indicadores, porque seus números são códigos e não uma escala. Os atributos foram padronizados para que colesterol e idade não dominassem a distância. O K-Means foi testado de 2 a 6 grupos, com Silhouette Score. O escore ficou baixo em todas as opções. Escolhemos dois grupos porque essa divisão ainda pode ser explicada; quantidades maiores só repartem o lado de menor risco em perfis parecidos. A classe de doença não entrou no algoritmo.</w:t>
      </w:r>
    </w:p>
    <w:p>
      <w:pPr>
        <w:spacing w:before="0" w:after="16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Na classificação, uma árvore de decisão de profundidade máxima 4 aprendeu a classe real. Setenta e cinco por cento das fichas treinaram o modelo e 25% serviram de teste, com estratificação e semente fixa. O hospital não foi usado como atributo, para a árvore não decorar qual serviço tem mais doentes. A referência foi o acerto de quem chuta sempre a classe mais comum. As métricas foram precisão, recall, F1 e matriz de confusão.</w:t>
      </w:r>
    </w:p>
    <w:p>
      <w:pPr>
        <w:spacing w:before="280" w:after="120" w:line="276" w:lineRule="auto"/>
        <w:jc w:val="both"/>
      </w:pPr>
      <w:r>
        <w:rPr>
          <w:rFonts w:ascii="Times New Roman" w:hAnsi="Times New Roman" w:eastAsia="Times New Roman"/>
          <w:b/>
          <w:i w:val="0"/>
          <w:sz w:val="28"/>
        </w:rPr>
        <w:t>4. Resultados</w:t>
      </w:r>
    </w:p>
    <w:p>
      <w:pPr>
        <w:spacing w:before="0" w:after="16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Depois da limpeza permaneceram 661 fichas de 920. Cleveland manteve as 303. A Hungria ficou com 261 de 294. Long Beach ficou com 97 de 200. A Suíça ficou com zero: nenhuma ficha tinha colesterol real. Na base usada, 347 fichas são ausência e 314 são presença, ou 47,5%.</w:t>
      </w:r>
    </w:p>
    <w:p>
      <w:pPr>
        <w:spacing w:before="0" w:after="16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A presença não se distribui por igual. Entre as fichas mantidas, a Hungria tem 37,5% de presença, Cleveland 45,9% e Long Beach 79,4%. No tipo de dor, o código assintomático reúne 334 fichas e 73,7% de presença. Angina atípica reúne 148 fichas e 13,5% de presença. Angina típica e dor não anginosa ficam no meio, com 34,3% e 25,0%.</w:t>
      </w:r>
    </w:p>
    <w:p>
      <w:pPr>
        <w:spacing w:before="0" w:after="16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O agrupamento separou 297 fichas no grupo 0 e 364 no grupo 1. O grupo 0 tem média de 56,6 anos, pressão 136,9 mm Hg, colesterol 253 mg/dl, frequência cardíaca máxima 125, depressão de ST 1,52 e angina de exercício em 75% das fichas. A presença nesse grupo é de 80%. O grupo 1 tem média de 49,4 anos, pressão 129,5 mm Hg, colesterol 241 mg/dl, frequência máxima 154, depressão de ST 0,41 e angina de exercício em 7% das fichas. A presença é de 21%. O Silhouette foi 0,157 com dois grupos e no máximo 0,225 com seis. A separação é fraca em qualquer corte.</w:t>
      </w:r>
    </w:p>
    <w:p>
      <w:pPr>
        <w:spacing w:before="0" w:after="16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No teste, com 166 fichas, a árvore acertou 77,7%. Chutar sempre a classe mais comum acertaria 52,5%. Para a presença, a precisão foi 0,723, o recall 0,861 e o F1 0,786. Para a ausência, a precisão foi 0,847, o recall 0,701 e o F1 0,767. A matriz teve 61 ausências corretas, 26 ausências classificadas como presença, 68 presenças corretas e 11 presenças classificadas como ausência. Uma ficha ilustrativa, de 62 anos, sexo masculino, assintomática, com pressão 150, colesterol 280, angina no exercício e depressão de ST de 2,2, foi classificada como presença.</w:t>
      </w:r>
    </w:p>
    <w:p>
      <w:pPr>
        <w:spacing w:before="280" w:after="120" w:line="276" w:lineRule="auto"/>
        <w:jc w:val="both"/>
      </w:pPr>
      <w:r>
        <w:rPr>
          <w:rFonts w:ascii="Times New Roman" w:hAnsi="Times New Roman" w:eastAsia="Times New Roman"/>
          <w:b/>
          <w:i w:val="0"/>
          <w:sz w:val="28"/>
        </w:rPr>
        <w:t>5. Interpretação</w:t>
      </w:r>
    </w:p>
    <w:p>
      <w:pPr>
        <w:spacing w:before="0" w:after="16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A observação principal é que os exames não desenham dois blocos isolados, mas duas tendências. De um lado, fichas mais velhas, com menor frequência cardíaca máxima, mais angina de esforço e maior depressão de ST, nas quais a presença da doença é maioria. Do outro, fichas mais novas, com frequência máxima mais alta e pouca angina, nas quais a ausência é maioria. A árvore, usando a classe que já existia na angiografia, acerta acima do chute e recupera a maior parte de quem tem doença. Os 11 erros em que ela diz ausência quando há presença são o ponto mais sensível do teste.</w:t>
      </w:r>
    </w:p>
    <w:p>
      <w:pPr>
        <w:spacing w:before="0" w:after="16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Isso significa associação entre o perfil registrado e o diagnóstico da ficha. Não significa que a idade, o colesterol ou a dor tenham causado o estreitamento da artéria. O Silhouette baixo confirma a sobreposição: muita gente fica entre os dois perfis. Além disso, Long Beach continua muito mais positivo do que Cleveland e Hungria. Parte do que o modelo aprende pode ser o tipo de paciente de cada hospital, mesmo sem usar o nome do hospital como coluna.</w:t>
      </w:r>
    </w:p>
    <w:p>
      <w:pPr>
        <w:spacing w:before="0" w:after="16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A aplicação possível fica restrita ao arquivo de estudo. Fichas com o perfil do grupo de maior risco, ou classificadas como presença pela árvore, poderiam ser as primeiras de uma fila de leitura humana. A recomendação para de existir no momento em que alguém tratasse essa fila como diagnóstico. Fora da sala de aula, o passo seguinte seria repetir a avaliação com dados atuais, completos e de um único protocolo, antes de qualquer uso.</w:t>
      </w:r>
    </w:p>
    <w:p>
      <w:pPr>
        <w:spacing w:before="280" w:after="120" w:line="276" w:lineRule="auto"/>
        <w:jc w:val="both"/>
      </w:pPr>
      <w:r>
        <w:rPr>
          <w:rFonts w:ascii="Times New Roman" w:hAnsi="Times New Roman" w:eastAsia="Times New Roman"/>
          <w:b/>
          <w:i w:val="0"/>
          <w:sz w:val="28"/>
        </w:rPr>
        <w:t>6. Limitações</w:t>
      </w:r>
    </w:p>
    <w:p>
      <w:pPr>
        <w:spacing w:before="0" w:after="16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A amostra é antiga e já chegou encaminhada para investigação coronariana. Ela não representa a população geral nem a conduta médica de hoje. Três colunas clinicamente importantes em Cleveland, vasos, tálio e inclinação do ST, foram excluídas porque não estavam preenchidas nos outros hospitais. A Suíça inteira saiu com o colesterol zerado. O que o modelo vê é um recorte, não o exame completo.</w:t>
      </w:r>
    </w:p>
    <w:p>
      <w:pPr>
        <w:spacing w:before="0" w:after="16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Os códigos de eletrocardiograma não aparecem na mesma frequência em todos os hospitais, o que pode indicar diferença de registro além de diferença de paciente. A árvore tem profundidade limitada a quatro níveis e foi medida em uma única divisão de teste. Outra semente altera os números, ainda que a direção do resultado, acima do chute majoritário, seja o que esta execução sustenta.</w:t>
      </w:r>
    </w:p>
    <w:p>
      <w:pPr>
        <w:spacing w:before="0" w:after="16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Há um limite ético direto. A base é pública e sem identificação nominal, o que permite o exercício. O resultado não autoriza identificar pessoa, ordenar cuidado real, gerar alerta clínico ou economizar um exame. O falso negativo, dizer que não há doença quando a ficha registra presença, é exatamente o tipo de erro que tornaria perigoso tirar o profissional do caminho. Associação, neste relatório, permanece associação.</w:t>
      </w:r>
    </w:p>
    <w:p>
      <w:pPr>
        <w:spacing w:before="240" w:after="80" w:line="276" w:lineRule="auto"/>
        <w:jc w:val="both"/>
      </w:pPr>
      <w:r>
        <w:rPr>
          <w:rFonts w:ascii="Times New Roman" w:hAnsi="Times New Roman" w:eastAsia="Times New Roman"/>
          <w:b/>
          <w:i w:val="0"/>
          <w:sz w:val="24"/>
        </w:rPr>
        <w:t>Referência</w:t>
      </w:r>
    </w:p>
    <w:p>
      <w:pPr>
        <w:spacing w:before="0" w:after="0" w:line="276" w:lineRule="auto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Janosi, A., Steinbrunn, W., Pfisterer, M., &amp; Detrano, R. (1989). Heart Disease [Dataset]. UCI Machine Learning Repository. https://doi.org/10.24432/C52P4X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417" w:right="1417" w:bottom="1417" w:left="1417" w:header="709" w:footer="709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Times New Roman"/>
        <w:color w:val="4A4A4A"/>
        <w:sz w:val="20"/>
      </w:rPr>
      <w:t>David Samuel, Valdinei Sousa, Gabriel Cunha e Lohan Reis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Times New Roman" w:hAnsi="Times New Roman" w:eastAsia="Times New Roman"/>
        <w:i/>
        <w:color w:val="4A4A4A"/>
        <w:sz w:val="20"/>
      </w:rPr>
      <w:t>IFTO — Paraíso do Tocantins  ·  Mineração de Dados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