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674993pt;margin-top:15.625pt;width:612.15pt;height:746.1pt;mso-position-horizontal-relative:page;mso-position-vertical-relative:page;z-index:-257752" coordorigin="-13,313" coordsize="12243,14922">
            <v:shape style="position:absolute;left:5835;top:11358;width:3148;height:2763" type="#_x0000_t75" alt="Logo for Office" stroked="false">
              <v:imagedata r:id="rId5" o:title=""/>
            </v:shape>
            <v:line style="position:absolute" from="4037,11315" to="4063,11316" stroked="true" strokeweight=".65pt" strokecolor="#99ccff">
              <v:stroke dashstyle="solid"/>
            </v:line>
            <v:shape style="position:absolute;left:1335;top:2608;width:10423;height:10556" coordorigin="1336,2608" coordsize="10423,10556" path="m4225,2608l4075,2630,3921,2660,3779,2711,3642,2789,3513,2875,3397,2978,3299,3103,3212,3232,3161,3369,3114,3528,1340,12158,1336,12320,1340,12493,1387,12647,1469,12790,1564,12918,1693,13029,1838,13103,2001,13159,2160,13163,3667,13163,4063,11315,4037,11315,3887,11306,3728,11280,3573,11233,3440,11173,3302,11095,3182,10992,3071,10885,2971,10768,2891,10639,2813,10498,2774,10356,2731,10197,2727,10042,2727,9892,2753,9737,2744,9737,3676,5183,3684,5183,3723,5021,3792,4862,3887,4719,3981,4586,4110,4462,4247,4371,4401,4289,4552,4238,4715,4204,4891,4186,11440,4186,11755,2626,4225,2626,4225,2608xm11758,2608l4225,2626,11755,2626,11758,2608xe" filled="true" fillcolor="#99ccff" stroked="false">
              <v:path arrowok="t"/>
              <v:fill type="solid"/>
            </v:shape>
            <v:shape style="position:absolute;left:1335;top:2608;width:10423;height:10556" coordorigin="1336,2608" coordsize="10423,10556" path="m4225,2626l11758,2608,11440,4186,11448,4186,4891,4186,4715,4204,4552,4238,4401,4289,4247,4371,4110,4462,3981,4586,3887,4719,3792,4862,3723,5021,3684,5183,3676,5183,2744,9737,2753,9737,2727,9892,2727,10042,2731,10197,2774,10356,2813,10498,2891,10639,2971,10768,3071,10885,3182,10992,3302,11095,3440,11173,3573,11233,3728,11280,3887,11306,4037,11315,4063,11315,3667,13163,2160,13163,2001,13159,1838,13103,1693,13029,1564,12918,1469,12790,1387,12647,1340,12493,1336,12320,1340,12158,3114,3528,3161,3369,3212,3232,3299,3103,3397,2978,3513,2875,3642,2789,3779,2711,3921,2660,4075,2630,4225,2608,4225,2626xe" filled="false" stroked="true" strokeweight=".75pt" strokecolor="#99ccff">
              <v:path arrowok="t"/>
              <v:stroke dashstyle="solid"/>
            </v:shape>
            <v:shape style="position:absolute;left:1335;top:2608;width:10423;height:10556" coordorigin="1336,2608" coordsize="10423,10556" path="m4225,2608l4075,2630,3921,2660,3779,2711,3642,2789,3513,2875,3397,2978,3299,3103,3212,3232,3161,3369,3114,3528,1340,12158,1336,12320,1340,12493,1387,12647,1469,12790,1564,12918,1693,13029,1838,13103,2001,13159,2160,13163,3667,13163,4063,11315,4037,11315,3887,11306,3728,11280,3573,11233,3440,11173,3302,11095,3182,10992,3071,10885,2971,10768,2891,10639,2813,10498,2774,10356,2731,10197,2727,10042,2727,9892,2753,9737,2744,9737,3676,5183,3684,5183,3723,5021,3792,4862,3887,4719,3981,4586,4110,4462,4247,4371,4401,4289,4552,4238,4715,4204,4891,4186,11440,4186,11755,2626,4225,2626,4225,2608xm11758,2608l4225,2626,11755,2626,11758,2608xe" filled="true" fillcolor="#99ccff" stroked="false">
              <v:path arrowok="t"/>
              <v:fill type="solid"/>
            </v:shape>
            <v:shape style="position:absolute;left:1335;top:2608;width:10423;height:10556" coordorigin="1336,2608" coordsize="10423,10556" path="m4225,2626l11758,2608,11440,4186,11448,4186,4891,4186,4715,4204,4552,4238,4401,4289,4247,4371,4110,4462,3981,4586,3887,4719,3792,4862,3723,5021,3684,5183,3676,5183,2744,9737,2753,9737,2727,9892,2727,10042,2731,10197,2774,10356,2813,10498,2891,10639,2971,10768,3071,10885,3182,10992,3302,11095,3440,11173,3573,11233,3728,11280,3887,11306,4037,11315,4063,11315,3667,13163,2160,13163,2001,13159,1838,13103,1693,13029,1564,12918,1469,12790,1387,12647,1340,12493,1336,12320,1340,12158,3114,3528,3161,3369,3212,3232,3299,3103,3397,2978,3513,2875,3642,2789,3779,2711,3921,2660,4075,2630,4225,2608,4225,2626xe" filled="false" stroked="true" strokeweight=".75pt" strokecolor="#99ccff">
              <v:path arrowok="t"/>
              <v:stroke dashstyle="solid"/>
            </v:shape>
            <v:shape style="position:absolute;left:1335;top:2608;width:10423;height:10556" coordorigin="1336,2608" coordsize="10423,10556" path="m4225,2608l4075,2630,3921,2660,3779,2711,3642,2789,3513,2875,3397,2978,3299,3103,3212,3232,3161,3369,3114,3528,1340,12158,1336,12320,1340,12493,1387,12647,1469,12790,1564,12918,1693,13029,1838,13103,2001,13159,2160,13163,3667,13163,4063,11315,4037,11315,3887,11306,3728,11280,3573,11233,3440,11173,3302,11095,3182,10992,3071,10885,2971,10768,2891,10639,2813,10498,2774,10356,2731,10197,2727,10042,2727,9892,2753,9737,2744,9737,3676,5183,3684,5183,3723,5021,3792,4862,3887,4719,3981,4586,4110,4462,4247,4371,4401,4289,4552,4238,4715,4204,4891,4186,11440,4186,11755,2626,4225,2626,4225,2608xm11758,2608l4225,2626,11755,2626,11758,2608xe" filled="true" fillcolor="#99ccff" stroked="false">
              <v:path arrowok="t"/>
              <v:fill type="solid"/>
            </v:shape>
            <v:shape style="position:absolute;left:1335;top:2608;width:10423;height:10556" coordorigin="1336,2608" coordsize="10423,10556" path="m4225,2626l11758,2608,11440,4186,11448,4186,4891,4186,4715,4204,4552,4238,4401,4289,4247,4371,4110,4462,3981,4586,3887,4719,3792,4862,3723,5021,3684,5183,3676,5183,2744,9737,2753,9737,2727,9892,2727,10042,2731,10197,2774,10356,2813,10498,2891,10639,2971,10768,3071,10885,3182,10992,3302,11095,3440,11173,3573,11233,3728,11280,3887,11306,4037,11315,4063,11315,3667,13163,2160,13163,2001,13159,1838,13103,1693,13029,1564,12918,1469,12790,1387,12647,1340,12493,1336,12320,1340,12158,3114,3528,3161,3369,3212,3232,3299,3103,3397,2978,3513,2875,3642,2789,3779,2711,3921,2660,4075,2630,4225,2608e" filled="false" stroked="true" strokeweight=".45pt" strokecolor="#99ccff">
              <v:path arrowok="t"/>
              <v:stroke dashstyle="solid"/>
            </v:shape>
            <v:shape style="position:absolute;left:0;top:326;width:12222;height:14901" coordorigin="0,326" coordsize="12222,14901" path="m12222,326l3079,326,2942,343,2809,377,2671,433,2563,515,2460,609,2375,726,2319,855,2272,992,0,12058,0,15131,47,15158,202,15205,366,15227,3234,15227,3560,13661,2130,13661,1972,13658,1821,13628,1667,13581,1525,13520,1387,13438,1259,13335,1151,13228,1048,13111,966,12974,902,12841,846,12682,821,12531,799,12376,803,12217,825,12054,2598,3413,2589,3413,2637,3258,2675,3111,2753,2966,2826,2828,2916,2704,3019,2583,3135,2475,3247,2381,3376,2287,3522,2217,3655,2149,3813,2105,3968,2067,4118,2037,11878,2037,12222,326xe" filled="true" fillcolor="#99ccff" stroked="false">
              <v:path arrowok="t"/>
              <v:fill type="solid"/>
            </v:shape>
            <v:shape style="position:absolute;left:-11879;top:14129;width:12222;height:14901" coordorigin="-11878,14129" coordsize="12222,14901" path="m11878,2037l12222,326,3079,326,2942,343,2809,377,2671,433,2563,515,2460,609,2375,726,2319,855,2272,992,0,12058m0,15131l47,15158,202,15205,366,15227,3234,15227,3560,13661,2130,13661,1972,13658,1821,13628,1667,13581,1525,13520,1387,13438,1259,13335,1151,13228,1048,13111,966,12974,902,12841,846,12682,821,12531,799,12376,803,12217,825,12054,2598,3413,2589,3413,2637,3258,2675,3111,2753,2966,2826,2828,2916,2704,3019,2583,3135,2475,3247,2381,3376,2287,3522,2217,3655,2149,3813,2105,3968,2067,4118,2037,4273,2037,11878,2037e" filled="false" stroked="true" strokeweight=".75pt" strokecolor="#99ccff">
              <v:path arrowok="t"/>
              <v:stroke dashstyle="solid"/>
            </v:shape>
            <v:shape style="position:absolute;left:0;top:326;width:1701;height:9085" coordorigin="0,326" coordsize="1701,9085" path="m369,3640l0,5452,0,9411,1182,3645,369,3645,369,3640xm1013,326l0,326,0,2428,47,2475,146,2596,228,2734,305,2866,357,3017,382,3176,399,3331,391,3481,369,3645,1182,3645,1693,1155,1688,1155,1700,1005,1688,855,1632,704,1550,584,1443,472,1314,399,1173,343,1013,326xe" filled="true" fillcolor="#99ccff" stroked="false">
              <v:path arrowok="t"/>
              <v:fill type="solid"/>
            </v:shape>
            <v:shape style="position:absolute;left:4272;top:15840;width:1701;height:9085" coordorigin="4273,15840" coordsize="1701,9085" path="m0,326l1013,326,1173,343,1314,399,1443,472,1550,584,1632,704,1688,855,1700,1005,1688,1155,1693,1155,0,9411m0,5452l369,3640,369,3645,391,3481,399,3331,382,3176,357,3017,305,2866,228,2734,146,2596,47,2475,0,2428e" filled="false" stroked="true" strokeweight="1.35pt" strokecolor="#99ccff">
              <v:path arrowok="t"/>
              <v:stroke dashstyle="solid"/>
            </v:shape>
            <v:shape style="position:absolute;left:0;top:326;width:1701;height:9085" coordorigin="0,326" coordsize="1701,9085" path="m369,3640l0,5452,0,9411,1182,3645,369,3645,369,3640xm1013,326l0,326,0,2428,47,2475,146,2596,228,2734,305,2866,357,3017,382,3176,399,3331,391,3481,369,3645,1182,3645,1693,1155,1688,1155,1700,1005,1688,855,1632,704,1550,584,1443,472,1314,399,1173,343,1013,326xe" filled="true" fillcolor="#99ccff" stroked="false">
              <v:path arrowok="t"/>
              <v:fill type="solid"/>
            </v:shape>
            <v:shape style="position:absolute;left:4272;top:15840;width:1701;height:9085" coordorigin="4273,15840" coordsize="1701,9085" path="m0,326l1013,326,1173,343,1314,399,1443,472,1550,584,1632,704,1688,855,1700,1005,1688,1155,1693,1155,0,9411m0,5452l369,3640,369,3645,391,3481,399,3331,382,3176,357,3017,305,2866,228,2734,146,2596,47,2475,0,2428e" filled="false" stroked="true" strokeweight=".45pt" strokecolor="#99ccff">
              <v:path arrowok="t"/>
              <v:stroke dashstyle="solid"/>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2"/>
        <w:spacing w:line="554" w:lineRule="auto" w:before="87"/>
        <w:ind w:left="3588" w:right="1955" w:hanging="533"/>
      </w:pPr>
      <w:r>
        <w:rPr/>
        <w:t>RISK FACTORS FOR PEDESTRIAN AND BICYCLE CRASHES</w:t>
      </w:r>
    </w:p>
    <w:p>
      <w:pPr>
        <w:spacing w:line="365" w:lineRule="exact" w:before="0"/>
        <w:ind w:left="1723" w:right="802" w:firstLine="0"/>
        <w:jc w:val="center"/>
        <w:rPr>
          <w:b/>
          <w:sz w:val="32"/>
        </w:rPr>
      </w:pPr>
      <w:r>
        <w:rPr>
          <w:b/>
          <w:sz w:val="32"/>
        </w:rPr>
        <w:t>FINAL REPORT</w:t>
      </w:r>
    </w:p>
    <w:p>
      <w:pPr>
        <w:pStyle w:val="BodyText"/>
        <w:spacing w:before="9"/>
        <w:rPr>
          <w:b/>
          <w:sz w:val="41"/>
        </w:rPr>
      </w:pPr>
    </w:p>
    <w:p>
      <w:pPr>
        <w:pStyle w:val="Heading3"/>
        <w:spacing w:before="1"/>
        <w:ind w:left="1188" w:right="802" w:firstLine="0"/>
        <w:jc w:val="center"/>
      </w:pPr>
      <w:r>
        <w:rPr/>
        <w:t>SPR 779</w:t>
      </w:r>
    </w:p>
    <w:p>
      <w:pPr>
        <w:spacing w:after="0"/>
        <w:jc w:val="center"/>
        <w:sectPr>
          <w:type w:val="continuous"/>
          <w:pgSz w:w="12240" w:h="15840"/>
          <w:pgMar w:top="1500" w:bottom="280" w:left="1220" w:right="700"/>
        </w:sectPr>
      </w:pPr>
    </w:p>
    <w:p>
      <w:pPr>
        <w:pStyle w:val="BodyText"/>
        <w:spacing w:before="4"/>
        <w:rPr>
          <w:sz w:val="17"/>
        </w:rPr>
      </w:pPr>
    </w:p>
    <w:p>
      <w:pPr>
        <w:spacing w:after="0"/>
        <w:rPr>
          <w:sz w:val="17"/>
        </w:rPr>
        <w:sectPr>
          <w:pgSz w:w="12240" w:h="15840"/>
          <w:pgMar w:top="1500" w:bottom="280" w:left="122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59"/>
        <w:ind w:left="285" w:right="802" w:firstLine="0"/>
        <w:jc w:val="center"/>
        <w:rPr>
          <w:b/>
          <w:sz w:val="32"/>
        </w:rPr>
      </w:pPr>
      <w:r>
        <w:rPr>
          <w:b/>
          <w:sz w:val="32"/>
        </w:rPr>
        <w:t>RISK FACTORS FOR PEDESTRIAN AND BICYCLE CRASHES</w:t>
      </w:r>
    </w:p>
    <w:p>
      <w:pPr>
        <w:pStyle w:val="BodyText"/>
        <w:rPr>
          <w:b/>
          <w:sz w:val="28"/>
        </w:rPr>
      </w:pPr>
    </w:p>
    <w:p>
      <w:pPr>
        <w:spacing w:before="0"/>
        <w:ind w:left="284" w:right="802" w:firstLine="0"/>
        <w:jc w:val="center"/>
        <w:rPr>
          <w:b/>
          <w:sz w:val="32"/>
        </w:rPr>
      </w:pPr>
      <w:r>
        <w:rPr>
          <w:b/>
          <w:sz w:val="32"/>
        </w:rPr>
        <w:t>Final Report</w:t>
      </w:r>
    </w:p>
    <w:p>
      <w:pPr>
        <w:spacing w:before="278"/>
        <w:ind w:left="283" w:right="802" w:firstLine="0"/>
        <w:jc w:val="center"/>
        <w:rPr>
          <w:b/>
          <w:sz w:val="28"/>
        </w:rPr>
      </w:pPr>
      <w:r>
        <w:rPr>
          <w:b/>
          <w:sz w:val="28"/>
        </w:rPr>
        <w:t>SPR 779</w:t>
      </w:r>
    </w:p>
    <w:p>
      <w:pPr>
        <w:pStyle w:val="BodyText"/>
        <w:spacing w:before="7"/>
        <w:rPr>
          <w:b/>
          <w:sz w:val="23"/>
        </w:rPr>
      </w:pPr>
    </w:p>
    <w:p>
      <w:pPr>
        <w:pStyle w:val="BodyText"/>
        <w:ind w:left="283" w:right="802"/>
        <w:jc w:val="center"/>
      </w:pPr>
      <w:r>
        <w:rPr/>
        <w:t>by</w:t>
      </w:r>
    </w:p>
    <w:p>
      <w:pPr>
        <w:pStyle w:val="BodyText"/>
      </w:pPr>
    </w:p>
    <w:p>
      <w:pPr>
        <w:pStyle w:val="BodyText"/>
        <w:ind w:left="2586" w:right="3105"/>
        <w:jc w:val="center"/>
      </w:pPr>
      <w:r>
        <w:rPr/>
        <w:t>Chris Monsere, Ph.D., P.E., Associate Professor Yi Wang, Graduate Research Assistant</w:t>
      </w:r>
    </w:p>
    <w:p>
      <w:pPr>
        <w:pStyle w:val="BodyText"/>
        <w:ind w:left="284" w:right="802"/>
        <w:jc w:val="center"/>
      </w:pPr>
      <w:r>
        <w:rPr/>
        <w:t>Portland State University</w:t>
      </w:r>
    </w:p>
    <w:p>
      <w:pPr>
        <w:pStyle w:val="BodyText"/>
        <w:ind w:left="2370" w:right="2888"/>
        <w:jc w:val="center"/>
      </w:pPr>
      <w:r>
        <w:rPr/>
        <w:t>Department of Civil and Environmental Engineering PO Box 751</w:t>
      </w:r>
    </w:p>
    <w:p>
      <w:pPr>
        <w:pStyle w:val="BodyText"/>
        <w:ind w:left="283" w:right="802"/>
        <w:jc w:val="center"/>
      </w:pPr>
      <w:r>
        <w:rPr/>
        <w:t>Portland, OR</w:t>
      </w:r>
      <w:r>
        <w:rPr>
          <w:spacing w:val="58"/>
        </w:rPr>
        <w:t> </w:t>
      </w:r>
      <w:r>
        <w:rPr/>
        <w:t>97207</w:t>
      </w:r>
    </w:p>
    <w:p>
      <w:pPr>
        <w:pStyle w:val="BodyText"/>
      </w:pPr>
    </w:p>
    <w:p>
      <w:pPr>
        <w:pStyle w:val="BodyText"/>
        <w:ind w:left="2586" w:right="3105"/>
        <w:jc w:val="center"/>
      </w:pPr>
      <w:r>
        <w:rPr/>
        <w:t>Haizhong Wang, Ph.D., Assistant Professor Chen Chen, Graduate Research Assistant Oregon State University</w:t>
      </w:r>
    </w:p>
    <w:p>
      <w:pPr>
        <w:pStyle w:val="BodyText"/>
        <w:spacing w:before="1"/>
        <w:ind w:left="2586" w:right="3105"/>
        <w:jc w:val="center"/>
      </w:pPr>
      <w:r>
        <w:rPr/>
        <w:t>School of Civil and Construction Engineering 101 Kearney Hall</w:t>
      </w:r>
    </w:p>
    <w:p>
      <w:pPr>
        <w:pStyle w:val="BodyText"/>
        <w:spacing w:line="480" w:lineRule="auto"/>
        <w:ind w:left="3882" w:right="4403"/>
        <w:jc w:val="center"/>
      </w:pPr>
      <w:r>
        <w:rPr/>
        <w:t>Corvallis, OR 97331 for</w:t>
      </w:r>
    </w:p>
    <w:p>
      <w:pPr>
        <w:pStyle w:val="BodyText"/>
        <w:ind w:left="3077" w:right="3595"/>
        <w:jc w:val="center"/>
      </w:pPr>
      <w:r>
        <w:rPr/>
        <w:t>Oregon Department of Transportation Research Section</w:t>
      </w:r>
    </w:p>
    <w:p>
      <w:pPr>
        <w:pStyle w:val="BodyText"/>
        <w:spacing w:line="275" w:lineRule="exact"/>
        <w:ind w:left="282" w:right="802"/>
        <w:jc w:val="center"/>
      </w:pPr>
      <w:r>
        <w:rPr/>
        <w:t>555 13</w:t>
      </w:r>
      <w:r>
        <w:rPr>
          <w:vertAlign w:val="superscript"/>
        </w:rPr>
        <w:t>th</w:t>
      </w:r>
      <w:r>
        <w:rPr>
          <w:vertAlign w:val="baseline"/>
        </w:rPr>
        <w:t> St. NE</w:t>
      </w:r>
    </w:p>
    <w:p>
      <w:pPr>
        <w:pStyle w:val="BodyText"/>
        <w:ind w:left="284" w:right="802"/>
        <w:jc w:val="center"/>
      </w:pPr>
      <w:r>
        <w:rPr/>
        <w:t>Salem, OR</w:t>
      </w:r>
      <w:r>
        <w:rPr>
          <w:spacing w:val="59"/>
        </w:rPr>
        <w:t> </w:t>
      </w:r>
      <w:r>
        <w:rPr/>
        <w:t>97301</w:t>
      </w:r>
    </w:p>
    <w:p>
      <w:pPr>
        <w:pStyle w:val="BodyText"/>
        <w:rPr>
          <w:sz w:val="26"/>
        </w:rPr>
      </w:pPr>
    </w:p>
    <w:p>
      <w:pPr>
        <w:pStyle w:val="BodyText"/>
        <w:rPr>
          <w:sz w:val="26"/>
        </w:rPr>
      </w:pPr>
    </w:p>
    <w:p>
      <w:pPr>
        <w:pStyle w:val="Heading3"/>
        <w:spacing w:before="233"/>
        <w:ind w:left="284" w:right="802" w:firstLine="0"/>
        <w:jc w:val="center"/>
      </w:pPr>
      <w:r>
        <w:rPr/>
        <w:t>May 2017</w:t>
      </w:r>
    </w:p>
    <w:p>
      <w:pPr>
        <w:spacing w:after="0"/>
        <w:jc w:val="center"/>
        <w:sectPr>
          <w:pgSz w:w="12240" w:h="15840"/>
          <w:pgMar w:top="1500" w:bottom="280" w:left="1220" w:right="700"/>
        </w:sectPr>
      </w:pPr>
    </w:p>
    <w:tbl>
      <w:tblPr>
        <w:tblW w:w="0" w:type="auto"/>
        <w:jc w:val="left"/>
        <w:tblInd w:w="15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3367"/>
        <w:gridCol w:w="978"/>
        <w:gridCol w:w="1367"/>
        <w:gridCol w:w="759"/>
        <w:gridCol w:w="602"/>
        <w:gridCol w:w="1837"/>
        <w:gridCol w:w="1126"/>
      </w:tblGrid>
      <w:tr>
        <w:trPr>
          <w:trHeight w:val="689" w:hRule="atLeast"/>
        </w:trPr>
        <w:tc>
          <w:tcPr>
            <w:tcW w:w="3367" w:type="dxa"/>
            <w:tcBorders>
              <w:bottom w:val="single" w:sz="6" w:space="0" w:color="000000"/>
              <w:right w:val="single" w:sz="6" w:space="0" w:color="000000"/>
            </w:tcBorders>
          </w:tcPr>
          <w:p>
            <w:pPr>
              <w:pStyle w:val="TableParagraph"/>
              <w:spacing w:line="223" w:lineRule="exact"/>
              <w:ind w:left="108"/>
              <w:rPr>
                <w:sz w:val="20"/>
              </w:rPr>
            </w:pPr>
            <w:r>
              <w:rPr>
                <w:sz w:val="20"/>
              </w:rPr>
              <w:t>1. Report No.</w:t>
            </w:r>
          </w:p>
          <w:p>
            <w:pPr>
              <w:pStyle w:val="TableParagraph"/>
              <w:ind w:left="360"/>
              <w:rPr>
                <w:sz w:val="20"/>
              </w:rPr>
            </w:pPr>
            <w:r>
              <w:rPr>
                <w:sz w:val="20"/>
              </w:rPr>
              <w:t>FHWA-OR-RD-17-13</w:t>
            </w:r>
          </w:p>
        </w:tc>
        <w:tc>
          <w:tcPr>
            <w:tcW w:w="3706" w:type="dxa"/>
            <w:gridSpan w:val="4"/>
            <w:tcBorders>
              <w:left w:val="single" w:sz="6" w:space="0" w:color="000000"/>
              <w:bottom w:val="single" w:sz="6" w:space="0" w:color="000000"/>
              <w:right w:val="single" w:sz="6" w:space="0" w:color="000000"/>
            </w:tcBorders>
          </w:tcPr>
          <w:p>
            <w:pPr>
              <w:pStyle w:val="TableParagraph"/>
              <w:spacing w:line="223" w:lineRule="exact"/>
              <w:ind w:left="122"/>
              <w:rPr>
                <w:sz w:val="20"/>
              </w:rPr>
            </w:pPr>
            <w:r>
              <w:rPr>
                <w:sz w:val="20"/>
              </w:rPr>
              <w:t>2. Government Accession No.</w:t>
            </w:r>
          </w:p>
        </w:tc>
        <w:tc>
          <w:tcPr>
            <w:tcW w:w="2963" w:type="dxa"/>
            <w:gridSpan w:val="2"/>
            <w:tcBorders>
              <w:left w:val="single" w:sz="6" w:space="0" w:color="000000"/>
              <w:bottom w:val="single" w:sz="6" w:space="0" w:color="000000"/>
            </w:tcBorders>
          </w:tcPr>
          <w:p>
            <w:pPr>
              <w:pStyle w:val="TableParagraph"/>
              <w:spacing w:line="223" w:lineRule="exact"/>
              <w:ind w:left="119"/>
              <w:rPr>
                <w:sz w:val="20"/>
              </w:rPr>
            </w:pPr>
            <w:r>
              <w:rPr>
                <w:sz w:val="20"/>
              </w:rPr>
              <w:t>3. Recipient’s Catalog No.</w:t>
            </w:r>
          </w:p>
        </w:tc>
      </w:tr>
      <w:tr>
        <w:trPr>
          <w:trHeight w:val="690" w:hRule="atLeast"/>
        </w:trPr>
        <w:tc>
          <w:tcPr>
            <w:tcW w:w="7073" w:type="dxa"/>
            <w:gridSpan w:val="5"/>
            <w:vMerge w:val="restart"/>
            <w:tcBorders>
              <w:top w:val="single" w:sz="6" w:space="0" w:color="000000"/>
              <w:bottom w:val="single" w:sz="6" w:space="0" w:color="000000"/>
              <w:right w:val="single" w:sz="6" w:space="0" w:color="000000"/>
            </w:tcBorders>
          </w:tcPr>
          <w:p>
            <w:pPr>
              <w:pStyle w:val="TableParagraph"/>
              <w:spacing w:line="224" w:lineRule="exact"/>
              <w:ind w:left="108"/>
              <w:rPr>
                <w:sz w:val="20"/>
              </w:rPr>
            </w:pPr>
            <w:r>
              <w:rPr>
                <w:sz w:val="20"/>
              </w:rPr>
              <w:t>4. Title and Subtitle</w:t>
            </w:r>
          </w:p>
          <w:p>
            <w:pPr>
              <w:pStyle w:val="TableParagraph"/>
              <w:spacing w:before="11"/>
              <w:rPr>
                <w:b/>
                <w:sz w:val="19"/>
              </w:rPr>
            </w:pPr>
          </w:p>
          <w:p>
            <w:pPr>
              <w:pStyle w:val="TableParagraph"/>
              <w:ind w:left="360"/>
              <w:rPr>
                <w:sz w:val="20"/>
              </w:rPr>
            </w:pPr>
            <w:r>
              <w:rPr>
                <w:sz w:val="20"/>
              </w:rPr>
              <w:t>Risk Factors for Pedestrian and Bicycle Crashes</w:t>
            </w:r>
          </w:p>
        </w:tc>
        <w:tc>
          <w:tcPr>
            <w:tcW w:w="2963" w:type="dxa"/>
            <w:gridSpan w:val="2"/>
            <w:tcBorders>
              <w:top w:val="single" w:sz="6" w:space="0" w:color="000000"/>
              <w:left w:val="single" w:sz="6" w:space="0" w:color="000000"/>
              <w:bottom w:val="single" w:sz="6" w:space="0" w:color="000000"/>
            </w:tcBorders>
          </w:tcPr>
          <w:p>
            <w:pPr>
              <w:pStyle w:val="TableParagraph"/>
              <w:ind w:left="334" w:right="1295" w:hanging="215"/>
              <w:rPr>
                <w:sz w:val="20"/>
              </w:rPr>
            </w:pPr>
            <w:r>
              <w:rPr>
                <w:sz w:val="20"/>
              </w:rPr>
              <w:t>5. Report Date May 2017</w:t>
            </w:r>
          </w:p>
        </w:tc>
      </w:tr>
      <w:tr>
        <w:trPr>
          <w:trHeight w:val="695" w:hRule="atLeast"/>
        </w:trPr>
        <w:tc>
          <w:tcPr>
            <w:tcW w:w="7073" w:type="dxa"/>
            <w:gridSpan w:val="5"/>
            <w:vMerge/>
            <w:tcBorders>
              <w:top w:val="nil"/>
              <w:bottom w:val="single" w:sz="6" w:space="0" w:color="000000"/>
              <w:right w:val="single" w:sz="6" w:space="0" w:color="000000"/>
            </w:tcBorders>
          </w:tcPr>
          <w:p>
            <w:pPr>
              <w:rPr>
                <w:sz w:val="2"/>
                <w:szCs w:val="2"/>
              </w:rPr>
            </w:pPr>
          </w:p>
        </w:tc>
        <w:tc>
          <w:tcPr>
            <w:tcW w:w="2963" w:type="dxa"/>
            <w:gridSpan w:val="2"/>
            <w:tcBorders>
              <w:top w:val="single" w:sz="6" w:space="0" w:color="000000"/>
              <w:left w:val="single" w:sz="6" w:space="0" w:color="000000"/>
              <w:bottom w:val="single" w:sz="6" w:space="0" w:color="000000"/>
            </w:tcBorders>
          </w:tcPr>
          <w:p>
            <w:pPr>
              <w:pStyle w:val="TableParagraph"/>
              <w:spacing w:line="223" w:lineRule="exact"/>
              <w:ind w:left="119"/>
              <w:rPr>
                <w:sz w:val="20"/>
              </w:rPr>
            </w:pPr>
            <w:r>
              <w:rPr>
                <w:sz w:val="20"/>
              </w:rPr>
              <w:t>6. Performing Organization Code</w:t>
            </w:r>
          </w:p>
        </w:tc>
      </w:tr>
      <w:tr>
        <w:trPr>
          <w:trHeight w:val="787" w:hRule="atLeast"/>
        </w:trPr>
        <w:tc>
          <w:tcPr>
            <w:tcW w:w="7073" w:type="dxa"/>
            <w:gridSpan w:val="5"/>
            <w:tcBorders>
              <w:top w:val="single" w:sz="6" w:space="0" w:color="000000"/>
              <w:bottom w:val="single" w:sz="6" w:space="0" w:color="000000"/>
              <w:right w:val="single" w:sz="6" w:space="0" w:color="000000"/>
            </w:tcBorders>
          </w:tcPr>
          <w:p>
            <w:pPr>
              <w:pStyle w:val="TableParagraph"/>
              <w:spacing w:line="224" w:lineRule="exact"/>
              <w:ind w:left="108"/>
              <w:rPr>
                <w:sz w:val="20"/>
              </w:rPr>
            </w:pPr>
            <w:r>
              <w:rPr>
                <w:sz w:val="20"/>
              </w:rPr>
              <w:t>7. Author(s)</w:t>
            </w:r>
          </w:p>
          <w:p>
            <w:pPr>
              <w:pStyle w:val="TableParagraph"/>
              <w:ind w:left="323"/>
              <w:rPr>
                <w:sz w:val="20"/>
              </w:rPr>
            </w:pPr>
            <w:r>
              <w:rPr>
                <w:sz w:val="20"/>
              </w:rPr>
              <w:t>Chris Monsere, Haizhong Wang, Yi Wang, Chen Chen</w:t>
            </w:r>
          </w:p>
        </w:tc>
        <w:tc>
          <w:tcPr>
            <w:tcW w:w="2963" w:type="dxa"/>
            <w:gridSpan w:val="2"/>
            <w:tcBorders>
              <w:top w:val="single" w:sz="6" w:space="0" w:color="000000"/>
              <w:left w:val="single" w:sz="6" w:space="0" w:color="000000"/>
              <w:bottom w:val="single" w:sz="6" w:space="0" w:color="000000"/>
            </w:tcBorders>
          </w:tcPr>
          <w:p>
            <w:pPr>
              <w:pStyle w:val="TableParagraph"/>
              <w:ind w:left="119" w:right="84"/>
              <w:rPr>
                <w:sz w:val="20"/>
              </w:rPr>
            </w:pPr>
            <w:r>
              <w:rPr>
                <w:sz w:val="20"/>
              </w:rPr>
              <w:t>8. Performing Organization Report</w:t>
            </w:r>
            <w:r>
              <w:rPr>
                <w:spacing w:val="-1"/>
                <w:sz w:val="20"/>
              </w:rPr>
              <w:t> </w:t>
            </w:r>
            <w:r>
              <w:rPr>
                <w:sz w:val="20"/>
              </w:rPr>
              <w:t>No.</w:t>
            </w:r>
          </w:p>
          <w:p>
            <w:pPr>
              <w:pStyle w:val="TableParagraph"/>
              <w:spacing w:line="230" w:lineRule="exact"/>
              <w:ind w:left="334"/>
              <w:rPr>
                <w:sz w:val="20"/>
              </w:rPr>
            </w:pPr>
            <w:r>
              <w:rPr>
                <w:sz w:val="20"/>
              </w:rPr>
              <w:t>SPR</w:t>
            </w:r>
            <w:r>
              <w:rPr>
                <w:spacing w:val="-3"/>
                <w:sz w:val="20"/>
              </w:rPr>
              <w:t> </w:t>
            </w:r>
            <w:r>
              <w:rPr>
                <w:sz w:val="20"/>
              </w:rPr>
              <w:t>779</w:t>
            </w:r>
          </w:p>
        </w:tc>
      </w:tr>
      <w:tr>
        <w:trPr>
          <w:trHeight w:val="460" w:hRule="atLeast"/>
        </w:trPr>
        <w:tc>
          <w:tcPr>
            <w:tcW w:w="7073" w:type="dxa"/>
            <w:gridSpan w:val="5"/>
            <w:vMerge w:val="restart"/>
            <w:tcBorders>
              <w:top w:val="single" w:sz="6" w:space="0" w:color="000000"/>
              <w:bottom w:val="single" w:sz="6" w:space="0" w:color="000000"/>
              <w:right w:val="single" w:sz="6" w:space="0" w:color="000000"/>
            </w:tcBorders>
          </w:tcPr>
          <w:p>
            <w:pPr>
              <w:pStyle w:val="TableParagraph"/>
              <w:spacing w:line="223" w:lineRule="exact"/>
              <w:ind w:left="108"/>
              <w:rPr>
                <w:sz w:val="20"/>
              </w:rPr>
            </w:pPr>
            <w:r>
              <w:rPr>
                <w:sz w:val="20"/>
              </w:rPr>
              <w:t>9. Performing Organization Name and Address</w:t>
            </w:r>
          </w:p>
          <w:p>
            <w:pPr>
              <w:pStyle w:val="TableParagraph"/>
              <w:rPr>
                <w:b/>
                <w:sz w:val="20"/>
              </w:rPr>
            </w:pPr>
          </w:p>
          <w:p>
            <w:pPr>
              <w:pStyle w:val="TableParagraph"/>
              <w:spacing w:before="1"/>
              <w:ind w:left="323" w:right="3662"/>
              <w:rPr>
                <w:sz w:val="20"/>
              </w:rPr>
            </w:pPr>
            <w:r>
              <w:rPr>
                <w:sz w:val="20"/>
              </w:rPr>
              <w:t>Oregon Department of Transportation Research Section</w:t>
            </w:r>
          </w:p>
          <w:p>
            <w:pPr>
              <w:pStyle w:val="TableParagraph"/>
              <w:ind w:left="323" w:right="5216" w:hanging="1"/>
              <w:rPr>
                <w:sz w:val="20"/>
              </w:rPr>
            </w:pPr>
            <w:r>
              <w:rPr>
                <w:sz w:val="20"/>
              </w:rPr>
              <w:t>555 13</w:t>
            </w:r>
            <w:r>
              <w:rPr>
                <w:sz w:val="20"/>
                <w:vertAlign w:val="superscript"/>
              </w:rPr>
              <w:t>th</w:t>
            </w:r>
            <w:r>
              <w:rPr>
                <w:sz w:val="20"/>
                <w:vertAlign w:val="baseline"/>
              </w:rPr>
              <w:t> Street NE Salem, OR 97301</w:t>
            </w:r>
          </w:p>
        </w:tc>
        <w:tc>
          <w:tcPr>
            <w:tcW w:w="2963" w:type="dxa"/>
            <w:gridSpan w:val="2"/>
            <w:tcBorders>
              <w:top w:val="single" w:sz="6" w:space="0" w:color="000000"/>
              <w:left w:val="single" w:sz="6" w:space="0" w:color="000000"/>
              <w:bottom w:val="single" w:sz="6" w:space="0" w:color="000000"/>
            </w:tcBorders>
          </w:tcPr>
          <w:p>
            <w:pPr>
              <w:pStyle w:val="TableParagraph"/>
              <w:spacing w:line="223" w:lineRule="exact"/>
              <w:ind w:left="119"/>
              <w:rPr>
                <w:sz w:val="20"/>
              </w:rPr>
            </w:pPr>
            <w:r>
              <w:rPr>
                <w:sz w:val="20"/>
              </w:rPr>
              <w:t>10. Work Unit No. (TRAIS)</w:t>
            </w:r>
          </w:p>
        </w:tc>
      </w:tr>
      <w:tr>
        <w:trPr>
          <w:trHeight w:val="1134" w:hRule="atLeast"/>
        </w:trPr>
        <w:tc>
          <w:tcPr>
            <w:tcW w:w="7073" w:type="dxa"/>
            <w:gridSpan w:val="5"/>
            <w:vMerge/>
            <w:tcBorders>
              <w:top w:val="nil"/>
              <w:bottom w:val="single" w:sz="6" w:space="0" w:color="000000"/>
              <w:right w:val="single" w:sz="6" w:space="0" w:color="000000"/>
            </w:tcBorders>
          </w:tcPr>
          <w:p>
            <w:pPr>
              <w:rPr>
                <w:sz w:val="2"/>
                <w:szCs w:val="2"/>
              </w:rPr>
            </w:pPr>
          </w:p>
        </w:tc>
        <w:tc>
          <w:tcPr>
            <w:tcW w:w="2963" w:type="dxa"/>
            <w:gridSpan w:val="2"/>
            <w:tcBorders>
              <w:top w:val="single" w:sz="6" w:space="0" w:color="000000"/>
              <w:left w:val="single" w:sz="6" w:space="0" w:color="000000"/>
              <w:bottom w:val="single" w:sz="6" w:space="0" w:color="000000"/>
            </w:tcBorders>
          </w:tcPr>
          <w:p>
            <w:pPr>
              <w:pStyle w:val="TableParagraph"/>
              <w:spacing w:line="223" w:lineRule="exact"/>
              <w:ind w:left="119"/>
              <w:rPr>
                <w:sz w:val="20"/>
              </w:rPr>
            </w:pPr>
            <w:r>
              <w:rPr>
                <w:sz w:val="20"/>
              </w:rPr>
              <w:t>11. Contract or Grant No.</w:t>
            </w:r>
          </w:p>
        </w:tc>
      </w:tr>
      <w:tr>
        <w:trPr>
          <w:trHeight w:val="338" w:hRule="atLeast"/>
        </w:trPr>
        <w:tc>
          <w:tcPr>
            <w:tcW w:w="4345" w:type="dxa"/>
            <w:gridSpan w:val="2"/>
            <w:tcBorders>
              <w:top w:val="single" w:sz="6" w:space="0" w:color="000000"/>
              <w:bottom w:val="nil"/>
              <w:right w:val="nil"/>
            </w:tcBorders>
          </w:tcPr>
          <w:p>
            <w:pPr>
              <w:pStyle w:val="TableParagraph"/>
              <w:spacing w:line="223" w:lineRule="exact"/>
              <w:ind w:left="108"/>
              <w:rPr>
                <w:sz w:val="20"/>
              </w:rPr>
            </w:pPr>
            <w:r>
              <w:rPr>
                <w:sz w:val="20"/>
              </w:rPr>
              <w:t>12. Sponsoring Agency Name and Address</w:t>
            </w:r>
          </w:p>
        </w:tc>
        <w:tc>
          <w:tcPr>
            <w:tcW w:w="2728" w:type="dxa"/>
            <w:gridSpan w:val="3"/>
            <w:tcBorders>
              <w:top w:val="single" w:sz="6" w:space="0" w:color="000000"/>
              <w:left w:val="nil"/>
              <w:bottom w:val="nil"/>
              <w:right w:val="single" w:sz="6" w:space="0" w:color="000000"/>
            </w:tcBorders>
          </w:tcPr>
          <w:p>
            <w:pPr>
              <w:pStyle w:val="TableParagraph"/>
              <w:rPr>
                <w:sz w:val="20"/>
              </w:rPr>
            </w:pPr>
          </w:p>
        </w:tc>
        <w:tc>
          <w:tcPr>
            <w:tcW w:w="2963" w:type="dxa"/>
            <w:gridSpan w:val="2"/>
            <w:vMerge w:val="restart"/>
            <w:tcBorders>
              <w:top w:val="single" w:sz="6" w:space="0" w:color="000000"/>
              <w:left w:val="single" w:sz="6" w:space="0" w:color="000000"/>
              <w:bottom w:val="single" w:sz="6" w:space="0" w:color="000000"/>
            </w:tcBorders>
          </w:tcPr>
          <w:p>
            <w:pPr>
              <w:pStyle w:val="TableParagraph"/>
              <w:ind w:left="119"/>
              <w:rPr>
                <w:sz w:val="20"/>
              </w:rPr>
            </w:pPr>
            <w:r>
              <w:rPr>
                <w:sz w:val="20"/>
              </w:rPr>
              <w:t>13. Type of Report and Period Covered</w:t>
            </w:r>
          </w:p>
          <w:p>
            <w:pPr>
              <w:pStyle w:val="TableParagraph"/>
              <w:spacing w:line="216" w:lineRule="exact"/>
              <w:ind w:left="334"/>
              <w:rPr>
                <w:sz w:val="20"/>
              </w:rPr>
            </w:pPr>
            <w:r>
              <w:rPr>
                <w:sz w:val="20"/>
              </w:rPr>
              <w:t>Final Report</w:t>
            </w:r>
          </w:p>
        </w:tc>
      </w:tr>
      <w:tr>
        <w:trPr>
          <w:trHeight w:val="335" w:hRule="atLeast"/>
        </w:trPr>
        <w:tc>
          <w:tcPr>
            <w:tcW w:w="4345" w:type="dxa"/>
            <w:gridSpan w:val="2"/>
            <w:vMerge w:val="restart"/>
            <w:tcBorders>
              <w:top w:val="nil"/>
              <w:bottom w:val="single" w:sz="6" w:space="0" w:color="000000"/>
              <w:right w:val="nil"/>
            </w:tcBorders>
          </w:tcPr>
          <w:p>
            <w:pPr>
              <w:pStyle w:val="TableParagraph"/>
              <w:spacing w:before="100"/>
              <w:ind w:left="323" w:right="941"/>
              <w:rPr>
                <w:sz w:val="20"/>
              </w:rPr>
            </w:pPr>
            <w:r>
              <w:rPr>
                <w:sz w:val="20"/>
              </w:rPr>
              <w:t>Oregon Department of Transportation Administration</w:t>
            </w:r>
          </w:p>
          <w:p>
            <w:pPr>
              <w:pStyle w:val="TableParagraph"/>
              <w:tabs>
                <w:tab w:pos="3457" w:val="left" w:leader="none"/>
              </w:tabs>
              <w:spacing w:line="230" w:lineRule="exact"/>
              <w:ind w:left="323"/>
              <w:rPr>
                <w:sz w:val="20"/>
              </w:rPr>
            </w:pPr>
            <w:r>
              <w:rPr>
                <w:sz w:val="20"/>
              </w:rPr>
              <w:t>Research</w:t>
            </w:r>
            <w:r>
              <w:rPr>
                <w:spacing w:val="-3"/>
                <w:sz w:val="20"/>
              </w:rPr>
              <w:t> </w:t>
            </w:r>
            <w:r>
              <w:rPr>
                <w:sz w:val="20"/>
              </w:rPr>
              <w:t>Section</w:t>
              <w:tab/>
              <w:t>and</w:t>
            </w:r>
          </w:p>
          <w:p>
            <w:pPr>
              <w:pStyle w:val="TableParagraph"/>
              <w:ind w:left="323" w:right="2496" w:hanging="1"/>
              <w:rPr>
                <w:sz w:val="20"/>
              </w:rPr>
            </w:pPr>
            <w:r>
              <w:rPr>
                <w:sz w:val="20"/>
              </w:rPr>
              <w:t>555 13</w:t>
            </w:r>
            <w:r>
              <w:rPr>
                <w:sz w:val="20"/>
                <w:vertAlign w:val="superscript"/>
              </w:rPr>
              <w:t>th</w:t>
            </w:r>
            <w:r>
              <w:rPr>
                <w:sz w:val="20"/>
                <w:vertAlign w:val="baseline"/>
              </w:rPr>
              <w:t> Street NE 0003</w:t>
            </w:r>
          </w:p>
          <w:p>
            <w:pPr>
              <w:pStyle w:val="TableParagraph"/>
              <w:spacing w:line="229" w:lineRule="exact"/>
              <w:ind w:left="323"/>
              <w:rPr>
                <w:sz w:val="20"/>
              </w:rPr>
            </w:pPr>
            <w:r>
              <w:rPr>
                <w:sz w:val="20"/>
              </w:rPr>
              <w:t>Salem, OR 97301</w:t>
            </w:r>
          </w:p>
        </w:tc>
        <w:tc>
          <w:tcPr>
            <w:tcW w:w="2728" w:type="dxa"/>
            <w:gridSpan w:val="3"/>
            <w:vMerge w:val="restart"/>
            <w:tcBorders>
              <w:top w:val="nil"/>
              <w:left w:val="nil"/>
              <w:bottom w:val="single" w:sz="6" w:space="0" w:color="000000"/>
              <w:right w:val="single" w:sz="6" w:space="0" w:color="000000"/>
            </w:tcBorders>
          </w:tcPr>
          <w:p>
            <w:pPr>
              <w:pStyle w:val="TableParagraph"/>
              <w:spacing w:before="100"/>
              <w:ind w:left="438"/>
              <w:rPr>
                <w:sz w:val="20"/>
              </w:rPr>
            </w:pPr>
            <w:r>
              <w:rPr>
                <w:sz w:val="20"/>
              </w:rPr>
              <w:t>Federal Highway</w:t>
            </w:r>
          </w:p>
          <w:p>
            <w:pPr>
              <w:pStyle w:val="TableParagraph"/>
              <w:spacing w:before="11"/>
              <w:rPr>
                <w:b/>
                <w:sz w:val="19"/>
              </w:rPr>
            </w:pPr>
          </w:p>
          <w:p>
            <w:pPr>
              <w:pStyle w:val="TableParagraph"/>
              <w:ind w:left="435" w:right="204" w:hanging="13"/>
              <w:rPr>
                <w:sz w:val="20"/>
              </w:rPr>
            </w:pPr>
            <w:r>
              <w:rPr>
                <w:sz w:val="20"/>
              </w:rPr>
              <w:t>400 Seventh Street, SW Washington, D.C. 20590-</w:t>
            </w:r>
          </w:p>
        </w:tc>
        <w:tc>
          <w:tcPr>
            <w:tcW w:w="2963" w:type="dxa"/>
            <w:gridSpan w:val="2"/>
            <w:vMerge/>
            <w:tcBorders>
              <w:top w:val="nil"/>
              <w:left w:val="single" w:sz="6" w:space="0" w:color="000000"/>
              <w:bottom w:val="single" w:sz="6" w:space="0" w:color="000000"/>
            </w:tcBorders>
          </w:tcPr>
          <w:p>
            <w:pPr>
              <w:rPr>
                <w:sz w:val="2"/>
                <w:szCs w:val="2"/>
              </w:rPr>
            </w:pPr>
          </w:p>
        </w:tc>
      </w:tr>
      <w:tr>
        <w:trPr>
          <w:trHeight w:val="1416" w:hRule="atLeast"/>
        </w:trPr>
        <w:tc>
          <w:tcPr>
            <w:tcW w:w="4345" w:type="dxa"/>
            <w:gridSpan w:val="2"/>
            <w:vMerge/>
            <w:tcBorders>
              <w:top w:val="nil"/>
              <w:bottom w:val="single" w:sz="6" w:space="0" w:color="000000"/>
              <w:right w:val="nil"/>
            </w:tcBorders>
          </w:tcPr>
          <w:p>
            <w:pPr>
              <w:rPr>
                <w:sz w:val="2"/>
                <w:szCs w:val="2"/>
              </w:rPr>
            </w:pPr>
          </w:p>
        </w:tc>
        <w:tc>
          <w:tcPr>
            <w:tcW w:w="2728" w:type="dxa"/>
            <w:gridSpan w:val="3"/>
            <w:vMerge/>
            <w:tcBorders>
              <w:top w:val="nil"/>
              <w:left w:val="nil"/>
              <w:bottom w:val="single" w:sz="6" w:space="0" w:color="000000"/>
              <w:right w:val="single" w:sz="6" w:space="0" w:color="000000"/>
            </w:tcBorders>
          </w:tcPr>
          <w:p>
            <w:pPr>
              <w:rPr>
                <w:sz w:val="2"/>
                <w:szCs w:val="2"/>
              </w:rPr>
            </w:pPr>
          </w:p>
        </w:tc>
        <w:tc>
          <w:tcPr>
            <w:tcW w:w="2963" w:type="dxa"/>
            <w:gridSpan w:val="2"/>
            <w:tcBorders>
              <w:top w:val="single" w:sz="6" w:space="0" w:color="000000"/>
              <w:left w:val="single" w:sz="6" w:space="0" w:color="000000"/>
              <w:bottom w:val="single" w:sz="6" w:space="0" w:color="000000"/>
            </w:tcBorders>
          </w:tcPr>
          <w:p>
            <w:pPr>
              <w:pStyle w:val="TableParagraph"/>
              <w:spacing w:line="224" w:lineRule="exact"/>
              <w:ind w:left="119"/>
              <w:rPr>
                <w:sz w:val="20"/>
              </w:rPr>
            </w:pPr>
            <w:r>
              <w:rPr>
                <w:sz w:val="20"/>
              </w:rPr>
              <w:t>14. Sponsoring Agency Code</w:t>
            </w:r>
          </w:p>
        </w:tc>
      </w:tr>
      <w:tr>
        <w:trPr>
          <w:trHeight w:val="596" w:hRule="atLeast"/>
        </w:trPr>
        <w:tc>
          <w:tcPr>
            <w:tcW w:w="10036" w:type="dxa"/>
            <w:gridSpan w:val="7"/>
            <w:tcBorders>
              <w:top w:val="single" w:sz="6" w:space="0" w:color="000000"/>
              <w:bottom w:val="single" w:sz="6" w:space="0" w:color="000000"/>
            </w:tcBorders>
          </w:tcPr>
          <w:p>
            <w:pPr>
              <w:pStyle w:val="TableParagraph"/>
              <w:spacing w:line="223" w:lineRule="exact"/>
              <w:ind w:left="108"/>
              <w:rPr>
                <w:sz w:val="20"/>
              </w:rPr>
            </w:pPr>
            <w:r>
              <w:rPr>
                <w:sz w:val="20"/>
              </w:rPr>
              <w:t>15. Supplementary Notes</w:t>
            </w:r>
          </w:p>
        </w:tc>
      </w:tr>
      <w:tr>
        <w:trPr>
          <w:trHeight w:val="3449" w:hRule="atLeast"/>
        </w:trPr>
        <w:tc>
          <w:tcPr>
            <w:tcW w:w="10036" w:type="dxa"/>
            <w:gridSpan w:val="7"/>
            <w:tcBorders>
              <w:top w:val="single" w:sz="6" w:space="0" w:color="000000"/>
              <w:bottom w:val="single" w:sz="6" w:space="0" w:color="000000"/>
            </w:tcBorders>
          </w:tcPr>
          <w:p>
            <w:pPr>
              <w:pStyle w:val="TableParagraph"/>
              <w:spacing w:line="223" w:lineRule="exact"/>
              <w:ind w:left="108"/>
              <w:rPr>
                <w:sz w:val="20"/>
              </w:rPr>
            </w:pPr>
            <w:r>
              <w:rPr>
                <w:sz w:val="20"/>
              </w:rPr>
              <w:t>16. Abstract</w:t>
            </w:r>
          </w:p>
          <w:p>
            <w:pPr>
              <w:pStyle w:val="TableParagraph"/>
              <w:ind w:left="270" w:right="109"/>
              <w:rPr>
                <w:sz w:val="20"/>
              </w:rPr>
            </w:pPr>
            <w:r>
              <w:rPr>
                <w:sz w:val="20"/>
              </w:rPr>
              <w:t>The primary goal of this research was to develop a tool for the Oregon Department of Transportation (ODOT) to improve methods to identify and prioritize locations with increased or elevated risk for pedestrian and bicycle crashes. This report includes a comprehensive review of many scientific reports and papers about the pedestrian and bicycle crashes on road segments or intersections. To develop the risk model data were collected from 188 segments and 184 intersections randomly selected following the data collection plan. . These samples included 213 bicycle and pedestrian crashes on the segments and 238 at intersections. Geometric, land use, volume, and crash data were collected from different databases, including Google Maps, EPA’s Smart Location Database and the ODOT crash database from 2009- 2013. The research team developed logistic regression models for both crash occurrence (crash or not) and crash severity models. The models related to crash severity were not robust, most likely due to the few segments and intersections with severe crashes in the dataset. The crash occurrence models were used to create a risk-scoring tool.</w:t>
            </w:r>
          </w:p>
          <w:p>
            <w:pPr>
              <w:pStyle w:val="TableParagraph"/>
              <w:ind w:left="270" w:right="81"/>
              <w:rPr>
                <w:sz w:val="20"/>
              </w:rPr>
            </w:pPr>
            <w:r>
              <w:rPr>
                <w:sz w:val="20"/>
              </w:rPr>
              <w:t>The risk-scoring tool was applied to safety projects identified in the 2015 All Roads Transportation Safety (ARTS) project lists from Oregon DOT’s Region 1 and 2. The risk scores for the case study applications aligned reasonably well with the project’s benefit-costs estimates.</w:t>
            </w:r>
          </w:p>
        </w:tc>
      </w:tr>
      <w:tr>
        <w:trPr>
          <w:trHeight w:val="230" w:hRule="atLeast"/>
        </w:trPr>
        <w:tc>
          <w:tcPr>
            <w:tcW w:w="5712" w:type="dxa"/>
            <w:gridSpan w:val="3"/>
            <w:tcBorders>
              <w:top w:val="single" w:sz="6" w:space="0" w:color="000000"/>
              <w:bottom w:val="nil"/>
              <w:right w:val="single" w:sz="6" w:space="0" w:color="000000"/>
            </w:tcBorders>
          </w:tcPr>
          <w:p>
            <w:pPr>
              <w:pStyle w:val="TableParagraph"/>
              <w:spacing w:line="211" w:lineRule="exact"/>
              <w:ind w:left="108"/>
              <w:rPr>
                <w:sz w:val="20"/>
              </w:rPr>
            </w:pPr>
            <w:r>
              <w:rPr>
                <w:sz w:val="20"/>
              </w:rPr>
              <w:t>17. Key Words</w:t>
            </w:r>
          </w:p>
        </w:tc>
        <w:tc>
          <w:tcPr>
            <w:tcW w:w="4324" w:type="dxa"/>
            <w:gridSpan w:val="4"/>
            <w:tcBorders>
              <w:top w:val="single" w:sz="6" w:space="0" w:color="000000"/>
              <w:left w:val="single" w:sz="6" w:space="0" w:color="000000"/>
              <w:bottom w:val="nil"/>
            </w:tcBorders>
          </w:tcPr>
          <w:p>
            <w:pPr>
              <w:pStyle w:val="TableParagraph"/>
              <w:spacing w:line="211" w:lineRule="exact"/>
              <w:ind w:left="120"/>
              <w:rPr>
                <w:sz w:val="20"/>
              </w:rPr>
            </w:pPr>
            <w:r>
              <w:rPr>
                <w:sz w:val="20"/>
              </w:rPr>
              <w:t>18. Distribution Statement</w:t>
            </w:r>
          </w:p>
        </w:tc>
      </w:tr>
      <w:tr>
        <w:trPr>
          <w:trHeight w:val="276" w:hRule="atLeast"/>
        </w:trPr>
        <w:tc>
          <w:tcPr>
            <w:tcW w:w="5712" w:type="dxa"/>
            <w:gridSpan w:val="3"/>
            <w:tcBorders>
              <w:top w:val="nil"/>
              <w:bottom w:val="nil"/>
              <w:right w:val="single" w:sz="6" w:space="0" w:color="000000"/>
            </w:tcBorders>
          </w:tcPr>
          <w:p>
            <w:pPr>
              <w:pStyle w:val="TableParagraph"/>
              <w:spacing w:line="222" w:lineRule="exact"/>
              <w:ind w:left="270"/>
              <w:rPr>
                <w:sz w:val="20"/>
              </w:rPr>
            </w:pPr>
            <w:r>
              <w:rPr>
                <w:sz w:val="20"/>
              </w:rPr>
              <w:t>Pedestrian safety; bicycle safety; risk analysis</w:t>
            </w:r>
          </w:p>
        </w:tc>
        <w:tc>
          <w:tcPr>
            <w:tcW w:w="4324" w:type="dxa"/>
            <w:gridSpan w:val="4"/>
            <w:tcBorders>
              <w:top w:val="nil"/>
              <w:left w:val="single" w:sz="6" w:space="0" w:color="000000"/>
              <w:bottom w:val="nil"/>
            </w:tcBorders>
          </w:tcPr>
          <w:p>
            <w:pPr>
              <w:pStyle w:val="TableParagraph"/>
              <w:spacing w:line="257" w:lineRule="exact"/>
              <w:ind w:left="120"/>
              <w:rPr>
                <w:sz w:val="23"/>
              </w:rPr>
            </w:pPr>
            <w:r>
              <w:rPr>
                <w:sz w:val="23"/>
              </w:rPr>
              <w:t>Copies available from NTIS, and online at</w:t>
            </w:r>
          </w:p>
        </w:tc>
      </w:tr>
      <w:tr>
        <w:trPr>
          <w:trHeight w:val="286" w:hRule="atLeast"/>
        </w:trPr>
        <w:tc>
          <w:tcPr>
            <w:tcW w:w="5712" w:type="dxa"/>
            <w:gridSpan w:val="3"/>
            <w:tcBorders>
              <w:top w:val="nil"/>
              <w:bottom w:val="nil"/>
              <w:right w:val="single" w:sz="6" w:space="0" w:color="000000"/>
            </w:tcBorders>
          </w:tcPr>
          <w:p>
            <w:pPr>
              <w:pStyle w:val="TableParagraph"/>
              <w:rPr>
                <w:sz w:val="20"/>
              </w:rPr>
            </w:pPr>
          </w:p>
        </w:tc>
        <w:tc>
          <w:tcPr>
            <w:tcW w:w="4324" w:type="dxa"/>
            <w:gridSpan w:val="4"/>
            <w:tcBorders>
              <w:top w:val="nil"/>
              <w:left w:val="single" w:sz="6" w:space="0" w:color="000000"/>
              <w:bottom w:val="nil"/>
            </w:tcBorders>
          </w:tcPr>
          <w:p>
            <w:pPr>
              <w:pStyle w:val="TableParagraph"/>
              <w:spacing w:before="2"/>
              <w:ind w:left="120"/>
              <w:rPr>
                <w:sz w:val="23"/>
              </w:rPr>
            </w:pPr>
            <w:hyperlink r:id="rId7">
              <w:r>
                <w:rPr>
                  <w:color w:val="0000FF"/>
                  <w:sz w:val="23"/>
                  <w:u w:val="single" w:color="0000FF"/>
                </w:rPr>
                <w:t>http://oregon.gov/ODOT/Programs/Pages/R</w:t>
              </w:r>
            </w:hyperlink>
          </w:p>
        </w:tc>
      </w:tr>
      <w:tr>
        <w:trPr>
          <w:trHeight w:val="452" w:hRule="atLeast"/>
        </w:trPr>
        <w:tc>
          <w:tcPr>
            <w:tcW w:w="5712" w:type="dxa"/>
            <w:gridSpan w:val="3"/>
            <w:tcBorders>
              <w:top w:val="nil"/>
              <w:bottom w:val="single" w:sz="6" w:space="0" w:color="000000"/>
              <w:right w:val="single" w:sz="6" w:space="0" w:color="000000"/>
            </w:tcBorders>
          </w:tcPr>
          <w:p>
            <w:pPr>
              <w:pStyle w:val="TableParagraph"/>
              <w:rPr>
                <w:sz w:val="20"/>
              </w:rPr>
            </w:pPr>
          </w:p>
        </w:tc>
        <w:tc>
          <w:tcPr>
            <w:tcW w:w="4324" w:type="dxa"/>
            <w:gridSpan w:val="4"/>
            <w:tcBorders>
              <w:top w:val="nil"/>
              <w:left w:val="single" w:sz="6" w:space="0" w:color="000000"/>
              <w:bottom w:val="single" w:sz="6" w:space="0" w:color="000000"/>
            </w:tcBorders>
          </w:tcPr>
          <w:p>
            <w:pPr>
              <w:pStyle w:val="TableParagraph"/>
              <w:spacing w:before="2"/>
              <w:ind w:left="120"/>
              <w:rPr>
                <w:sz w:val="23"/>
              </w:rPr>
            </w:pPr>
            <w:hyperlink r:id="rId7">
              <w:r>
                <w:rPr>
                  <w:color w:val="0000FF"/>
                  <w:sz w:val="23"/>
                  <w:u w:val="single" w:color="0000FF"/>
                </w:rPr>
                <w:t>esearch-Publications.aspx</w:t>
              </w:r>
            </w:hyperlink>
          </w:p>
        </w:tc>
      </w:tr>
      <w:tr>
        <w:trPr>
          <w:trHeight w:val="921" w:hRule="atLeast"/>
        </w:trPr>
        <w:tc>
          <w:tcPr>
            <w:tcW w:w="3367" w:type="dxa"/>
            <w:tcBorders>
              <w:top w:val="single" w:sz="6" w:space="0" w:color="000000"/>
              <w:right w:val="single" w:sz="6" w:space="0" w:color="000000"/>
            </w:tcBorders>
          </w:tcPr>
          <w:p>
            <w:pPr>
              <w:pStyle w:val="TableParagraph"/>
              <w:ind w:left="108"/>
              <w:rPr>
                <w:sz w:val="20"/>
              </w:rPr>
            </w:pPr>
            <w:r>
              <w:rPr>
                <w:sz w:val="20"/>
              </w:rPr>
              <w:t>19. Security Classification (of this report)</w:t>
            </w:r>
          </w:p>
          <w:p>
            <w:pPr>
              <w:pStyle w:val="TableParagraph"/>
              <w:spacing w:before="4"/>
              <w:rPr>
                <w:b/>
                <w:sz w:val="19"/>
              </w:rPr>
            </w:pPr>
          </w:p>
          <w:p>
            <w:pPr>
              <w:pStyle w:val="TableParagraph"/>
              <w:spacing w:line="218" w:lineRule="exact"/>
              <w:ind w:left="270"/>
              <w:rPr>
                <w:sz w:val="20"/>
              </w:rPr>
            </w:pPr>
            <w:r>
              <w:rPr>
                <w:sz w:val="20"/>
              </w:rPr>
              <w:t>Unclassified</w:t>
            </w:r>
          </w:p>
        </w:tc>
        <w:tc>
          <w:tcPr>
            <w:tcW w:w="3104" w:type="dxa"/>
            <w:gridSpan w:val="3"/>
            <w:tcBorders>
              <w:top w:val="single" w:sz="6" w:space="0" w:color="000000"/>
              <w:left w:val="single" w:sz="6" w:space="0" w:color="000000"/>
              <w:right w:val="single" w:sz="6" w:space="0" w:color="000000"/>
            </w:tcBorders>
          </w:tcPr>
          <w:p>
            <w:pPr>
              <w:pStyle w:val="TableParagraph"/>
              <w:ind w:left="122" w:right="208"/>
              <w:rPr>
                <w:sz w:val="20"/>
              </w:rPr>
            </w:pPr>
            <w:r>
              <w:rPr>
                <w:sz w:val="20"/>
              </w:rPr>
              <w:t>20. Security Classification (of this page)</w:t>
            </w:r>
          </w:p>
          <w:p>
            <w:pPr>
              <w:pStyle w:val="TableParagraph"/>
              <w:spacing w:before="4"/>
              <w:rPr>
                <w:b/>
                <w:sz w:val="19"/>
              </w:rPr>
            </w:pPr>
          </w:p>
          <w:p>
            <w:pPr>
              <w:pStyle w:val="TableParagraph"/>
              <w:spacing w:line="218" w:lineRule="exact"/>
              <w:ind w:left="292"/>
              <w:rPr>
                <w:sz w:val="20"/>
              </w:rPr>
            </w:pPr>
            <w:r>
              <w:rPr>
                <w:sz w:val="20"/>
              </w:rPr>
              <w:t>Unclassified</w:t>
            </w:r>
          </w:p>
        </w:tc>
        <w:tc>
          <w:tcPr>
            <w:tcW w:w="2439" w:type="dxa"/>
            <w:gridSpan w:val="2"/>
            <w:tcBorders>
              <w:top w:val="single" w:sz="6" w:space="0" w:color="000000"/>
              <w:left w:val="single" w:sz="6" w:space="0" w:color="000000"/>
              <w:right w:val="single" w:sz="6" w:space="0" w:color="000000"/>
            </w:tcBorders>
          </w:tcPr>
          <w:p>
            <w:pPr>
              <w:pStyle w:val="TableParagraph"/>
              <w:spacing w:line="224" w:lineRule="exact"/>
              <w:ind w:left="120"/>
              <w:rPr>
                <w:sz w:val="20"/>
              </w:rPr>
            </w:pPr>
            <w:r>
              <w:rPr>
                <w:sz w:val="20"/>
              </w:rPr>
              <w:t>21. No. of Pages</w:t>
            </w:r>
          </w:p>
          <w:p>
            <w:pPr>
              <w:pStyle w:val="TableParagraph"/>
              <w:spacing w:before="11"/>
              <w:rPr>
                <w:b/>
                <w:sz w:val="19"/>
              </w:rPr>
            </w:pPr>
          </w:p>
          <w:p>
            <w:pPr>
              <w:pStyle w:val="TableParagraph"/>
              <w:ind w:left="335"/>
              <w:rPr>
                <w:sz w:val="20"/>
              </w:rPr>
            </w:pPr>
            <w:r>
              <w:rPr>
                <w:sz w:val="20"/>
              </w:rPr>
              <w:t>99</w:t>
            </w:r>
          </w:p>
        </w:tc>
        <w:tc>
          <w:tcPr>
            <w:tcW w:w="1126" w:type="dxa"/>
            <w:tcBorders>
              <w:top w:val="single" w:sz="6" w:space="0" w:color="000000"/>
              <w:left w:val="single" w:sz="6" w:space="0" w:color="000000"/>
            </w:tcBorders>
          </w:tcPr>
          <w:p>
            <w:pPr>
              <w:pStyle w:val="TableParagraph"/>
              <w:spacing w:line="224" w:lineRule="exact"/>
              <w:ind w:left="118"/>
              <w:rPr>
                <w:sz w:val="20"/>
              </w:rPr>
            </w:pPr>
            <w:r>
              <w:rPr>
                <w:sz w:val="20"/>
              </w:rPr>
              <w:t>22. Price</w:t>
            </w:r>
          </w:p>
        </w:tc>
      </w:tr>
    </w:tbl>
    <w:p>
      <w:pPr>
        <w:tabs>
          <w:tab w:pos="5259" w:val="left" w:leader="none"/>
        </w:tabs>
        <w:spacing w:line="223" w:lineRule="exact" w:before="0"/>
        <w:ind w:left="220" w:right="0" w:firstLine="0"/>
        <w:jc w:val="left"/>
        <w:rPr>
          <w:sz w:val="20"/>
        </w:rPr>
      </w:pPr>
      <w:r>
        <w:rPr>
          <w:sz w:val="20"/>
        </w:rPr>
        <w:t>Technical Report Form DOT F</w:t>
      </w:r>
      <w:r>
        <w:rPr>
          <w:spacing w:val="-12"/>
          <w:sz w:val="20"/>
        </w:rPr>
        <w:t> </w:t>
      </w:r>
      <w:r>
        <w:rPr>
          <w:sz w:val="20"/>
        </w:rPr>
        <w:t>1700.7</w:t>
      </w:r>
      <w:r>
        <w:rPr>
          <w:spacing w:val="47"/>
          <w:sz w:val="20"/>
        </w:rPr>
        <w:t> </w:t>
      </w:r>
      <w:r>
        <w:rPr>
          <w:sz w:val="20"/>
        </w:rPr>
        <w:t>(8-72)</w:t>
        <w:tab/>
        <w:t>Reproduction of completed page</w:t>
      </w:r>
      <w:r>
        <w:rPr>
          <w:spacing w:val="-3"/>
          <w:sz w:val="20"/>
        </w:rPr>
        <w:t> </w:t>
      </w:r>
      <w:r>
        <w:rPr>
          <w:sz w:val="20"/>
        </w:rPr>
        <w:t>authorized</w:t>
      </w:r>
    </w:p>
    <w:p>
      <w:pPr>
        <w:spacing w:after="0" w:line="223" w:lineRule="exact"/>
        <w:jc w:val="left"/>
        <w:rPr>
          <w:sz w:val="20"/>
        </w:rPr>
        <w:sectPr>
          <w:footerReference w:type="default" r:id="rId6"/>
          <w:pgSz w:w="12240" w:h="15840"/>
          <w:pgMar w:footer="789" w:header="0" w:top="1000" w:bottom="980" w:left="1220" w:right="7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BodyText"/>
        <w:ind w:left="109"/>
      </w:pPr>
      <w:r>
        <w:rPr/>
        <w:pict>
          <v:shape style="position:absolute;margin-left:58.380001pt;margin-top:-215.296875pt;width:677.35pt;height:450.85pt;mso-position-horizontal-relative:page;mso-position-vertical-relative:paragraph;z-index:1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
                    <w:gridCol w:w="866"/>
                    <w:gridCol w:w="1785"/>
                    <w:gridCol w:w="1277"/>
                    <w:gridCol w:w="1668"/>
                    <w:gridCol w:w="951"/>
                    <w:gridCol w:w="917"/>
                    <w:gridCol w:w="1840"/>
                    <w:gridCol w:w="1292"/>
                    <w:gridCol w:w="1749"/>
                    <w:gridCol w:w="1072"/>
                  </w:tblGrid>
                  <w:tr>
                    <w:trPr>
                      <w:trHeight w:val="488" w:hRule="atLeast"/>
                    </w:trPr>
                    <w:tc>
                      <w:tcPr>
                        <w:tcW w:w="90" w:type="dxa"/>
                        <w:tcBorders>
                          <w:top w:val="double" w:sz="2" w:space="0" w:color="000000"/>
                          <w:bottom w:val="single" w:sz="6" w:space="0" w:color="000000"/>
                        </w:tcBorders>
                        <w:shd w:val="clear" w:color="auto" w:fill="9A9A9A"/>
                      </w:tcPr>
                      <w:p>
                        <w:pPr>
                          <w:pStyle w:val="TableParagraph"/>
                          <w:rPr>
                            <w:sz w:val="18"/>
                          </w:rPr>
                        </w:pPr>
                      </w:p>
                    </w:tc>
                    <w:tc>
                      <w:tcPr>
                        <w:tcW w:w="13417" w:type="dxa"/>
                        <w:gridSpan w:val="10"/>
                        <w:tcBorders>
                          <w:top w:val="double" w:sz="2" w:space="0" w:color="000000"/>
                          <w:bottom w:val="single" w:sz="6" w:space="0" w:color="000000"/>
                          <w:right w:val="single" w:sz="18" w:space="0" w:color="000000"/>
                        </w:tcBorders>
                        <w:shd w:val="clear" w:color="auto" w:fill="9A9A9A"/>
                      </w:tcPr>
                      <w:p>
                        <w:pPr>
                          <w:pStyle w:val="TableParagraph"/>
                          <w:spacing w:before="90"/>
                          <w:ind w:left="3162"/>
                          <w:rPr>
                            <w:b/>
                            <w:sz w:val="30"/>
                          </w:rPr>
                        </w:pPr>
                        <w:r>
                          <w:rPr>
                            <w:b/>
                            <w:color w:val="FFFFFF"/>
                            <w:sz w:val="30"/>
                          </w:rPr>
                          <w:t>SI* (MODERN METRIC) CONVERSION FACTORS</w:t>
                        </w:r>
                      </w:p>
                    </w:tc>
                  </w:tr>
                  <w:tr>
                    <w:trPr>
                      <w:trHeight w:val="419" w:hRule="atLeast"/>
                    </w:trPr>
                    <w:tc>
                      <w:tcPr>
                        <w:tcW w:w="6637" w:type="dxa"/>
                        <w:gridSpan w:val="6"/>
                        <w:tcBorders>
                          <w:top w:val="single" w:sz="6" w:space="0" w:color="000000"/>
                          <w:bottom w:val="single" w:sz="6" w:space="0" w:color="000000"/>
                          <w:right w:val="double" w:sz="2" w:space="0" w:color="000000"/>
                        </w:tcBorders>
                      </w:tcPr>
                      <w:p>
                        <w:pPr>
                          <w:pStyle w:val="TableParagraph"/>
                          <w:spacing w:before="89"/>
                          <w:ind w:left="757"/>
                          <w:rPr>
                            <w:b/>
                            <w:sz w:val="24"/>
                          </w:rPr>
                        </w:pPr>
                        <w:r>
                          <w:rPr>
                            <w:b/>
                            <w:sz w:val="24"/>
                          </w:rPr>
                          <w:t>APPROXIMATE CONVERSIONS TO SI UNITS</w:t>
                        </w:r>
                      </w:p>
                    </w:tc>
                    <w:tc>
                      <w:tcPr>
                        <w:tcW w:w="6870" w:type="dxa"/>
                        <w:gridSpan w:val="5"/>
                        <w:tcBorders>
                          <w:top w:val="single" w:sz="6" w:space="0" w:color="000000"/>
                          <w:left w:val="double" w:sz="2" w:space="0" w:color="000000"/>
                          <w:bottom w:val="single" w:sz="6" w:space="0" w:color="000000"/>
                          <w:right w:val="single" w:sz="18" w:space="0" w:color="000000"/>
                        </w:tcBorders>
                      </w:tcPr>
                      <w:p>
                        <w:pPr>
                          <w:pStyle w:val="TableParagraph"/>
                          <w:spacing w:before="89"/>
                          <w:ind w:left="655"/>
                          <w:rPr>
                            <w:b/>
                            <w:sz w:val="24"/>
                          </w:rPr>
                        </w:pPr>
                        <w:r>
                          <w:rPr>
                            <w:b/>
                            <w:sz w:val="24"/>
                          </w:rPr>
                          <w:t>APPROXIMATE CONVERSIONS FROM SI UNITS</w:t>
                        </w:r>
                      </w:p>
                    </w:tc>
                  </w:tr>
                  <w:tr>
                    <w:trPr>
                      <w:trHeight w:val="351" w:hRule="atLeast"/>
                    </w:trPr>
                    <w:tc>
                      <w:tcPr>
                        <w:tcW w:w="90" w:type="dxa"/>
                        <w:tcBorders>
                          <w:right w:val="single" w:sz="18" w:space="0" w:color="000000"/>
                        </w:tcBorders>
                      </w:tcPr>
                      <w:p>
                        <w:pPr>
                          <w:pStyle w:val="TableParagraph"/>
                          <w:rPr>
                            <w:sz w:val="18"/>
                          </w:rPr>
                        </w:pPr>
                      </w:p>
                    </w:tc>
                    <w:tc>
                      <w:tcPr>
                        <w:tcW w:w="866" w:type="dxa"/>
                        <w:tcBorders>
                          <w:top w:val="single" w:sz="6" w:space="0" w:color="000000"/>
                          <w:left w:val="single" w:sz="18" w:space="0" w:color="000000"/>
                          <w:bottom w:val="single" w:sz="6" w:space="0" w:color="000000"/>
                        </w:tcBorders>
                      </w:tcPr>
                      <w:p>
                        <w:pPr>
                          <w:pStyle w:val="TableParagraph"/>
                          <w:spacing w:before="86"/>
                          <w:ind w:left="121"/>
                          <w:rPr>
                            <w:sz w:val="18"/>
                          </w:rPr>
                        </w:pPr>
                        <w:r>
                          <w:rPr>
                            <w:sz w:val="18"/>
                          </w:rPr>
                          <w:t>Symbol</w:t>
                        </w:r>
                      </w:p>
                    </w:tc>
                    <w:tc>
                      <w:tcPr>
                        <w:tcW w:w="1785" w:type="dxa"/>
                        <w:tcBorders>
                          <w:top w:val="single" w:sz="6" w:space="0" w:color="000000"/>
                          <w:bottom w:val="single" w:sz="6" w:space="0" w:color="000000"/>
                        </w:tcBorders>
                      </w:tcPr>
                      <w:p>
                        <w:pPr>
                          <w:pStyle w:val="TableParagraph"/>
                          <w:spacing w:before="86"/>
                          <w:ind w:left="337"/>
                          <w:rPr>
                            <w:sz w:val="18"/>
                          </w:rPr>
                        </w:pPr>
                        <w:r>
                          <w:rPr>
                            <w:sz w:val="18"/>
                          </w:rPr>
                          <w:t>When You Know</w:t>
                        </w:r>
                      </w:p>
                    </w:tc>
                    <w:tc>
                      <w:tcPr>
                        <w:tcW w:w="1277" w:type="dxa"/>
                        <w:tcBorders>
                          <w:top w:val="single" w:sz="6" w:space="0" w:color="000000"/>
                          <w:bottom w:val="single" w:sz="6" w:space="0" w:color="000000"/>
                        </w:tcBorders>
                      </w:tcPr>
                      <w:p>
                        <w:pPr>
                          <w:pStyle w:val="TableParagraph"/>
                          <w:spacing w:before="86"/>
                          <w:ind w:left="258"/>
                          <w:rPr>
                            <w:sz w:val="18"/>
                          </w:rPr>
                        </w:pPr>
                        <w:r>
                          <w:rPr>
                            <w:sz w:val="18"/>
                          </w:rPr>
                          <w:t>Multiply By</w:t>
                        </w:r>
                      </w:p>
                    </w:tc>
                    <w:tc>
                      <w:tcPr>
                        <w:tcW w:w="1668" w:type="dxa"/>
                        <w:tcBorders>
                          <w:top w:val="single" w:sz="6" w:space="0" w:color="000000"/>
                          <w:bottom w:val="single" w:sz="6" w:space="0" w:color="000000"/>
                        </w:tcBorders>
                      </w:tcPr>
                      <w:p>
                        <w:pPr>
                          <w:pStyle w:val="TableParagraph"/>
                          <w:spacing w:before="86"/>
                          <w:ind w:left="573"/>
                          <w:rPr>
                            <w:sz w:val="18"/>
                          </w:rPr>
                        </w:pPr>
                        <w:r>
                          <w:rPr>
                            <w:sz w:val="18"/>
                          </w:rPr>
                          <w:t>To Find</w:t>
                        </w:r>
                      </w:p>
                    </w:tc>
                    <w:tc>
                      <w:tcPr>
                        <w:tcW w:w="951" w:type="dxa"/>
                        <w:tcBorders>
                          <w:top w:val="single" w:sz="6" w:space="0" w:color="000000"/>
                          <w:bottom w:val="single" w:sz="6" w:space="0" w:color="000000"/>
                          <w:right w:val="double" w:sz="2" w:space="0" w:color="000000"/>
                        </w:tcBorders>
                      </w:tcPr>
                      <w:p>
                        <w:pPr>
                          <w:pStyle w:val="TableParagraph"/>
                          <w:spacing w:before="86"/>
                          <w:ind w:left="198"/>
                          <w:rPr>
                            <w:sz w:val="18"/>
                          </w:rPr>
                        </w:pPr>
                        <w:r>
                          <w:rPr>
                            <w:sz w:val="18"/>
                          </w:rPr>
                          <w:t>Symbol</w:t>
                        </w:r>
                      </w:p>
                    </w:tc>
                    <w:tc>
                      <w:tcPr>
                        <w:tcW w:w="917" w:type="dxa"/>
                        <w:tcBorders>
                          <w:top w:val="single" w:sz="6" w:space="0" w:color="000000"/>
                          <w:left w:val="double" w:sz="2" w:space="0" w:color="000000"/>
                          <w:bottom w:val="single" w:sz="6" w:space="0" w:color="000000"/>
                        </w:tcBorders>
                      </w:tcPr>
                      <w:p>
                        <w:pPr>
                          <w:pStyle w:val="TableParagraph"/>
                          <w:spacing w:before="86"/>
                          <w:ind w:left="182"/>
                          <w:rPr>
                            <w:sz w:val="18"/>
                          </w:rPr>
                        </w:pPr>
                        <w:r>
                          <w:rPr>
                            <w:sz w:val="18"/>
                          </w:rPr>
                          <w:t>Symbol</w:t>
                        </w:r>
                      </w:p>
                    </w:tc>
                    <w:tc>
                      <w:tcPr>
                        <w:tcW w:w="1840" w:type="dxa"/>
                        <w:tcBorders>
                          <w:top w:val="single" w:sz="6" w:space="0" w:color="000000"/>
                          <w:bottom w:val="single" w:sz="6" w:space="0" w:color="000000"/>
                        </w:tcBorders>
                      </w:tcPr>
                      <w:p>
                        <w:pPr>
                          <w:pStyle w:val="TableParagraph"/>
                          <w:spacing w:before="86"/>
                          <w:ind w:left="366"/>
                          <w:rPr>
                            <w:sz w:val="18"/>
                          </w:rPr>
                        </w:pPr>
                        <w:r>
                          <w:rPr>
                            <w:sz w:val="18"/>
                          </w:rPr>
                          <w:t>When You Know</w:t>
                        </w:r>
                      </w:p>
                    </w:tc>
                    <w:tc>
                      <w:tcPr>
                        <w:tcW w:w="1292" w:type="dxa"/>
                        <w:tcBorders>
                          <w:top w:val="single" w:sz="6" w:space="0" w:color="000000"/>
                          <w:bottom w:val="single" w:sz="6" w:space="0" w:color="000000"/>
                        </w:tcBorders>
                      </w:tcPr>
                      <w:p>
                        <w:pPr>
                          <w:pStyle w:val="TableParagraph"/>
                          <w:spacing w:before="86"/>
                          <w:ind w:left="275"/>
                          <w:rPr>
                            <w:sz w:val="18"/>
                          </w:rPr>
                        </w:pPr>
                        <w:r>
                          <w:rPr>
                            <w:sz w:val="18"/>
                          </w:rPr>
                          <w:t>Multiply By</w:t>
                        </w:r>
                      </w:p>
                    </w:tc>
                    <w:tc>
                      <w:tcPr>
                        <w:tcW w:w="1749" w:type="dxa"/>
                        <w:tcBorders>
                          <w:top w:val="single" w:sz="6" w:space="0" w:color="000000"/>
                          <w:bottom w:val="single" w:sz="6" w:space="0" w:color="000000"/>
                        </w:tcBorders>
                      </w:tcPr>
                      <w:p>
                        <w:pPr>
                          <w:pStyle w:val="TableParagraph"/>
                          <w:spacing w:before="86"/>
                          <w:ind w:left="662"/>
                          <w:rPr>
                            <w:sz w:val="18"/>
                          </w:rPr>
                        </w:pPr>
                        <w:r>
                          <w:rPr>
                            <w:sz w:val="18"/>
                          </w:rPr>
                          <w:t>To Find</w:t>
                        </w:r>
                      </w:p>
                    </w:tc>
                    <w:tc>
                      <w:tcPr>
                        <w:tcW w:w="1072" w:type="dxa"/>
                        <w:tcBorders>
                          <w:top w:val="single" w:sz="6" w:space="0" w:color="000000"/>
                          <w:bottom w:val="single" w:sz="6" w:space="0" w:color="000000"/>
                          <w:right w:val="single" w:sz="18" w:space="0" w:color="000000"/>
                        </w:tcBorders>
                      </w:tcPr>
                      <w:p>
                        <w:pPr>
                          <w:pStyle w:val="TableParagraph"/>
                          <w:spacing w:before="86"/>
                          <w:ind w:left="310"/>
                          <w:rPr>
                            <w:sz w:val="18"/>
                          </w:rPr>
                        </w:pPr>
                        <w:r>
                          <w:rPr>
                            <w:sz w:val="18"/>
                          </w:rPr>
                          <w:t>Symbol</w:t>
                        </w:r>
                      </w:p>
                    </w:tc>
                  </w:tr>
                  <w:tr>
                    <w:trPr>
                      <w:trHeight w:val="352" w:hRule="atLeast"/>
                    </w:trPr>
                    <w:tc>
                      <w:tcPr>
                        <w:tcW w:w="90" w:type="dxa"/>
                        <w:tcBorders>
                          <w:right w:val="single" w:sz="18" w:space="0" w:color="000000"/>
                        </w:tcBorders>
                      </w:tcPr>
                      <w:p>
                        <w:pPr>
                          <w:pStyle w:val="TableParagraph"/>
                          <w:rPr>
                            <w:sz w:val="18"/>
                          </w:rPr>
                        </w:pPr>
                      </w:p>
                    </w:tc>
                    <w:tc>
                      <w:tcPr>
                        <w:tcW w:w="866" w:type="dxa"/>
                        <w:tcBorders>
                          <w:top w:val="single" w:sz="6" w:space="0" w:color="000000"/>
                          <w:left w:val="single" w:sz="18" w:space="0" w:color="000000"/>
                        </w:tcBorders>
                      </w:tcPr>
                      <w:p>
                        <w:pPr>
                          <w:pStyle w:val="TableParagraph"/>
                          <w:rPr>
                            <w:sz w:val="18"/>
                          </w:rPr>
                        </w:pPr>
                      </w:p>
                    </w:tc>
                    <w:tc>
                      <w:tcPr>
                        <w:tcW w:w="1785" w:type="dxa"/>
                        <w:tcBorders>
                          <w:top w:val="single" w:sz="6" w:space="0" w:color="000000"/>
                        </w:tcBorders>
                      </w:tcPr>
                      <w:p>
                        <w:pPr>
                          <w:pStyle w:val="TableParagraph"/>
                          <w:rPr>
                            <w:sz w:val="18"/>
                          </w:rPr>
                        </w:pPr>
                      </w:p>
                    </w:tc>
                    <w:tc>
                      <w:tcPr>
                        <w:tcW w:w="1277" w:type="dxa"/>
                        <w:tcBorders>
                          <w:top w:val="single" w:sz="6" w:space="0" w:color="000000"/>
                        </w:tcBorders>
                      </w:tcPr>
                      <w:p>
                        <w:pPr>
                          <w:pStyle w:val="TableParagraph"/>
                          <w:spacing w:before="91"/>
                          <w:ind w:left="170"/>
                          <w:rPr>
                            <w:b/>
                            <w:sz w:val="19"/>
                          </w:rPr>
                        </w:pPr>
                        <w:r>
                          <w:rPr>
                            <w:b/>
                            <w:sz w:val="19"/>
                            <w:u w:val="single"/>
                          </w:rPr>
                          <w:t>LENGTH</w:t>
                        </w:r>
                      </w:p>
                    </w:tc>
                    <w:tc>
                      <w:tcPr>
                        <w:tcW w:w="1668" w:type="dxa"/>
                        <w:tcBorders>
                          <w:top w:val="single" w:sz="6" w:space="0" w:color="000000"/>
                        </w:tcBorders>
                      </w:tcPr>
                      <w:p>
                        <w:pPr>
                          <w:pStyle w:val="TableParagraph"/>
                          <w:rPr>
                            <w:sz w:val="18"/>
                          </w:rPr>
                        </w:pPr>
                      </w:p>
                    </w:tc>
                    <w:tc>
                      <w:tcPr>
                        <w:tcW w:w="951" w:type="dxa"/>
                        <w:tcBorders>
                          <w:top w:val="single" w:sz="6" w:space="0" w:color="000000"/>
                          <w:right w:val="double" w:sz="2" w:space="0" w:color="000000"/>
                        </w:tcBorders>
                      </w:tcPr>
                      <w:p>
                        <w:pPr>
                          <w:pStyle w:val="TableParagraph"/>
                          <w:rPr>
                            <w:sz w:val="18"/>
                          </w:rPr>
                        </w:pPr>
                      </w:p>
                    </w:tc>
                    <w:tc>
                      <w:tcPr>
                        <w:tcW w:w="917" w:type="dxa"/>
                        <w:tcBorders>
                          <w:top w:val="single" w:sz="6" w:space="0" w:color="000000"/>
                          <w:left w:val="double" w:sz="2" w:space="0" w:color="000000"/>
                        </w:tcBorders>
                      </w:tcPr>
                      <w:p>
                        <w:pPr>
                          <w:pStyle w:val="TableParagraph"/>
                          <w:rPr>
                            <w:sz w:val="18"/>
                          </w:rPr>
                        </w:pPr>
                      </w:p>
                    </w:tc>
                    <w:tc>
                      <w:tcPr>
                        <w:tcW w:w="1840" w:type="dxa"/>
                        <w:tcBorders>
                          <w:top w:val="single" w:sz="6" w:space="0" w:color="000000"/>
                        </w:tcBorders>
                      </w:tcPr>
                      <w:p>
                        <w:pPr>
                          <w:pStyle w:val="TableParagraph"/>
                          <w:rPr>
                            <w:sz w:val="18"/>
                          </w:rPr>
                        </w:pPr>
                      </w:p>
                    </w:tc>
                    <w:tc>
                      <w:tcPr>
                        <w:tcW w:w="1292" w:type="dxa"/>
                        <w:tcBorders>
                          <w:top w:val="single" w:sz="6" w:space="0" w:color="000000"/>
                        </w:tcBorders>
                      </w:tcPr>
                      <w:p>
                        <w:pPr>
                          <w:pStyle w:val="TableParagraph"/>
                          <w:spacing w:before="91"/>
                          <w:ind w:left="268"/>
                          <w:rPr>
                            <w:b/>
                            <w:sz w:val="19"/>
                          </w:rPr>
                        </w:pPr>
                        <w:r>
                          <w:rPr>
                            <w:b/>
                            <w:sz w:val="19"/>
                            <w:u w:val="single"/>
                          </w:rPr>
                          <w:t>LENGTH</w:t>
                        </w:r>
                      </w:p>
                    </w:tc>
                    <w:tc>
                      <w:tcPr>
                        <w:tcW w:w="1749" w:type="dxa"/>
                        <w:tcBorders>
                          <w:top w:val="single" w:sz="6" w:space="0" w:color="000000"/>
                        </w:tcBorders>
                      </w:tcPr>
                      <w:p>
                        <w:pPr>
                          <w:pStyle w:val="TableParagraph"/>
                          <w:rPr>
                            <w:sz w:val="18"/>
                          </w:rPr>
                        </w:pPr>
                      </w:p>
                    </w:tc>
                    <w:tc>
                      <w:tcPr>
                        <w:tcW w:w="1072" w:type="dxa"/>
                        <w:tcBorders>
                          <w:top w:val="single" w:sz="6" w:space="0" w:color="000000"/>
                          <w:right w:val="single" w:sz="18" w:space="0" w:color="000000"/>
                        </w:tcBorders>
                      </w:tcPr>
                      <w:p>
                        <w:pPr>
                          <w:pStyle w:val="TableParagraph"/>
                          <w:rPr>
                            <w:sz w:val="18"/>
                          </w:rPr>
                        </w:pPr>
                      </w:p>
                    </w:tc>
                  </w:tr>
                  <w:tr>
                    <w:trPr>
                      <w:trHeight w:val="286"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5"/>
                          <w:ind w:left="68"/>
                          <w:rPr>
                            <w:sz w:val="18"/>
                          </w:rPr>
                        </w:pPr>
                        <w:r>
                          <w:rPr>
                            <w:sz w:val="18"/>
                          </w:rPr>
                          <w:t>in</w:t>
                        </w:r>
                      </w:p>
                    </w:tc>
                    <w:tc>
                      <w:tcPr>
                        <w:tcW w:w="1785" w:type="dxa"/>
                      </w:tcPr>
                      <w:p>
                        <w:pPr>
                          <w:pStyle w:val="TableParagraph"/>
                          <w:spacing w:before="35"/>
                          <w:ind w:left="161"/>
                          <w:rPr>
                            <w:sz w:val="18"/>
                          </w:rPr>
                        </w:pPr>
                        <w:r>
                          <w:rPr>
                            <w:sz w:val="18"/>
                          </w:rPr>
                          <w:t>inches</w:t>
                        </w:r>
                      </w:p>
                    </w:tc>
                    <w:tc>
                      <w:tcPr>
                        <w:tcW w:w="1277" w:type="dxa"/>
                      </w:tcPr>
                      <w:p>
                        <w:pPr>
                          <w:pStyle w:val="TableParagraph"/>
                          <w:spacing w:before="35"/>
                          <w:ind w:left="176"/>
                          <w:rPr>
                            <w:sz w:val="18"/>
                          </w:rPr>
                        </w:pPr>
                        <w:r>
                          <w:rPr>
                            <w:sz w:val="18"/>
                          </w:rPr>
                          <w:t>25.4</w:t>
                        </w:r>
                      </w:p>
                    </w:tc>
                    <w:tc>
                      <w:tcPr>
                        <w:tcW w:w="1668" w:type="dxa"/>
                      </w:tcPr>
                      <w:p>
                        <w:pPr>
                          <w:pStyle w:val="TableParagraph"/>
                          <w:spacing w:before="35"/>
                          <w:ind w:left="130"/>
                          <w:rPr>
                            <w:sz w:val="18"/>
                          </w:rPr>
                        </w:pPr>
                        <w:r>
                          <w:rPr>
                            <w:sz w:val="18"/>
                          </w:rPr>
                          <w:t>millimeters</w:t>
                        </w:r>
                      </w:p>
                    </w:tc>
                    <w:tc>
                      <w:tcPr>
                        <w:tcW w:w="951" w:type="dxa"/>
                        <w:tcBorders>
                          <w:right w:val="double" w:sz="2" w:space="0" w:color="000000"/>
                        </w:tcBorders>
                      </w:tcPr>
                      <w:p>
                        <w:pPr>
                          <w:pStyle w:val="TableParagraph"/>
                          <w:spacing w:before="35"/>
                          <w:ind w:left="100"/>
                          <w:rPr>
                            <w:sz w:val="18"/>
                          </w:rPr>
                        </w:pPr>
                        <w:r>
                          <w:rPr>
                            <w:sz w:val="18"/>
                          </w:rPr>
                          <w:t>mm</w:t>
                        </w:r>
                      </w:p>
                    </w:tc>
                    <w:tc>
                      <w:tcPr>
                        <w:tcW w:w="917" w:type="dxa"/>
                        <w:tcBorders>
                          <w:left w:val="double" w:sz="2" w:space="0" w:color="000000"/>
                        </w:tcBorders>
                      </w:tcPr>
                      <w:p>
                        <w:pPr>
                          <w:pStyle w:val="TableParagraph"/>
                          <w:spacing w:before="35"/>
                          <w:ind w:left="155"/>
                          <w:rPr>
                            <w:sz w:val="18"/>
                          </w:rPr>
                        </w:pPr>
                        <w:r>
                          <w:rPr>
                            <w:sz w:val="18"/>
                          </w:rPr>
                          <w:t>mm</w:t>
                        </w:r>
                      </w:p>
                    </w:tc>
                    <w:tc>
                      <w:tcPr>
                        <w:tcW w:w="1840" w:type="dxa"/>
                      </w:tcPr>
                      <w:p>
                        <w:pPr>
                          <w:pStyle w:val="TableParagraph"/>
                          <w:spacing w:before="35"/>
                          <w:ind w:left="146"/>
                          <w:rPr>
                            <w:sz w:val="18"/>
                          </w:rPr>
                        </w:pPr>
                        <w:r>
                          <w:rPr>
                            <w:sz w:val="18"/>
                          </w:rPr>
                          <w:t>millimeters</w:t>
                        </w:r>
                      </w:p>
                    </w:tc>
                    <w:tc>
                      <w:tcPr>
                        <w:tcW w:w="1292" w:type="dxa"/>
                      </w:tcPr>
                      <w:p>
                        <w:pPr>
                          <w:pStyle w:val="TableParagraph"/>
                          <w:spacing w:before="35"/>
                          <w:ind w:left="197"/>
                          <w:rPr>
                            <w:sz w:val="18"/>
                          </w:rPr>
                        </w:pPr>
                        <w:r>
                          <w:rPr>
                            <w:sz w:val="18"/>
                          </w:rPr>
                          <w:t>0.039</w:t>
                        </w:r>
                      </w:p>
                    </w:tc>
                    <w:tc>
                      <w:tcPr>
                        <w:tcW w:w="1749" w:type="dxa"/>
                      </w:tcPr>
                      <w:p>
                        <w:pPr>
                          <w:pStyle w:val="TableParagraph"/>
                          <w:spacing w:before="35"/>
                          <w:ind w:left="124"/>
                          <w:rPr>
                            <w:sz w:val="18"/>
                          </w:rPr>
                        </w:pPr>
                        <w:r>
                          <w:rPr>
                            <w:sz w:val="18"/>
                          </w:rPr>
                          <w:t>inches</w:t>
                        </w:r>
                      </w:p>
                    </w:tc>
                    <w:tc>
                      <w:tcPr>
                        <w:tcW w:w="1072" w:type="dxa"/>
                        <w:tcBorders>
                          <w:right w:val="single" w:sz="18" w:space="0" w:color="000000"/>
                        </w:tcBorders>
                      </w:tcPr>
                      <w:p>
                        <w:pPr>
                          <w:pStyle w:val="TableParagraph"/>
                          <w:spacing w:before="35"/>
                          <w:ind w:left="203"/>
                          <w:rPr>
                            <w:sz w:val="18"/>
                          </w:rPr>
                        </w:pPr>
                        <w:r>
                          <w:rPr>
                            <w:sz w:val="18"/>
                          </w:rPr>
                          <w:t>in</w:t>
                        </w:r>
                      </w:p>
                    </w:tc>
                  </w:tr>
                  <w:tr>
                    <w:trPr>
                      <w:trHeight w:val="287"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6"/>
                          <w:ind w:left="68"/>
                          <w:rPr>
                            <w:sz w:val="18"/>
                          </w:rPr>
                        </w:pPr>
                        <w:r>
                          <w:rPr>
                            <w:sz w:val="18"/>
                          </w:rPr>
                          <w:t>ft</w:t>
                        </w:r>
                      </w:p>
                    </w:tc>
                    <w:tc>
                      <w:tcPr>
                        <w:tcW w:w="1785" w:type="dxa"/>
                      </w:tcPr>
                      <w:p>
                        <w:pPr>
                          <w:pStyle w:val="TableParagraph"/>
                          <w:spacing w:before="36"/>
                          <w:ind w:left="161"/>
                          <w:rPr>
                            <w:sz w:val="18"/>
                          </w:rPr>
                        </w:pPr>
                        <w:r>
                          <w:rPr>
                            <w:sz w:val="18"/>
                          </w:rPr>
                          <w:t>feet</w:t>
                        </w:r>
                      </w:p>
                    </w:tc>
                    <w:tc>
                      <w:tcPr>
                        <w:tcW w:w="1277" w:type="dxa"/>
                      </w:tcPr>
                      <w:p>
                        <w:pPr>
                          <w:pStyle w:val="TableParagraph"/>
                          <w:spacing w:before="36"/>
                          <w:ind w:left="176"/>
                          <w:rPr>
                            <w:sz w:val="18"/>
                          </w:rPr>
                        </w:pPr>
                        <w:r>
                          <w:rPr>
                            <w:sz w:val="18"/>
                          </w:rPr>
                          <w:t>0.305</w:t>
                        </w:r>
                      </w:p>
                    </w:tc>
                    <w:tc>
                      <w:tcPr>
                        <w:tcW w:w="1668" w:type="dxa"/>
                      </w:tcPr>
                      <w:p>
                        <w:pPr>
                          <w:pStyle w:val="TableParagraph"/>
                          <w:spacing w:before="36"/>
                          <w:ind w:left="130"/>
                          <w:rPr>
                            <w:sz w:val="18"/>
                          </w:rPr>
                        </w:pPr>
                        <w:r>
                          <w:rPr>
                            <w:sz w:val="18"/>
                          </w:rPr>
                          <w:t>meters</w:t>
                        </w:r>
                      </w:p>
                    </w:tc>
                    <w:tc>
                      <w:tcPr>
                        <w:tcW w:w="951" w:type="dxa"/>
                        <w:tcBorders>
                          <w:right w:val="double" w:sz="2" w:space="0" w:color="000000"/>
                        </w:tcBorders>
                      </w:tcPr>
                      <w:p>
                        <w:pPr>
                          <w:pStyle w:val="TableParagraph"/>
                          <w:spacing w:before="36"/>
                          <w:ind w:left="100"/>
                          <w:rPr>
                            <w:sz w:val="18"/>
                          </w:rPr>
                        </w:pPr>
                        <w:r>
                          <w:rPr>
                            <w:sz w:val="18"/>
                          </w:rPr>
                          <w:t>m</w:t>
                        </w:r>
                      </w:p>
                    </w:tc>
                    <w:tc>
                      <w:tcPr>
                        <w:tcW w:w="917" w:type="dxa"/>
                        <w:tcBorders>
                          <w:left w:val="double" w:sz="2" w:space="0" w:color="000000"/>
                        </w:tcBorders>
                      </w:tcPr>
                      <w:p>
                        <w:pPr>
                          <w:pStyle w:val="TableParagraph"/>
                          <w:spacing w:before="36"/>
                          <w:ind w:left="155"/>
                          <w:rPr>
                            <w:sz w:val="18"/>
                          </w:rPr>
                        </w:pPr>
                        <w:r>
                          <w:rPr>
                            <w:sz w:val="18"/>
                          </w:rPr>
                          <w:t>m</w:t>
                        </w:r>
                      </w:p>
                    </w:tc>
                    <w:tc>
                      <w:tcPr>
                        <w:tcW w:w="1840" w:type="dxa"/>
                      </w:tcPr>
                      <w:p>
                        <w:pPr>
                          <w:pStyle w:val="TableParagraph"/>
                          <w:spacing w:before="36"/>
                          <w:ind w:left="146"/>
                          <w:rPr>
                            <w:sz w:val="18"/>
                          </w:rPr>
                        </w:pPr>
                        <w:r>
                          <w:rPr>
                            <w:sz w:val="18"/>
                          </w:rPr>
                          <w:t>meters</w:t>
                        </w:r>
                      </w:p>
                    </w:tc>
                    <w:tc>
                      <w:tcPr>
                        <w:tcW w:w="1292" w:type="dxa"/>
                      </w:tcPr>
                      <w:p>
                        <w:pPr>
                          <w:pStyle w:val="TableParagraph"/>
                          <w:spacing w:before="36"/>
                          <w:ind w:left="197"/>
                          <w:rPr>
                            <w:sz w:val="18"/>
                          </w:rPr>
                        </w:pPr>
                        <w:r>
                          <w:rPr>
                            <w:sz w:val="18"/>
                          </w:rPr>
                          <w:t>3.28</w:t>
                        </w:r>
                      </w:p>
                    </w:tc>
                    <w:tc>
                      <w:tcPr>
                        <w:tcW w:w="1749" w:type="dxa"/>
                      </w:tcPr>
                      <w:p>
                        <w:pPr>
                          <w:pStyle w:val="TableParagraph"/>
                          <w:spacing w:before="36"/>
                          <w:ind w:left="124"/>
                          <w:rPr>
                            <w:sz w:val="18"/>
                          </w:rPr>
                        </w:pPr>
                        <w:r>
                          <w:rPr>
                            <w:sz w:val="18"/>
                          </w:rPr>
                          <w:t>feet</w:t>
                        </w:r>
                      </w:p>
                    </w:tc>
                    <w:tc>
                      <w:tcPr>
                        <w:tcW w:w="1072" w:type="dxa"/>
                        <w:tcBorders>
                          <w:right w:val="single" w:sz="18" w:space="0" w:color="000000"/>
                        </w:tcBorders>
                      </w:tcPr>
                      <w:p>
                        <w:pPr>
                          <w:pStyle w:val="TableParagraph"/>
                          <w:spacing w:before="36"/>
                          <w:ind w:left="203"/>
                          <w:rPr>
                            <w:sz w:val="18"/>
                          </w:rPr>
                        </w:pPr>
                        <w:r>
                          <w:rPr>
                            <w:sz w:val="18"/>
                          </w:rPr>
                          <w:t>ft</w:t>
                        </w:r>
                      </w:p>
                    </w:tc>
                  </w:tr>
                  <w:tr>
                    <w:trPr>
                      <w:trHeight w:val="287"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6"/>
                          <w:ind w:left="67"/>
                          <w:rPr>
                            <w:sz w:val="18"/>
                          </w:rPr>
                        </w:pPr>
                        <w:r>
                          <w:rPr>
                            <w:sz w:val="18"/>
                          </w:rPr>
                          <w:t>yd</w:t>
                        </w:r>
                      </w:p>
                    </w:tc>
                    <w:tc>
                      <w:tcPr>
                        <w:tcW w:w="1785" w:type="dxa"/>
                      </w:tcPr>
                      <w:p>
                        <w:pPr>
                          <w:pStyle w:val="TableParagraph"/>
                          <w:spacing w:before="36"/>
                          <w:ind w:left="161"/>
                          <w:rPr>
                            <w:sz w:val="18"/>
                          </w:rPr>
                        </w:pPr>
                        <w:r>
                          <w:rPr>
                            <w:sz w:val="18"/>
                          </w:rPr>
                          <w:t>yards</w:t>
                        </w:r>
                      </w:p>
                    </w:tc>
                    <w:tc>
                      <w:tcPr>
                        <w:tcW w:w="1277" w:type="dxa"/>
                      </w:tcPr>
                      <w:p>
                        <w:pPr>
                          <w:pStyle w:val="TableParagraph"/>
                          <w:spacing w:before="36"/>
                          <w:ind w:left="176"/>
                          <w:rPr>
                            <w:sz w:val="18"/>
                          </w:rPr>
                        </w:pPr>
                        <w:r>
                          <w:rPr>
                            <w:sz w:val="18"/>
                          </w:rPr>
                          <w:t>0.914</w:t>
                        </w:r>
                      </w:p>
                    </w:tc>
                    <w:tc>
                      <w:tcPr>
                        <w:tcW w:w="1668" w:type="dxa"/>
                      </w:tcPr>
                      <w:p>
                        <w:pPr>
                          <w:pStyle w:val="TableParagraph"/>
                          <w:spacing w:before="36"/>
                          <w:ind w:left="130"/>
                          <w:rPr>
                            <w:sz w:val="18"/>
                          </w:rPr>
                        </w:pPr>
                        <w:r>
                          <w:rPr>
                            <w:sz w:val="18"/>
                          </w:rPr>
                          <w:t>meters</w:t>
                        </w:r>
                      </w:p>
                    </w:tc>
                    <w:tc>
                      <w:tcPr>
                        <w:tcW w:w="951" w:type="dxa"/>
                        <w:tcBorders>
                          <w:right w:val="double" w:sz="2" w:space="0" w:color="000000"/>
                        </w:tcBorders>
                      </w:tcPr>
                      <w:p>
                        <w:pPr>
                          <w:pStyle w:val="TableParagraph"/>
                          <w:spacing w:before="36"/>
                          <w:ind w:left="100"/>
                          <w:rPr>
                            <w:sz w:val="18"/>
                          </w:rPr>
                        </w:pPr>
                        <w:r>
                          <w:rPr>
                            <w:sz w:val="18"/>
                          </w:rPr>
                          <w:t>m</w:t>
                        </w:r>
                      </w:p>
                    </w:tc>
                    <w:tc>
                      <w:tcPr>
                        <w:tcW w:w="917" w:type="dxa"/>
                        <w:tcBorders>
                          <w:left w:val="double" w:sz="2" w:space="0" w:color="000000"/>
                        </w:tcBorders>
                      </w:tcPr>
                      <w:p>
                        <w:pPr>
                          <w:pStyle w:val="TableParagraph"/>
                          <w:spacing w:before="36"/>
                          <w:ind w:left="155"/>
                          <w:rPr>
                            <w:sz w:val="18"/>
                          </w:rPr>
                        </w:pPr>
                        <w:r>
                          <w:rPr>
                            <w:sz w:val="18"/>
                          </w:rPr>
                          <w:t>m</w:t>
                        </w:r>
                      </w:p>
                    </w:tc>
                    <w:tc>
                      <w:tcPr>
                        <w:tcW w:w="1840" w:type="dxa"/>
                      </w:tcPr>
                      <w:p>
                        <w:pPr>
                          <w:pStyle w:val="TableParagraph"/>
                          <w:spacing w:before="36"/>
                          <w:ind w:left="146"/>
                          <w:rPr>
                            <w:sz w:val="18"/>
                          </w:rPr>
                        </w:pPr>
                        <w:r>
                          <w:rPr>
                            <w:sz w:val="18"/>
                          </w:rPr>
                          <w:t>meters</w:t>
                        </w:r>
                      </w:p>
                    </w:tc>
                    <w:tc>
                      <w:tcPr>
                        <w:tcW w:w="1292" w:type="dxa"/>
                      </w:tcPr>
                      <w:p>
                        <w:pPr>
                          <w:pStyle w:val="TableParagraph"/>
                          <w:spacing w:before="36"/>
                          <w:ind w:left="197"/>
                          <w:rPr>
                            <w:sz w:val="18"/>
                          </w:rPr>
                        </w:pPr>
                        <w:r>
                          <w:rPr>
                            <w:sz w:val="18"/>
                          </w:rPr>
                          <w:t>1.09</w:t>
                        </w:r>
                      </w:p>
                    </w:tc>
                    <w:tc>
                      <w:tcPr>
                        <w:tcW w:w="1749" w:type="dxa"/>
                      </w:tcPr>
                      <w:p>
                        <w:pPr>
                          <w:pStyle w:val="TableParagraph"/>
                          <w:spacing w:before="36"/>
                          <w:ind w:left="124"/>
                          <w:rPr>
                            <w:sz w:val="18"/>
                          </w:rPr>
                        </w:pPr>
                        <w:r>
                          <w:rPr>
                            <w:sz w:val="18"/>
                          </w:rPr>
                          <w:t>yards</w:t>
                        </w:r>
                      </w:p>
                    </w:tc>
                    <w:tc>
                      <w:tcPr>
                        <w:tcW w:w="1072" w:type="dxa"/>
                        <w:tcBorders>
                          <w:right w:val="single" w:sz="18" w:space="0" w:color="000000"/>
                        </w:tcBorders>
                      </w:tcPr>
                      <w:p>
                        <w:pPr>
                          <w:pStyle w:val="TableParagraph"/>
                          <w:spacing w:before="36"/>
                          <w:ind w:left="203"/>
                          <w:rPr>
                            <w:sz w:val="18"/>
                          </w:rPr>
                        </w:pPr>
                        <w:r>
                          <w:rPr>
                            <w:sz w:val="18"/>
                          </w:rPr>
                          <w:t>yd</w:t>
                        </w:r>
                      </w:p>
                    </w:tc>
                  </w:tr>
                  <w:tr>
                    <w:trPr>
                      <w:trHeight w:val="289"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6"/>
                          <w:ind w:left="68"/>
                          <w:rPr>
                            <w:sz w:val="18"/>
                          </w:rPr>
                        </w:pPr>
                        <w:r>
                          <w:rPr>
                            <w:sz w:val="18"/>
                          </w:rPr>
                          <w:t>mi</w:t>
                        </w:r>
                      </w:p>
                    </w:tc>
                    <w:tc>
                      <w:tcPr>
                        <w:tcW w:w="1785" w:type="dxa"/>
                      </w:tcPr>
                      <w:p>
                        <w:pPr>
                          <w:pStyle w:val="TableParagraph"/>
                          <w:spacing w:before="36"/>
                          <w:ind w:left="161"/>
                          <w:rPr>
                            <w:sz w:val="18"/>
                          </w:rPr>
                        </w:pPr>
                        <w:r>
                          <w:rPr>
                            <w:sz w:val="18"/>
                          </w:rPr>
                          <w:t>miles</w:t>
                        </w:r>
                      </w:p>
                    </w:tc>
                    <w:tc>
                      <w:tcPr>
                        <w:tcW w:w="1277" w:type="dxa"/>
                      </w:tcPr>
                      <w:p>
                        <w:pPr>
                          <w:pStyle w:val="TableParagraph"/>
                          <w:spacing w:before="36"/>
                          <w:ind w:left="176"/>
                          <w:rPr>
                            <w:sz w:val="18"/>
                          </w:rPr>
                        </w:pPr>
                        <w:r>
                          <w:rPr>
                            <w:sz w:val="18"/>
                          </w:rPr>
                          <w:t>1.61</w:t>
                        </w:r>
                      </w:p>
                    </w:tc>
                    <w:tc>
                      <w:tcPr>
                        <w:tcW w:w="1668" w:type="dxa"/>
                      </w:tcPr>
                      <w:p>
                        <w:pPr>
                          <w:pStyle w:val="TableParagraph"/>
                          <w:spacing w:before="36"/>
                          <w:ind w:left="130"/>
                          <w:rPr>
                            <w:sz w:val="18"/>
                          </w:rPr>
                        </w:pPr>
                        <w:r>
                          <w:rPr>
                            <w:sz w:val="18"/>
                          </w:rPr>
                          <w:t>kilometers</w:t>
                        </w:r>
                      </w:p>
                    </w:tc>
                    <w:tc>
                      <w:tcPr>
                        <w:tcW w:w="951" w:type="dxa"/>
                        <w:tcBorders>
                          <w:right w:val="double" w:sz="2" w:space="0" w:color="000000"/>
                        </w:tcBorders>
                      </w:tcPr>
                      <w:p>
                        <w:pPr>
                          <w:pStyle w:val="TableParagraph"/>
                          <w:spacing w:before="36"/>
                          <w:ind w:left="100"/>
                          <w:rPr>
                            <w:sz w:val="18"/>
                          </w:rPr>
                        </w:pPr>
                        <w:r>
                          <w:rPr>
                            <w:sz w:val="18"/>
                          </w:rPr>
                          <w:t>km</w:t>
                        </w:r>
                      </w:p>
                    </w:tc>
                    <w:tc>
                      <w:tcPr>
                        <w:tcW w:w="917" w:type="dxa"/>
                        <w:tcBorders>
                          <w:left w:val="double" w:sz="2" w:space="0" w:color="000000"/>
                        </w:tcBorders>
                      </w:tcPr>
                      <w:p>
                        <w:pPr>
                          <w:pStyle w:val="TableParagraph"/>
                          <w:spacing w:before="36"/>
                          <w:ind w:left="155"/>
                          <w:rPr>
                            <w:sz w:val="18"/>
                          </w:rPr>
                        </w:pPr>
                        <w:r>
                          <w:rPr>
                            <w:sz w:val="18"/>
                          </w:rPr>
                          <w:t>km</w:t>
                        </w:r>
                      </w:p>
                    </w:tc>
                    <w:tc>
                      <w:tcPr>
                        <w:tcW w:w="1840" w:type="dxa"/>
                      </w:tcPr>
                      <w:p>
                        <w:pPr>
                          <w:pStyle w:val="TableParagraph"/>
                          <w:spacing w:before="36"/>
                          <w:ind w:left="146"/>
                          <w:rPr>
                            <w:sz w:val="18"/>
                          </w:rPr>
                        </w:pPr>
                        <w:r>
                          <w:rPr>
                            <w:sz w:val="18"/>
                          </w:rPr>
                          <w:t>kilometers</w:t>
                        </w:r>
                      </w:p>
                    </w:tc>
                    <w:tc>
                      <w:tcPr>
                        <w:tcW w:w="1292" w:type="dxa"/>
                      </w:tcPr>
                      <w:p>
                        <w:pPr>
                          <w:pStyle w:val="TableParagraph"/>
                          <w:spacing w:before="36"/>
                          <w:ind w:left="197"/>
                          <w:rPr>
                            <w:sz w:val="18"/>
                          </w:rPr>
                        </w:pPr>
                        <w:r>
                          <w:rPr>
                            <w:sz w:val="18"/>
                          </w:rPr>
                          <w:t>0.621</w:t>
                        </w:r>
                      </w:p>
                    </w:tc>
                    <w:tc>
                      <w:tcPr>
                        <w:tcW w:w="1749" w:type="dxa"/>
                      </w:tcPr>
                      <w:p>
                        <w:pPr>
                          <w:pStyle w:val="TableParagraph"/>
                          <w:spacing w:before="36"/>
                          <w:ind w:left="124"/>
                          <w:rPr>
                            <w:sz w:val="18"/>
                          </w:rPr>
                        </w:pPr>
                        <w:r>
                          <w:rPr>
                            <w:sz w:val="18"/>
                          </w:rPr>
                          <w:t>miles</w:t>
                        </w:r>
                      </w:p>
                    </w:tc>
                    <w:tc>
                      <w:tcPr>
                        <w:tcW w:w="1072" w:type="dxa"/>
                        <w:tcBorders>
                          <w:right w:val="single" w:sz="18" w:space="0" w:color="000000"/>
                        </w:tcBorders>
                      </w:tcPr>
                      <w:p>
                        <w:pPr>
                          <w:pStyle w:val="TableParagraph"/>
                          <w:spacing w:before="36"/>
                          <w:ind w:left="203"/>
                          <w:rPr>
                            <w:sz w:val="18"/>
                          </w:rPr>
                        </w:pPr>
                        <w:r>
                          <w:rPr>
                            <w:sz w:val="18"/>
                          </w:rPr>
                          <w:t>mi</w:t>
                        </w:r>
                      </w:p>
                    </w:tc>
                  </w:tr>
                  <w:tr>
                    <w:trPr>
                      <w:trHeight w:val="274"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rPr>
                            <w:sz w:val="18"/>
                          </w:rPr>
                        </w:pPr>
                      </w:p>
                    </w:tc>
                    <w:tc>
                      <w:tcPr>
                        <w:tcW w:w="1785" w:type="dxa"/>
                      </w:tcPr>
                      <w:p>
                        <w:pPr>
                          <w:pStyle w:val="TableParagraph"/>
                          <w:rPr>
                            <w:sz w:val="18"/>
                          </w:rPr>
                        </w:pPr>
                      </w:p>
                    </w:tc>
                    <w:tc>
                      <w:tcPr>
                        <w:tcW w:w="1277" w:type="dxa"/>
                      </w:tcPr>
                      <w:p>
                        <w:pPr>
                          <w:pStyle w:val="TableParagraph"/>
                          <w:spacing w:before="38"/>
                          <w:ind w:left="321"/>
                          <w:rPr>
                            <w:b/>
                            <w:sz w:val="18"/>
                          </w:rPr>
                        </w:pPr>
                        <w:r>
                          <w:rPr>
                            <w:b/>
                            <w:sz w:val="18"/>
                            <w:u w:val="single"/>
                          </w:rPr>
                          <w:t>AREA</w:t>
                        </w:r>
                      </w:p>
                    </w:tc>
                    <w:tc>
                      <w:tcPr>
                        <w:tcW w:w="1668" w:type="dxa"/>
                      </w:tcPr>
                      <w:p>
                        <w:pPr>
                          <w:pStyle w:val="TableParagraph"/>
                          <w:rPr>
                            <w:sz w:val="18"/>
                          </w:rPr>
                        </w:pPr>
                      </w:p>
                    </w:tc>
                    <w:tc>
                      <w:tcPr>
                        <w:tcW w:w="951" w:type="dxa"/>
                        <w:tcBorders>
                          <w:right w:val="double" w:sz="2" w:space="0" w:color="000000"/>
                        </w:tcBorders>
                      </w:tcPr>
                      <w:p>
                        <w:pPr>
                          <w:pStyle w:val="TableParagraph"/>
                          <w:rPr>
                            <w:sz w:val="18"/>
                          </w:rPr>
                        </w:pPr>
                      </w:p>
                    </w:tc>
                    <w:tc>
                      <w:tcPr>
                        <w:tcW w:w="917" w:type="dxa"/>
                        <w:tcBorders>
                          <w:left w:val="double" w:sz="2" w:space="0" w:color="000000"/>
                        </w:tcBorders>
                      </w:tcPr>
                      <w:p>
                        <w:pPr>
                          <w:pStyle w:val="TableParagraph"/>
                          <w:rPr>
                            <w:sz w:val="18"/>
                          </w:rPr>
                        </w:pPr>
                      </w:p>
                    </w:tc>
                    <w:tc>
                      <w:tcPr>
                        <w:tcW w:w="1840" w:type="dxa"/>
                      </w:tcPr>
                      <w:p>
                        <w:pPr>
                          <w:pStyle w:val="TableParagraph"/>
                          <w:rPr>
                            <w:sz w:val="18"/>
                          </w:rPr>
                        </w:pPr>
                      </w:p>
                    </w:tc>
                    <w:tc>
                      <w:tcPr>
                        <w:tcW w:w="1292" w:type="dxa"/>
                      </w:tcPr>
                      <w:p>
                        <w:pPr>
                          <w:pStyle w:val="TableParagraph"/>
                          <w:spacing w:before="38"/>
                          <w:ind w:left="419"/>
                          <w:rPr>
                            <w:b/>
                            <w:sz w:val="18"/>
                          </w:rPr>
                        </w:pPr>
                        <w:r>
                          <w:rPr>
                            <w:b/>
                            <w:sz w:val="18"/>
                            <w:u w:val="single"/>
                          </w:rPr>
                          <w:t>AREA</w:t>
                        </w:r>
                      </w:p>
                    </w:tc>
                    <w:tc>
                      <w:tcPr>
                        <w:tcW w:w="1749" w:type="dxa"/>
                      </w:tcPr>
                      <w:p>
                        <w:pPr>
                          <w:pStyle w:val="TableParagraph"/>
                          <w:rPr>
                            <w:sz w:val="18"/>
                          </w:rPr>
                        </w:pPr>
                      </w:p>
                    </w:tc>
                    <w:tc>
                      <w:tcPr>
                        <w:tcW w:w="1072" w:type="dxa"/>
                        <w:tcBorders>
                          <w:right w:val="single" w:sz="18" w:space="0" w:color="000000"/>
                        </w:tcBorders>
                      </w:tcPr>
                      <w:p>
                        <w:pPr>
                          <w:pStyle w:val="TableParagraph"/>
                          <w:rPr>
                            <w:sz w:val="18"/>
                          </w:rPr>
                        </w:pPr>
                      </w:p>
                    </w:tc>
                  </w:tr>
                  <w:tr>
                    <w:trPr>
                      <w:trHeight w:val="286"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48"/>
                          <w:ind w:left="68"/>
                          <w:rPr>
                            <w:sz w:val="18"/>
                          </w:rPr>
                        </w:pPr>
                        <w:r>
                          <w:rPr>
                            <w:sz w:val="18"/>
                          </w:rPr>
                          <w:t>in</w:t>
                        </w:r>
                        <w:r>
                          <w:rPr>
                            <w:sz w:val="18"/>
                            <w:vertAlign w:val="superscript"/>
                          </w:rPr>
                          <w:t>2</w:t>
                        </w:r>
                      </w:p>
                    </w:tc>
                    <w:tc>
                      <w:tcPr>
                        <w:tcW w:w="1785" w:type="dxa"/>
                      </w:tcPr>
                      <w:p>
                        <w:pPr>
                          <w:pStyle w:val="TableParagraph"/>
                          <w:spacing w:before="48"/>
                          <w:ind w:left="161"/>
                          <w:rPr>
                            <w:sz w:val="18"/>
                          </w:rPr>
                        </w:pPr>
                        <w:r>
                          <w:rPr>
                            <w:sz w:val="18"/>
                          </w:rPr>
                          <w:t>square inches</w:t>
                        </w:r>
                      </w:p>
                    </w:tc>
                    <w:tc>
                      <w:tcPr>
                        <w:tcW w:w="1277" w:type="dxa"/>
                      </w:tcPr>
                      <w:p>
                        <w:pPr>
                          <w:pStyle w:val="TableParagraph"/>
                          <w:spacing w:before="48"/>
                          <w:ind w:left="176"/>
                          <w:rPr>
                            <w:sz w:val="18"/>
                          </w:rPr>
                        </w:pPr>
                        <w:r>
                          <w:rPr>
                            <w:sz w:val="18"/>
                          </w:rPr>
                          <w:t>645.2</w:t>
                        </w:r>
                      </w:p>
                    </w:tc>
                    <w:tc>
                      <w:tcPr>
                        <w:tcW w:w="1668" w:type="dxa"/>
                      </w:tcPr>
                      <w:p>
                        <w:pPr>
                          <w:pStyle w:val="TableParagraph"/>
                          <w:spacing w:before="48"/>
                          <w:ind w:left="130"/>
                          <w:rPr>
                            <w:sz w:val="18"/>
                          </w:rPr>
                        </w:pPr>
                        <w:r>
                          <w:rPr>
                            <w:sz w:val="18"/>
                          </w:rPr>
                          <w:t>millimeters squared</w:t>
                        </w:r>
                      </w:p>
                    </w:tc>
                    <w:tc>
                      <w:tcPr>
                        <w:tcW w:w="951" w:type="dxa"/>
                        <w:tcBorders>
                          <w:right w:val="double" w:sz="2" w:space="0" w:color="000000"/>
                        </w:tcBorders>
                      </w:tcPr>
                      <w:p>
                        <w:pPr>
                          <w:pStyle w:val="TableParagraph"/>
                          <w:spacing w:before="48"/>
                          <w:ind w:left="100"/>
                          <w:rPr>
                            <w:sz w:val="18"/>
                          </w:rPr>
                        </w:pPr>
                        <w:r>
                          <w:rPr>
                            <w:sz w:val="18"/>
                          </w:rPr>
                          <w:t>mm</w:t>
                        </w:r>
                        <w:r>
                          <w:rPr>
                            <w:sz w:val="18"/>
                            <w:vertAlign w:val="superscript"/>
                          </w:rPr>
                          <w:t>2</w:t>
                        </w:r>
                      </w:p>
                    </w:tc>
                    <w:tc>
                      <w:tcPr>
                        <w:tcW w:w="917" w:type="dxa"/>
                        <w:tcBorders>
                          <w:left w:val="double" w:sz="2" w:space="0" w:color="000000"/>
                        </w:tcBorders>
                      </w:tcPr>
                      <w:p>
                        <w:pPr>
                          <w:pStyle w:val="TableParagraph"/>
                          <w:spacing w:before="48"/>
                          <w:ind w:left="155"/>
                          <w:rPr>
                            <w:sz w:val="18"/>
                          </w:rPr>
                        </w:pPr>
                        <w:r>
                          <w:rPr>
                            <w:sz w:val="18"/>
                          </w:rPr>
                          <w:t>mm</w:t>
                        </w:r>
                        <w:r>
                          <w:rPr>
                            <w:sz w:val="18"/>
                            <w:vertAlign w:val="superscript"/>
                          </w:rPr>
                          <w:t>2</w:t>
                        </w:r>
                      </w:p>
                    </w:tc>
                    <w:tc>
                      <w:tcPr>
                        <w:tcW w:w="1840" w:type="dxa"/>
                      </w:tcPr>
                      <w:p>
                        <w:pPr>
                          <w:pStyle w:val="TableParagraph"/>
                          <w:spacing w:before="48"/>
                          <w:ind w:left="146"/>
                          <w:rPr>
                            <w:sz w:val="18"/>
                          </w:rPr>
                        </w:pPr>
                        <w:r>
                          <w:rPr>
                            <w:sz w:val="18"/>
                          </w:rPr>
                          <w:t>millimeters squared</w:t>
                        </w:r>
                      </w:p>
                    </w:tc>
                    <w:tc>
                      <w:tcPr>
                        <w:tcW w:w="1292" w:type="dxa"/>
                      </w:tcPr>
                      <w:p>
                        <w:pPr>
                          <w:pStyle w:val="TableParagraph"/>
                          <w:spacing w:before="48"/>
                          <w:ind w:left="197"/>
                          <w:rPr>
                            <w:sz w:val="18"/>
                          </w:rPr>
                        </w:pPr>
                        <w:r>
                          <w:rPr>
                            <w:sz w:val="18"/>
                          </w:rPr>
                          <w:t>0.0016</w:t>
                        </w:r>
                      </w:p>
                    </w:tc>
                    <w:tc>
                      <w:tcPr>
                        <w:tcW w:w="1749" w:type="dxa"/>
                      </w:tcPr>
                      <w:p>
                        <w:pPr>
                          <w:pStyle w:val="TableParagraph"/>
                          <w:spacing w:before="48"/>
                          <w:ind w:left="124"/>
                          <w:rPr>
                            <w:sz w:val="18"/>
                          </w:rPr>
                        </w:pPr>
                        <w:r>
                          <w:rPr>
                            <w:sz w:val="18"/>
                          </w:rPr>
                          <w:t>square inches</w:t>
                        </w:r>
                      </w:p>
                    </w:tc>
                    <w:tc>
                      <w:tcPr>
                        <w:tcW w:w="1072" w:type="dxa"/>
                        <w:tcBorders>
                          <w:right w:val="single" w:sz="18" w:space="0" w:color="000000"/>
                        </w:tcBorders>
                      </w:tcPr>
                      <w:p>
                        <w:pPr>
                          <w:pStyle w:val="TableParagraph"/>
                          <w:spacing w:before="48"/>
                          <w:ind w:left="203"/>
                          <w:rPr>
                            <w:sz w:val="18"/>
                          </w:rPr>
                        </w:pPr>
                        <w:r>
                          <w:rPr>
                            <w:sz w:val="18"/>
                          </w:rPr>
                          <w:t>in</w:t>
                        </w:r>
                        <w:r>
                          <w:rPr>
                            <w:sz w:val="18"/>
                            <w:vertAlign w:val="superscript"/>
                          </w:rPr>
                          <w:t>2</w:t>
                        </w:r>
                      </w:p>
                    </w:tc>
                  </w:tr>
                  <w:tr>
                    <w:trPr>
                      <w:trHeight w:val="287"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8"/>
                          <w:rPr>
                            <w:sz w:val="18"/>
                          </w:rPr>
                        </w:pPr>
                        <w:r>
                          <w:rPr>
                            <w:sz w:val="18"/>
                          </w:rPr>
                          <w:t>ft</w:t>
                        </w:r>
                        <w:r>
                          <w:rPr>
                            <w:sz w:val="18"/>
                            <w:vertAlign w:val="superscript"/>
                          </w:rPr>
                          <w:t>2</w:t>
                        </w:r>
                      </w:p>
                    </w:tc>
                    <w:tc>
                      <w:tcPr>
                        <w:tcW w:w="1785" w:type="dxa"/>
                      </w:tcPr>
                      <w:p>
                        <w:pPr>
                          <w:pStyle w:val="TableParagraph"/>
                          <w:spacing w:before="50"/>
                          <w:ind w:left="161"/>
                          <w:rPr>
                            <w:sz w:val="18"/>
                          </w:rPr>
                        </w:pPr>
                        <w:r>
                          <w:rPr>
                            <w:sz w:val="18"/>
                          </w:rPr>
                          <w:t>square feet</w:t>
                        </w:r>
                      </w:p>
                    </w:tc>
                    <w:tc>
                      <w:tcPr>
                        <w:tcW w:w="1277" w:type="dxa"/>
                      </w:tcPr>
                      <w:p>
                        <w:pPr>
                          <w:pStyle w:val="TableParagraph"/>
                          <w:spacing w:before="50"/>
                          <w:ind w:left="176"/>
                          <w:rPr>
                            <w:sz w:val="18"/>
                          </w:rPr>
                        </w:pPr>
                        <w:r>
                          <w:rPr>
                            <w:sz w:val="18"/>
                          </w:rPr>
                          <w:t>0.093</w:t>
                        </w:r>
                      </w:p>
                    </w:tc>
                    <w:tc>
                      <w:tcPr>
                        <w:tcW w:w="1668" w:type="dxa"/>
                      </w:tcPr>
                      <w:p>
                        <w:pPr>
                          <w:pStyle w:val="TableParagraph"/>
                          <w:spacing w:before="50"/>
                          <w:ind w:left="130"/>
                          <w:rPr>
                            <w:sz w:val="18"/>
                          </w:rPr>
                        </w:pPr>
                        <w:r>
                          <w:rPr>
                            <w:sz w:val="18"/>
                          </w:rPr>
                          <w:t>meters squared</w:t>
                        </w:r>
                      </w:p>
                    </w:tc>
                    <w:tc>
                      <w:tcPr>
                        <w:tcW w:w="951" w:type="dxa"/>
                        <w:tcBorders>
                          <w:right w:val="double" w:sz="2" w:space="0" w:color="000000"/>
                        </w:tcBorders>
                      </w:tcPr>
                      <w:p>
                        <w:pPr>
                          <w:pStyle w:val="TableParagraph"/>
                          <w:spacing w:before="25"/>
                          <w:ind w:left="100"/>
                          <w:rPr>
                            <w:sz w:val="12"/>
                          </w:rPr>
                        </w:pPr>
                        <w:r>
                          <w:rPr>
                            <w:position w:val="-7"/>
                            <w:sz w:val="18"/>
                          </w:rPr>
                          <w:t>m</w:t>
                        </w:r>
                        <w:r>
                          <w:rPr>
                            <w:sz w:val="12"/>
                          </w:rPr>
                          <w:t>2</w:t>
                        </w:r>
                      </w:p>
                    </w:tc>
                    <w:tc>
                      <w:tcPr>
                        <w:tcW w:w="917" w:type="dxa"/>
                        <w:tcBorders>
                          <w:left w:val="double" w:sz="2" w:space="0" w:color="000000"/>
                        </w:tcBorders>
                      </w:tcPr>
                      <w:p>
                        <w:pPr>
                          <w:pStyle w:val="TableParagraph"/>
                          <w:spacing w:before="25"/>
                          <w:ind w:left="155"/>
                          <w:rPr>
                            <w:sz w:val="12"/>
                          </w:rPr>
                        </w:pPr>
                        <w:r>
                          <w:rPr>
                            <w:position w:val="-7"/>
                            <w:sz w:val="18"/>
                          </w:rPr>
                          <w:t>m</w:t>
                        </w:r>
                        <w:r>
                          <w:rPr>
                            <w:sz w:val="12"/>
                          </w:rPr>
                          <w:t>2</w:t>
                        </w:r>
                      </w:p>
                    </w:tc>
                    <w:tc>
                      <w:tcPr>
                        <w:tcW w:w="1840" w:type="dxa"/>
                      </w:tcPr>
                      <w:p>
                        <w:pPr>
                          <w:pStyle w:val="TableParagraph"/>
                          <w:spacing w:before="50"/>
                          <w:ind w:left="146"/>
                          <w:rPr>
                            <w:sz w:val="18"/>
                          </w:rPr>
                        </w:pPr>
                        <w:r>
                          <w:rPr>
                            <w:sz w:val="18"/>
                          </w:rPr>
                          <w:t>meters squared</w:t>
                        </w:r>
                      </w:p>
                    </w:tc>
                    <w:tc>
                      <w:tcPr>
                        <w:tcW w:w="1292" w:type="dxa"/>
                      </w:tcPr>
                      <w:p>
                        <w:pPr>
                          <w:pStyle w:val="TableParagraph"/>
                          <w:spacing w:before="50"/>
                          <w:ind w:left="197"/>
                          <w:rPr>
                            <w:sz w:val="18"/>
                          </w:rPr>
                        </w:pPr>
                        <w:r>
                          <w:rPr>
                            <w:sz w:val="18"/>
                          </w:rPr>
                          <w:t>10.764</w:t>
                        </w:r>
                      </w:p>
                    </w:tc>
                    <w:tc>
                      <w:tcPr>
                        <w:tcW w:w="1749" w:type="dxa"/>
                      </w:tcPr>
                      <w:p>
                        <w:pPr>
                          <w:pStyle w:val="TableParagraph"/>
                          <w:spacing w:before="50"/>
                          <w:ind w:left="124"/>
                          <w:rPr>
                            <w:sz w:val="18"/>
                          </w:rPr>
                        </w:pPr>
                        <w:r>
                          <w:rPr>
                            <w:sz w:val="18"/>
                          </w:rPr>
                          <w:t>square feet</w:t>
                        </w:r>
                      </w:p>
                    </w:tc>
                    <w:tc>
                      <w:tcPr>
                        <w:tcW w:w="1072" w:type="dxa"/>
                        <w:tcBorders>
                          <w:right w:val="single" w:sz="18" w:space="0" w:color="000000"/>
                        </w:tcBorders>
                      </w:tcPr>
                      <w:p>
                        <w:pPr>
                          <w:pStyle w:val="TableParagraph"/>
                          <w:spacing w:before="50"/>
                          <w:ind w:left="203"/>
                          <w:rPr>
                            <w:sz w:val="18"/>
                          </w:rPr>
                        </w:pPr>
                        <w:r>
                          <w:rPr>
                            <w:sz w:val="18"/>
                          </w:rPr>
                          <w:t>ft</w:t>
                        </w:r>
                        <w:r>
                          <w:rPr>
                            <w:sz w:val="18"/>
                            <w:vertAlign w:val="superscript"/>
                          </w:rPr>
                          <w:t>2</w:t>
                        </w:r>
                      </w:p>
                    </w:tc>
                  </w:tr>
                  <w:tr>
                    <w:trPr>
                      <w:trHeight w:val="287"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7"/>
                          <w:rPr>
                            <w:sz w:val="18"/>
                          </w:rPr>
                        </w:pPr>
                        <w:r>
                          <w:rPr>
                            <w:sz w:val="18"/>
                          </w:rPr>
                          <w:t>yd</w:t>
                        </w:r>
                        <w:r>
                          <w:rPr>
                            <w:sz w:val="18"/>
                            <w:vertAlign w:val="superscript"/>
                          </w:rPr>
                          <w:t>2</w:t>
                        </w:r>
                      </w:p>
                    </w:tc>
                    <w:tc>
                      <w:tcPr>
                        <w:tcW w:w="1785" w:type="dxa"/>
                      </w:tcPr>
                      <w:p>
                        <w:pPr>
                          <w:pStyle w:val="TableParagraph"/>
                          <w:spacing w:before="50"/>
                          <w:ind w:left="161"/>
                          <w:rPr>
                            <w:sz w:val="18"/>
                          </w:rPr>
                        </w:pPr>
                        <w:r>
                          <w:rPr>
                            <w:sz w:val="18"/>
                          </w:rPr>
                          <w:t>square yards</w:t>
                        </w:r>
                      </w:p>
                    </w:tc>
                    <w:tc>
                      <w:tcPr>
                        <w:tcW w:w="1277" w:type="dxa"/>
                      </w:tcPr>
                      <w:p>
                        <w:pPr>
                          <w:pStyle w:val="TableParagraph"/>
                          <w:spacing w:before="50"/>
                          <w:ind w:left="176"/>
                          <w:rPr>
                            <w:sz w:val="18"/>
                          </w:rPr>
                        </w:pPr>
                        <w:r>
                          <w:rPr>
                            <w:sz w:val="18"/>
                          </w:rPr>
                          <w:t>0.836</w:t>
                        </w:r>
                      </w:p>
                    </w:tc>
                    <w:tc>
                      <w:tcPr>
                        <w:tcW w:w="1668" w:type="dxa"/>
                      </w:tcPr>
                      <w:p>
                        <w:pPr>
                          <w:pStyle w:val="TableParagraph"/>
                          <w:spacing w:before="50"/>
                          <w:ind w:left="130"/>
                          <w:rPr>
                            <w:sz w:val="18"/>
                          </w:rPr>
                        </w:pPr>
                        <w:r>
                          <w:rPr>
                            <w:sz w:val="18"/>
                          </w:rPr>
                          <w:t>meters squared</w:t>
                        </w:r>
                      </w:p>
                    </w:tc>
                    <w:tc>
                      <w:tcPr>
                        <w:tcW w:w="951" w:type="dxa"/>
                        <w:tcBorders>
                          <w:right w:val="double" w:sz="2" w:space="0" w:color="000000"/>
                        </w:tcBorders>
                      </w:tcPr>
                      <w:p>
                        <w:pPr>
                          <w:pStyle w:val="TableParagraph"/>
                          <w:spacing w:before="25"/>
                          <w:ind w:left="100"/>
                          <w:rPr>
                            <w:sz w:val="12"/>
                          </w:rPr>
                        </w:pPr>
                        <w:r>
                          <w:rPr>
                            <w:position w:val="-7"/>
                            <w:sz w:val="18"/>
                          </w:rPr>
                          <w:t>m</w:t>
                        </w:r>
                        <w:r>
                          <w:rPr>
                            <w:sz w:val="12"/>
                          </w:rPr>
                          <w:t>2</w:t>
                        </w:r>
                      </w:p>
                    </w:tc>
                    <w:tc>
                      <w:tcPr>
                        <w:tcW w:w="917" w:type="dxa"/>
                        <w:tcBorders>
                          <w:left w:val="double" w:sz="2" w:space="0" w:color="000000"/>
                        </w:tcBorders>
                      </w:tcPr>
                      <w:p>
                        <w:pPr>
                          <w:pStyle w:val="TableParagraph"/>
                          <w:spacing w:before="50"/>
                          <w:ind w:left="155"/>
                          <w:rPr>
                            <w:sz w:val="18"/>
                          </w:rPr>
                        </w:pPr>
                        <w:r>
                          <w:rPr>
                            <w:sz w:val="18"/>
                          </w:rPr>
                          <w:t>ha</w:t>
                        </w:r>
                      </w:p>
                    </w:tc>
                    <w:tc>
                      <w:tcPr>
                        <w:tcW w:w="1840" w:type="dxa"/>
                      </w:tcPr>
                      <w:p>
                        <w:pPr>
                          <w:pStyle w:val="TableParagraph"/>
                          <w:spacing w:before="50"/>
                          <w:ind w:left="146"/>
                          <w:rPr>
                            <w:sz w:val="18"/>
                          </w:rPr>
                        </w:pPr>
                        <w:r>
                          <w:rPr>
                            <w:sz w:val="18"/>
                          </w:rPr>
                          <w:t>hectares</w:t>
                        </w:r>
                      </w:p>
                    </w:tc>
                    <w:tc>
                      <w:tcPr>
                        <w:tcW w:w="1292" w:type="dxa"/>
                      </w:tcPr>
                      <w:p>
                        <w:pPr>
                          <w:pStyle w:val="TableParagraph"/>
                          <w:spacing w:before="50"/>
                          <w:ind w:left="197"/>
                          <w:rPr>
                            <w:sz w:val="18"/>
                          </w:rPr>
                        </w:pPr>
                        <w:r>
                          <w:rPr>
                            <w:sz w:val="18"/>
                          </w:rPr>
                          <w:t>2.47</w:t>
                        </w:r>
                      </w:p>
                    </w:tc>
                    <w:tc>
                      <w:tcPr>
                        <w:tcW w:w="1749" w:type="dxa"/>
                      </w:tcPr>
                      <w:p>
                        <w:pPr>
                          <w:pStyle w:val="TableParagraph"/>
                          <w:spacing w:before="50"/>
                          <w:ind w:left="124"/>
                          <w:rPr>
                            <w:sz w:val="18"/>
                          </w:rPr>
                        </w:pPr>
                        <w:r>
                          <w:rPr>
                            <w:sz w:val="18"/>
                          </w:rPr>
                          <w:t>acres</w:t>
                        </w:r>
                      </w:p>
                    </w:tc>
                    <w:tc>
                      <w:tcPr>
                        <w:tcW w:w="1072" w:type="dxa"/>
                        <w:tcBorders>
                          <w:right w:val="single" w:sz="18" w:space="0" w:color="000000"/>
                        </w:tcBorders>
                      </w:tcPr>
                      <w:p>
                        <w:pPr>
                          <w:pStyle w:val="TableParagraph"/>
                          <w:spacing w:before="50"/>
                          <w:ind w:left="203"/>
                          <w:rPr>
                            <w:sz w:val="18"/>
                          </w:rPr>
                        </w:pPr>
                        <w:r>
                          <w:rPr>
                            <w:sz w:val="18"/>
                          </w:rPr>
                          <w:t>ac</w:t>
                        </w:r>
                      </w:p>
                    </w:tc>
                  </w:tr>
                  <w:tr>
                    <w:trPr>
                      <w:trHeight w:val="288"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8"/>
                          <w:rPr>
                            <w:sz w:val="18"/>
                          </w:rPr>
                        </w:pPr>
                        <w:r>
                          <w:rPr>
                            <w:sz w:val="18"/>
                          </w:rPr>
                          <w:t>ac</w:t>
                        </w:r>
                      </w:p>
                    </w:tc>
                    <w:tc>
                      <w:tcPr>
                        <w:tcW w:w="1785" w:type="dxa"/>
                      </w:tcPr>
                      <w:p>
                        <w:pPr>
                          <w:pStyle w:val="TableParagraph"/>
                          <w:spacing w:before="50"/>
                          <w:ind w:left="161"/>
                          <w:rPr>
                            <w:sz w:val="18"/>
                          </w:rPr>
                        </w:pPr>
                        <w:r>
                          <w:rPr>
                            <w:sz w:val="18"/>
                          </w:rPr>
                          <w:t>acres</w:t>
                        </w:r>
                      </w:p>
                    </w:tc>
                    <w:tc>
                      <w:tcPr>
                        <w:tcW w:w="1277" w:type="dxa"/>
                      </w:tcPr>
                      <w:p>
                        <w:pPr>
                          <w:pStyle w:val="TableParagraph"/>
                          <w:spacing w:before="50"/>
                          <w:ind w:left="176"/>
                          <w:rPr>
                            <w:sz w:val="18"/>
                          </w:rPr>
                        </w:pPr>
                        <w:r>
                          <w:rPr>
                            <w:sz w:val="18"/>
                          </w:rPr>
                          <w:t>0.405</w:t>
                        </w:r>
                      </w:p>
                    </w:tc>
                    <w:tc>
                      <w:tcPr>
                        <w:tcW w:w="1668" w:type="dxa"/>
                      </w:tcPr>
                      <w:p>
                        <w:pPr>
                          <w:pStyle w:val="TableParagraph"/>
                          <w:spacing w:before="50"/>
                          <w:ind w:left="130"/>
                          <w:rPr>
                            <w:sz w:val="18"/>
                          </w:rPr>
                        </w:pPr>
                        <w:r>
                          <w:rPr>
                            <w:sz w:val="18"/>
                          </w:rPr>
                          <w:t>hectares</w:t>
                        </w:r>
                      </w:p>
                    </w:tc>
                    <w:tc>
                      <w:tcPr>
                        <w:tcW w:w="951" w:type="dxa"/>
                        <w:tcBorders>
                          <w:right w:val="double" w:sz="2" w:space="0" w:color="000000"/>
                        </w:tcBorders>
                      </w:tcPr>
                      <w:p>
                        <w:pPr>
                          <w:pStyle w:val="TableParagraph"/>
                          <w:spacing w:before="50"/>
                          <w:ind w:left="100"/>
                          <w:rPr>
                            <w:sz w:val="18"/>
                          </w:rPr>
                        </w:pPr>
                        <w:r>
                          <w:rPr>
                            <w:sz w:val="18"/>
                          </w:rPr>
                          <w:t>ha</w:t>
                        </w:r>
                      </w:p>
                    </w:tc>
                    <w:tc>
                      <w:tcPr>
                        <w:tcW w:w="917" w:type="dxa"/>
                        <w:tcBorders>
                          <w:left w:val="double" w:sz="2" w:space="0" w:color="000000"/>
                        </w:tcBorders>
                      </w:tcPr>
                      <w:p>
                        <w:pPr>
                          <w:pStyle w:val="TableParagraph"/>
                          <w:spacing w:before="50"/>
                          <w:ind w:left="155"/>
                          <w:rPr>
                            <w:sz w:val="18"/>
                          </w:rPr>
                        </w:pPr>
                        <w:r>
                          <w:rPr>
                            <w:sz w:val="18"/>
                          </w:rPr>
                          <w:t>km</w:t>
                        </w:r>
                        <w:r>
                          <w:rPr>
                            <w:sz w:val="18"/>
                            <w:vertAlign w:val="superscript"/>
                          </w:rPr>
                          <w:t>2</w:t>
                        </w:r>
                      </w:p>
                    </w:tc>
                    <w:tc>
                      <w:tcPr>
                        <w:tcW w:w="1840" w:type="dxa"/>
                      </w:tcPr>
                      <w:p>
                        <w:pPr>
                          <w:pStyle w:val="TableParagraph"/>
                          <w:spacing w:before="50"/>
                          <w:ind w:left="146"/>
                          <w:rPr>
                            <w:sz w:val="18"/>
                          </w:rPr>
                        </w:pPr>
                        <w:r>
                          <w:rPr>
                            <w:sz w:val="18"/>
                          </w:rPr>
                          <w:t>kilometers squared</w:t>
                        </w:r>
                      </w:p>
                    </w:tc>
                    <w:tc>
                      <w:tcPr>
                        <w:tcW w:w="1292" w:type="dxa"/>
                      </w:tcPr>
                      <w:p>
                        <w:pPr>
                          <w:pStyle w:val="TableParagraph"/>
                          <w:spacing w:before="50"/>
                          <w:ind w:left="197"/>
                          <w:rPr>
                            <w:sz w:val="18"/>
                          </w:rPr>
                        </w:pPr>
                        <w:r>
                          <w:rPr>
                            <w:sz w:val="18"/>
                          </w:rPr>
                          <w:t>0.386</w:t>
                        </w:r>
                      </w:p>
                    </w:tc>
                    <w:tc>
                      <w:tcPr>
                        <w:tcW w:w="1749" w:type="dxa"/>
                      </w:tcPr>
                      <w:p>
                        <w:pPr>
                          <w:pStyle w:val="TableParagraph"/>
                          <w:spacing w:before="50"/>
                          <w:ind w:left="124"/>
                          <w:rPr>
                            <w:sz w:val="18"/>
                          </w:rPr>
                        </w:pPr>
                        <w:r>
                          <w:rPr>
                            <w:sz w:val="18"/>
                          </w:rPr>
                          <w:t>square miles</w:t>
                        </w:r>
                      </w:p>
                    </w:tc>
                    <w:tc>
                      <w:tcPr>
                        <w:tcW w:w="1072" w:type="dxa"/>
                        <w:tcBorders>
                          <w:right w:val="single" w:sz="18" w:space="0" w:color="000000"/>
                        </w:tcBorders>
                      </w:tcPr>
                      <w:p>
                        <w:pPr>
                          <w:pStyle w:val="TableParagraph"/>
                          <w:spacing w:before="50"/>
                          <w:ind w:left="203"/>
                          <w:rPr>
                            <w:sz w:val="18"/>
                          </w:rPr>
                        </w:pPr>
                        <w:r>
                          <w:rPr>
                            <w:sz w:val="18"/>
                          </w:rPr>
                          <w:t>mi</w:t>
                        </w:r>
                        <w:r>
                          <w:rPr>
                            <w:sz w:val="18"/>
                            <w:vertAlign w:val="superscript"/>
                          </w:rPr>
                          <w:t>2</w:t>
                        </w:r>
                      </w:p>
                    </w:tc>
                  </w:tr>
                  <w:tr>
                    <w:trPr>
                      <w:trHeight w:val="303"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8"/>
                          <w:rPr>
                            <w:sz w:val="18"/>
                          </w:rPr>
                        </w:pPr>
                        <w:r>
                          <w:rPr>
                            <w:sz w:val="18"/>
                          </w:rPr>
                          <w:t>mi</w:t>
                        </w:r>
                        <w:r>
                          <w:rPr>
                            <w:sz w:val="18"/>
                            <w:vertAlign w:val="superscript"/>
                          </w:rPr>
                          <w:t>2</w:t>
                        </w:r>
                      </w:p>
                    </w:tc>
                    <w:tc>
                      <w:tcPr>
                        <w:tcW w:w="1785" w:type="dxa"/>
                      </w:tcPr>
                      <w:p>
                        <w:pPr>
                          <w:pStyle w:val="TableParagraph"/>
                          <w:spacing w:before="50"/>
                          <w:ind w:left="161"/>
                          <w:rPr>
                            <w:sz w:val="18"/>
                          </w:rPr>
                        </w:pPr>
                        <w:r>
                          <w:rPr>
                            <w:sz w:val="18"/>
                          </w:rPr>
                          <w:t>square miles</w:t>
                        </w:r>
                      </w:p>
                    </w:tc>
                    <w:tc>
                      <w:tcPr>
                        <w:tcW w:w="1277" w:type="dxa"/>
                      </w:tcPr>
                      <w:p>
                        <w:pPr>
                          <w:pStyle w:val="TableParagraph"/>
                          <w:spacing w:before="50"/>
                          <w:ind w:left="176"/>
                          <w:rPr>
                            <w:sz w:val="18"/>
                          </w:rPr>
                        </w:pPr>
                        <w:r>
                          <w:rPr>
                            <w:sz w:val="18"/>
                          </w:rPr>
                          <w:t>2.59</w:t>
                        </w:r>
                      </w:p>
                    </w:tc>
                    <w:tc>
                      <w:tcPr>
                        <w:tcW w:w="1668" w:type="dxa"/>
                      </w:tcPr>
                      <w:p>
                        <w:pPr>
                          <w:pStyle w:val="TableParagraph"/>
                          <w:spacing w:before="50"/>
                          <w:ind w:left="130"/>
                          <w:rPr>
                            <w:sz w:val="18"/>
                          </w:rPr>
                        </w:pPr>
                        <w:r>
                          <w:rPr>
                            <w:sz w:val="18"/>
                          </w:rPr>
                          <w:t>kilometers squared</w:t>
                        </w:r>
                      </w:p>
                    </w:tc>
                    <w:tc>
                      <w:tcPr>
                        <w:tcW w:w="951" w:type="dxa"/>
                        <w:tcBorders>
                          <w:right w:val="double" w:sz="2" w:space="0" w:color="000000"/>
                        </w:tcBorders>
                      </w:tcPr>
                      <w:p>
                        <w:pPr>
                          <w:pStyle w:val="TableParagraph"/>
                          <w:spacing w:before="50"/>
                          <w:ind w:left="100"/>
                          <w:rPr>
                            <w:sz w:val="18"/>
                          </w:rPr>
                        </w:pPr>
                        <w:r>
                          <w:rPr>
                            <w:sz w:val="18"/>
                          </w:rPr>
                          <w:t>km</w:t>
                        </w:r>
                        <w:r>
                          <w:rPr>
                            <w:sz w:val="18"/>
                            <w:vertAlign w:val="superscript"/>
                          </w:rPr>
                          <w:t>2</w:t>
                        </w:r>
                      </w:p>
                    </w:tc>
                    <w:tc>
                      <w:tcPr>
                        <w:tcW w:w="917" w:type="dxa"/>
                        <w:tcBorders>
                          <w:left w:val="double" w:sz="2" w:space="0" w:color="000000"/>
                        </w:tcBorders>
                      </w:tcPr>
                      <w:p>
                        <w:pPr>
                          <w:pStyle w:val="TableParagraph"/>
                          <w:rPr>
                            <w:sz w:val="18"/>
                          </w:rPr>
                        </w:pPr>
                      </w:p>
                    </w:tc>
                    <w:tc>
                      <w:tcPr>
                        <w:tcW w:w="1840" w:type="dxa"/>
                      </w:tcPr>
                      <w:p>
                        <w:pPr>
                          <w:pStyle w:val="TableParagraph"/>
                          <w:rPr>
                            <w:sz w:val="18"/>
                          </w:rPr>
                        </w:pPr>
                      </w:p>
                    </w:tc>
                    <w:tc>
                      <w:tcPr>
                        <w:tcW w:w="1292" w:type="dxa"/>
                      </w:tcPr>
                      <w:p>
                        <w:pPr>
                          <w:pStyle w:val="TableParagraph"/>
                          <w:spacing w:before="53"/>
                          <w:ind w:left="269"/>
                          <w:rPr>
                            <w:b/>
                            <w:sz w:val="18"/>
                          </w:rPr>
                        </w:pPr>
                        <w:r>
                          <w:rPr>
                            <w:b/>
                            <w:sz w:val="18"/>
                            <w:u w:val="single"/>
                          </w:rPr>
                          <w:t>VOLUME</w:t>
                        </w:r>
                      </w:p>
                    </w:tc>
                    <w:tc>
                      <w:tcPr>
                        <w:tcW w:w="1749" w:type="dxa"/>
                      </w:tcPr>
                      <w:p>
                        <w:pPr>
                          <w:pStyle w:val="TableParagraph"/>
                          <w:rPr>
                            <w:sz w:val="18"/>
                          </w:rPr>
                        </w:pPr>
                      </w:p>
                    </w:tc>
                    <w:tc>
                      <w:tcPr>
                        <w:tcW w:w="1072" w:type="dxa"/>
                        <w:tcBorders>
                          <w:right w:val="single" w:sz="18" w:space="0" w:color="000000"/>
                        </w:tcBorders>
                      </w:tcPr>
                      <w:p>
                        <w:pPr>
                          <w:pStyle w:val="TableParagraph"/>
                          <w:rPr>
                            <w:sz w:val="18"/>
                          </w:rPr>
                        </w:pPr>
                      </w:p>
                    </w:tc>
                  </w:tr>
                  <w:tr>
                    <w:trPr>
                      <w:trHeight w:val="288"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rPr>
                            <w:sz w:val="18"/>
                          </w:rPr>
                        </w:pPr>
                      </w:p>
                    </w:tc>
                    <w:tc>
                      <w:tcPr>
                        <w:tcW w:w="1785" w:type="dxa"/>
                      </w:tcPr>
                      <w:p>
                        <w:pPr>
                          <w:pStyle w:val="TableParagraph"/>
                          <w:rPr>
                            <w:sz w:val="18"/>
                          </w:rPr>
                        </w:pPr>
                      </w:p>
                    </w:tc>
                    <w:tc>
                      <w:tcPr>
                        <w:tcW w:w="1277" w:type="dxa"/>
                      </w:tcPr>
                      <w:p>
                        <w:pPr>
                          <w:pStyle w:val="TableParagraph"/>
                          <w:spacing w:before="38"/>
                          <w:ind w:left="171"/>
                          <w:rPr>
                            <w:b/>
                            <w:sz w:val="18"/>
                          </w:rPr>
                        </w:pPr>
                        <w:r>
                          <w:rPr>
                            <w:b/>
                            <w:sz w:val="18"/>
                            <w:u w:val="single"/>
                          </w:rPr>
                          <w:t>VOLUME</w:t>
                        </w:r>
                      </w:p>
                    </w:tc>
                    <w:tc>
                      <w:tcPr>
                        <w:tcW w:w="1668" w:type="dxa"/>
                      </w:tcPr>
                      <w:p>
                        <w:pPr>
                          <w:pStyle w:val="TableParagraph"/>
                          <w:rPr>
                            <w:sz w:val="18"/>
                          </w:rPr>
                        </w:pPr>
                      </w:p>
                    </w:tc>
                    <w:tc>
                      <w:tcPr>
                        <w:tcW w:w="951" w:type="dxa"/>
                        <w:tcBorders>
                          <w:right w:val="double" w:sz="2" w:space="0" w:color="000000"/>
                        </w:tcBorders>
                      </w:tcPr>
                      <w:p>
                        <w:pPr>
                          <w:pStyle w:val="TableParagraph"/>
                          <w:rPr>
                            <w:sz w:val="18"/>
                          </w:rPr>
                        </w:pPr>
                      </w:p>
                    </w:tc>
                    <w:tc>
                      <w:tcPr>
                        <w:tcW w:w="917" w:type="dxa"/>
                        <w:tcBorders>
                          <w:left w:val="double" w:sz="2" w:space="0" w:color="000000"/>
                        </w:tcBorders>
                      </w:tcPr>
                      <w:p>
                        <w:pPr>
                          <w:pStyle w:val="TableParagraph"/>
                          <w:spacing w:before="35"/>
                          <w:ind w:left="155"/>
                          <w:rPr>
                            <w:sz w:val="18"/>
                          </w:rPr>
                        </w:pPr>
                        <w:r>
                          <w:rPr>
                            <w:sz w:val="18"/>
                          </w:rPr>
                          <w:t>mL</w:t>
                        </w:r>
                      </w:p>
                    </w:tc>
                    <w:tc>
                      <w:tcPr>
                        <w:tcW w:w="1840" w:type="dxa"/>
                      </w:tcPr>
                      <w:p>
                        <w:pPr>
                          <w:pStyle w:val="TableParagraph"/>
                          <w:spacing w:before="35"/>
                          <w:ind w:left="146"/>
                          <w:rPr>
                            <w:sz w:val="18"/>
                          </w:rPr>
                        </w:pPr>
                        <w:r>
                          <w:rPr>
                            <w:sz w:val="18"/>
                          </w:rPr>
                          <w:t>milliliters</w:t>
                        </w:r>
                      </w:p>
                    </w:tc>
                    <w:tc>
                      <w:tcPr>
                        <w:tcW w:w="1292" w:type="dxa"/>
                      </w:tcPr>
                      <w:p>
                        <w:pPr>
                          <w:pStyle w:val="TableParagraph"/>
                          <w:spacing w:before="35"/>
                          <w:ind w:left="197"/>
                          <w:rPr>
                            <w:sz w:val="18"/>
                          </w:rPr>
                        </w:pPr>
                        <w:r>
                          <w:rPr>
                            <w:sz w:val="18"/>
                          </w:rPr>
                          <w:t>0.034</w:t>
                        </w:r>
                      </w:p>
                    </w:tc>
                    <w:tc>
                      <w:tcPr>
                        <w:tcW w:w="1749" w:type="dxa"/>
                      </w:tcPr>
                      <w:p>
                        <w:pPr>
                          <w:pStyle w:val="TableParagraph"/>
                          <w:spacing w:before="35"/>
                          <w:ind w:left="124"/>
                          <w:rPr>
                            <w:sz w:val="18"/>
                          </w:rPr>
                        </w:pPr>
                        <w:r>
                          <w:rPr>
                            <w:sz w:val="18"/>
                          </w:rPr>
                          <w:t>fluid ounces</w:t>
                        </w:r>
                      </w:p>
                    </w:tc>
                    <w:tc>
                      <w:tcPr>
                        <w:tcW w:w="1072" w:type="dxa"/>
                        <w:tcBorders>
                          <w:right w:val="single" w:sz="18" w:space="0" w:color="000000"/>
                        </w:tcBorders>
                      </w:tcPr>
                      <w:p>
                        <w:pPr>
                          <w:pStyle w:val="TableParagraph"/>
                          <w:spacing w:before="35"/>
                          <w:ind w:left="203"/>
                          <w:rPr>
                            <w:sz w:val="18"/>
                          </w:rPr>
                        </w:pPr>
                        <w:r>
                          <w:rPr>
                            <w:sz w:val="18"/>
                          </w:rPr>
                          <w:t>fl oz</w:t>
                        </w:r>
                      </w:p>
                    </w:tc>
                  </w:tr>
                  <w:tr>
                    <w:trPr>
                      <w:trHeight w:val="272"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5"/>
                          <w:ind w:left="68"/>
                          <w:rPr>
                            <w:sz w:val="18"/>
                          </w:rPr>
                        </w:pPr>
                        <w:r>
                          <w:rPr>
                            <w:sz w:val="18"/>
                          </w:rPr>
                          <w:t>fl oz</w:t>
                        </w:r>
                      </w:p>
                    </w:tc>
                    <w:tc>
                      <w:tcPr>
                        <w:tcW w:w="1785" w:type="dxa"/>
                      </w:tcPr>
                      <w:p>
                        <w:pPr>
                          <w:pStyle w:val="TableParagraph"/>
                          <w:spacing w:before="35"/>
                          <w:ind w:left="161"/>
                          <w:rPr>
                            <w:sz w:val="18"/>
                          </w:rPr>
                        </w:pPr>
                        <w:r>
                          <w:rPr>
                            <w:sz w:val="18"/>
                          </w:rPr>
                          <w:t>fluid ounces</w:t>
                        </w:r>
                      </w:p>
                    </w:tc>
                    <w:tc>
                      <w:tcPr>
                        <w:tcW w:w="1277" w:type="dxa"/>
                      </w:tcPr>
                      <w:p>
                        <w:pPr>
                          <w:pStyle w:val="TableParagraph"/>
                          <w:spacing w:before="35"/>
                          <w:ind w:left="176"/>
                          <w:rPr>
                            <w:sz w:val="18"/>
                          </w:rPr>
                        </w:pPr>
                        <w:r>
                          <w:rPr>
                            <w:sz w:val="18"/>
                          </w:rPr>
                          <w:t>29.57</w:t>
                        </w:r>
                      </w:p>
                    </w:tc>
                    <w:tc>
                      <w:tcPr>
                        <w:tcW w:w="1668" w:type="dxa"/>
                      </w:tcPr>
                      <w:p>
                        <w:pPr>
                          <w:pStyle w:val="TableParagraph"/>
                          <w:spacing w:before="35"/>
                          <w:ind w:left="130"/>
                          <w:rPr>
                            <w:sz w:val="18"/>
                          </w:rPr>
                        </w:pPr>
                        <w:r>
                          <w:rPr>
                            <w:sz w:val="18"/>
                          </w:rPr>
                          <w:t>milliliters</w:t>
                        </w:r>
                      </w:p>
                    </w:tc>
                    <w:tc>
                      <w:tcPr>
                        <w:tcW w:w="951" w:type="dxa"/>
                        <w:tcBorders>
                          <w:right w:val="double" w:sz="2" w:space="0" w:color="000000"/>
                        </w:tcBorders>
                      </w:tcPr>
                      <w:p>
                        <w:pPr>
                          <w:pStyle w:val="TableParagraph"/>
                          <w:spacing w:before="35"/>
                          <w:ind w:left="100"/>
                          <w:rPr>
                            <w:sz w:val="18"/>
                          </w:rPr>
                        </w:pPr>
                        <w:r>
                          <w:rPr>
                            <w:sz w:val="18"/>
                          </w:rPr>
                          <w:t>mL</w:t>
                        </w:r>
                      </w:p>
                    </w:tc>
                    <w:tc>
                      <w:tcPr>
                        <w:tcW w:w="917" w:type="dxa"/>
                        <w:tcBorders>
                          <w:left w:val="double" w:sz="2" w:space="0" w:color="000000"/>
                        </w:tcBorders>
                      </w:tcPr>
                      <w:p>
                        <w:pPr>
                          <w:pStyle w:val="TableParagraph"/>
                          <w:spacing w:before="35"/>
                          <w:ind w:left="155"/>
                          <w:rPr>
                            <w:sz w:val="18"/>
                          </w:rPr>
                        </w:pPr>
                        <w:r>
                          <w:rPr>
                            <w:sz w:val="18"/>
                          </w:rPr>
                          <w:t>L</w:t>
                        </w:r>
                      </w:p>
                    </w:tc>
                    <w:tc>
                      <w:tcPr>
                        <w:tcW w:w="1840" w:type="dxa"/>
                      </w:tcPr>
                      <w:p>
                        <w:pPr>
                          <w:pStyle w:val="TableParagraph"/>
                          <w:spacing w:before="35"/>
                          <w:ind w:left="146"/>
                          <w:rPr>
                            <w:sz w:val="18"/>
                          </w:rPr>
                        </w:pPr>
                        <w:r>
                          <w:rPr>
                            <w:sz w:val="18"/>
                          </w:rPr>
                          <w:t>liters</w:t>
                        </w:r>
                      </w:p>
                    </w:tc>
                    <w:tc>
                      <w:tcPr>
                        <w:tcW w:w="1292" w:type="dxa"/>
                      </w:tcPr>
                      <w:p>
                        <w:pPr>
                          <w:pStyle w:val="TableParagraph"/>
                          <w:spacing w:before="35"/>
                          <w:ind w:left="197"/>
                          <w:rPr>
                            <w:sz w:val="18"/>
                          </w:rPr>
                        </w:pPr>
                        <w:r>
                          <w:rPr>
                            <w:sz w:val="18"/>
                          </w:rPr>
                          <w:t>0.264</w:t>
                        </w:r>
                      </w:p>
                    </w:tc>
                    <w:tc>
                      <w:tcPr>
                        <w:tcW w:w="1749" w:type="dxa"/>
                      </w:tcPr>
                      <w:p>
                        <w:pPr>
                          <w:pStyle w:val="TableParagraph"/>
                          <w:spacing w:before="35"/>
                          <w:ind w:left="124"/>
                          <w:rPr>
                            <w:sz w:val="18"/>
                          </w:rPr>
                        </w:pPr>
                        <w:r>
                          <w:rPr>
                            <w:sz w:val="18"/>
                          </w:rPr>
                          <w:t>gallons</w:t>
                        </w:r>
                      </w:p>
                    </w:tc>
                    <w:tc>
                      <w:tcPr>
                        <w:tcW w:w="1072" w:type="dxa"/>
                        <w:tcBorders>
                          <w:right w:val="single" w:sz="18" w:space="0" w:color="000000"/>
                        </w:tcBorders>
                      </w:tcPr>
                      <w:p>
                        <w:pPr>
                          <w:pStyle w:val="TableParagraph"/>
                          <w:spacing w:before="35"/>
                          <w:ind w:left="203"/>
                          <w:rPr>
                            <w:sz w:val="18"/>
                          </w:rPr>
                        </w:pPr>
                        <w:r>
                          <w:rPr>
                            <w:sz w:val="18"/>
                          </w:rPr>
                          <w:t>gal</w:t>
                        </w:r>
                      </w:p>
                    </w:tc>
                  </w:tr>
                  <w:tr>
                    <w:trPr>
                      <w:trHeight w:val="287"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8"/>
                          <w:rPr>
                            <w:sz w:val="18"/>
                          </w:rPr>
                        </w:pPr>
                        <w:r>
                          <w:rPr>
                            <w:sz w:val="18"/>
                          </w:rPr>
                          <w:t>gal</w:t>
                        </w:r>
                      </w:p>
                    </w:tc>
                    <w:tc>
                      <w:tcPr>
                        <w:tcW w:w="1785" w:type="dxa"/>
                      </w:tcPr>
                      <w:p>
                        <w:pPr>
                          <w:pStyle w:val="TableParagraph"/>
                          <w:spacing w:before="50"/>
                          <w:ind w:left="161"/>
                          <w:rPr>
                            <w:sz w:val="18"/>
                          </w:rPr>
                        </w:pPr>
                        <w:r>
                          <w:rPr>
                            <w:sz w:val="18"/>
                          </w:rPr>
                          <w:t>gallons</w:t>
                        </w:r>
                      </w:p>
                    </w:tc>
                    <w:tc>
                      <w:tcPr>
                        <w:tcW w:w="1277" w:type="dxa"/>
                      </w:tcPr>
                      <w:p>
                        <w:pPr>
                          <w:pStyle w:val="TableParagraph"/>
                          <w:spacing w:before="50"/>
                          <w:ind w:left="176"/>
                          <w:rPr>
                            <w:sz w:val="18"/>
                          </w:rPr>
                        </w:pPr>
                        <w:r>
                          <w:rPr>
                            <w:sz w:val="18"/>
                          </w:rPr>
                          <w:t>3.785</w:t>
                        </w:r>
                      </w:p>
                    </w:tc>
                    <w:tc>
                      <w:tcPr>
                        <w:tcW w:w="1668" w:type="dxa"/>
                      </w:tcPr>
                      <w:p>
                        <w:pPr>
                          <w:pStyle w:val="TableParagraph"/>
                          <w:spacing w:before="50"/>
                          <w:ind w:left="130"/>
                          <w:rPr>
                            <w:sz w:val="18"/>
                          </w:rPr>
                        </w:pPr>
                        <w:r>
                          <w:rPr>
                            <w:sz w:val="18"/>
                          </w:rPr>
                          <w:t>liters</w:t>
                        </w:r>
                      </w:p>
                    </w:tc>
                    <w:tc>
                      <w:tcPr>
                        <w:tcW w:w="951" w:type="dxa"/>
                        <w:tcBorders>
                          <w:right w:val="double" w:sz="2" w:space="0" w:color="000000"/>
                        </w:tcBorders>
                      </w:tcPr>
                      <w:p>
                        <w:pPr>
                          <w:pStyle w:val="TableParagraph"/>
                          <w:spacing w:before="50"/>
                          <w:ind w:left="100"/>
                          <w:rPr>
                            <w:sz w:val="18"/>
                          </w:rPr>
                        </w:pPr>
                        <w:r>
                          <w:rPr>
                            <w:sz w:val="18"/>
                          </w:rPr>
                          <w:t>L</w:t>
                        </w:r>
                      </w:p>
                    </w:tc>
                    <w:tc>
                      <w:tcPr>
                        <w:tcW w:w="917" w:type="dxa"/>
                        <w:tcBorders>
                          <w:left w:val="double" w:sz="2" w:space="0" w:color="000000"/>
                        </w:tcBorders>
                      </w:tcPr>
                      <w:p>
                        <w:pPr>
                          <w:pStyle w:val="TableParagraph"/>
                          <w:spacing w:before="25"/>
                          <w:ind w:left="155"/>
                          <w:rPr>
                            <w:sz w:val="12"/>
                          </w:rPr>
                        </w:pPr>
                        <w:r>
                          <w:rPr>
                            <w:position w:val="-7"/>
                            <w:sz w:val="18"/>
                          </w:rPr>
                          <w:t>m</w:t>
                        </w:r>
                        <w:r>
                          <w:rPr>
                            <w:sz w:val="12"/>
                          </w:rPr>
                          <w:t>3</w:t>
                        </w:r>
                      </w:p>
                    </w:tc>
                    <w:tc>
                      <w:tcPr>
                        <w:tcW w:w="1840" w:type="dxa"/>
                      </w:tcPr>
                      <w:p>
                        <w:pPr>
                          <w:pStyle w:val="TableParagraph"/>
                          <w:spacing w:before="50"/>
                          <w:ind w:left="146"/>
                          <w:rPr>
                            <w:sz w:val="18"/>
                          </w:rPr>
                        </w:pPr>
                        <w:r>
                          <w:rPr>
                            <w:sz w:val="18"/>
                          </w:rPr>
                          <w:t>meters cubed</w:t>
                        </w:r>
                      </w:p>
                    </w:tc>
                    <w:tc>
                      <w:tcPr>
                        <w:tcW w:w="1292" w:type="dxa"/>
                      </w:tcPr>
                      <w:p>
                        <w:pPr>
                          <w:pStyle w:val="TableParagraph"/>
                          <w:spacing w:before="50"/>
                          <w:ind w:left="197"/>
                          <w:rPr>
                            <w:sz w:val="18"/>
                          </w:rPr>
                        </w:pPr>
                        <w:r>
                          <w:rPr>
                            <w:sz w:val="18"/>
                          </w:rPr>
                          <w:t>35.315</w:t>
                        </w:r>
                      </w:p>
                    </w:tc>
                    <w:tc>
                      <w:tcPr>
                        <w:tcW w:w="1749" w:type="dxa"/>
                      </w:tcPr>
                      <w:p>
                        <w:pPr>
                          <w:pStyle w:val="TableParagraph"/>
                          <w:spacing w:before="50"/>
                          <w:ind w:left="124"/>
                          <w:rPr>
                            <w:sz w:val="18"/>
                          </w:rPr>
                        </w:pPr>
                        <w:r>
                          <w:rPr>
                            <w:sz w:val="18"/>
                          </w:rPr>
                          <w:t>cubic feet</w:t>
                        </w:r>
                      </w:p>
                    </w:tc>
                    <w:tc>
                      <w:tcPr>
                        <w:tcW w:w="1072" w:type="dxa"/>
                        <w:tcBorders>
                          <w:right w:val="single" w:sz="18" w:space="0" w:color="000000"/>
                        </w:tcBorders>
                      </w:tcPr>
                      <w:p>
                        <w:pPr>
                          <w:pStyle w:val="TableParagraph"/>
                          <w:spacing w:before="50"/>
                          <w:ind w:left="203"/>
                          <w:rPr>
                            <w:sz w:val="18"/>
                          </w:rPr>
                        </w:pPr>
                        <w:r>
                          <w:rPr>
                            <w:sz w:val="18"/>
                          </w:rPr>
                          <w:t>ft</w:t>
                        </w:r>
                        <w:r>
                          <w:rPr>
                            <w:sz w:val="18"/>
                            <w:vertAlign w:val="superscript"/>
                          </w:rPr>
                          <w:t>3</w:t>
                        </w:r>
                      </w:p>
                    </w:tc>
                  </w:tr>
                  <w:tr>
                    <w:trPr>
                      <w:trHeight w:val="288"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8"/>
                          <w:rPr>
                            <w:sz w:val="18"/>
                          </w:rPr>
                        </w:pPr>
                        <w:r>
                          <w:rPr>
                            <w:sz w:val="18"/>
                          </w:rPr>
                          <w:t>ft</w:t>
                        </w:r>
                        <w:r>
                          <w:rPr>
                            <w:sz w:val="18"/>
                            <w:vertAlign w:val="superscript"/>
                          </w:rPr>
                          <w:t>3</w:t>
                        </w:r>
                      </w:p>
                    </w:tc>
                    <w:tc>
                      <w:tcPr>
                        <w:tcW w:w="1785" w:type="dxa"/>
                      </w:tcPr>
                      <w:p>
                        <w:pPr>
                          <w:pStyle w:val="TableParagraph"/>
                          <w:spacing w:before="50"/>
                          <w:ind w:left="161"/>
                          <w:rPr>
                            <w:sz w:val="18"/>
                          </w:rPr>
                        </w:pPr>
                        <w:r>
                          <w:rPr>
                            <w:sz w:val="18"/>
                          </w:rPr>
                          <w:t>cubic feet</w:t>
                        </w:r>
                      </w:p>
                    </w:tc>
                    <w:tc>
                      <w:tcPr>
                        <w:tcW w:w="1277" w:type="dxa"/>
                      </w:tcPr>
                      <w:p>
                        <w:pPr>
                          <w:pStyle w:val="TableParagraph"/>
                          <w:spacing w:before="50"/>
                          <w:ind w:left="176"/>
                          <w:rPr>
                            <w:sz w:val="18"/>
                          </w:rPr>
                        </w:pPr>
                        <w:r>
                          <w:rPr>
                            <w:sz w:val="18"/>
                          </w:rPr>
                          <w:t>0.028</w:t>
                        </w:r>
                      </w:p>
                    </w:tc>
                    <w:tc>
                      <w:tcPr>
                        <w:tcW w:w="1668" w:type="dxa"/>
                      </w:tcPr>
                      <w:p>
                        <w:pPr>
                          <w:pStyle w:val="TableParagraph"/>
                          <w:spacing w:before="50"/>
                          <w:ind w:left="130"/>
                          <w:rPr>
                            <w:sz w:val="18"/>
                          </w:rPr>
                        </w:pPr>
                        <w:r>
                          <w:rPr>
                            <w:sz w:val="18"/>
                          </w:rPr>
                          <w:t>meters cubed</w:t>
                        </w:r>
                      </w:p>
                    </w:tc>
                    <w:tc>
                      <w:tcPr>
                        <w:tcW w:w="951" w:type="dxa"/>
                        <w:tcBorders>
                          <w:right w:val="double" w:sz="2" w:space="0" w:color="000000"/>
                        </w:tcBorders>
                      </w:tcPr>
                      <w:p>
                        <w:pPr>
                          <w:pStyle w:val="TableParagraph"/>
                          <w:spacing w:before="25"/>
                          <w:ind w:left="100"/>
                          <w:rPr>
                            <w:sz w:val="12"/>
                          </w:rPr>
                        </w:pPr>
                        <w:r>
                          <w:rPr>
                            <w:position w:val="-7"/>
                            <w:sz w:val="18"/>
                          </w:rPr>
                          <w:t>m</w:t>
                        </w:r>
                        <w:r>
                          <w:rPr>
                            <w:sz w:val="12"/>
                          </w:rPr>
                          <w:t>3</w:t>
                        </w:r>
                      </w:p>
                    </w:tc>
                    <w:tc>
                      <w:tcPr>
                        <w:tcW w:w="917" w:type="dxa"/>
                        <w:tcBorders>
                          <w:left w:val="double" w:sz="2" w:space="0" w:color="000000"/>
                        </w:tcBorders>
                      </w:tcPr>
                      <w:p>
                        <w:pPr>
                          <w:pStyle w:val="TableParagraph"/>
                          <w:spacing w:before="25"/>
                          <w:ind w:left="155"/>
                          <w:rPr>
                            <w:sz w:val="12"/>
                          </w:rPr>
                        </w:pPr>
                        <w:r>
                          <w:rPr>
                            <w:position w:val="-7"/>
                            <w:sz w:val="18"/>
                          </w:rPr>
                          <w:t>m</w:t>
                        </w:r>
                        <w:r>
                          <w:rPr>
                            <w:sz w:val="12"/>
                          </w:rPr>
                          <w:t>3</w:t>
                        </w:r>
                      </w:p>
                    </w:tc>
                    <w:tc>
                      <w:tcPr>
                        <w:tcW w:w="1840" w:type="dxa"/>
                      </w:tcPr>
                      <w:p>
                        <w:pPr>
                          <w:pStyle w:val="TableParagraph"/>
                          <w:spacing w:before="50"/>
                          <w:ind w:left="146"/>
                          <w:rPr>
                            <w:sz w:val="18"/>
                          </w:rPr>
                        </w:pPr>
                        <w:r>
                          <w:rPr>
                            <w:sz w:val="18"/>
                          </w:rPr>
                          <w:t>meters cubed</w:t>
                        </w:r>
                      </w:p>
                    </w:tc>
                    <w:tc>
                      <w:tcPr>
                        <w:tcW w:w="1292" w:type="dxa"/>
                      </w:tcPr>
                      <w:p>
                        <w:pPr>
                          <w:pStyle w:val="TableParagraph"/>
                          <w:spacing w:before="50"/>
                          <w:ind w:left="197"/>
                          <w:rPr>
                            <w:sz w:val="18"/>
                          </w:rPr>
                        </w:pPr>
                        <w:r>
                          <w:rPr>
                            <w:sz w:val="18"/>
                          </w:rPr>
                          <w:t>1.308</w:t>
                        </w:r>
                      </w:p>
                    </w:tc>
                    <w:tc>
                      <w:tcPr>
                        <w:tcW w:w="1749" w:type="dxa"/>
                      </w:tcPr>
                      <w:p>
                        <w:pPr>
                          <w:pStyle w:val="TableParagraph"/>
                          <w:spacing w:before="50"/>
                          <w:ind w:left="124"/>
                          <w:rPr>
                            <w:sz w:val="18"/>
                          </w:rPr>
                        </w:pPr>
                        <w:r>
                          <w:rPr>
                            <w:sz w:val="18"/>
                          </w:rPr>
                          <w:t>cubic yards</w:t>
                        </w:r>
                      </w:p>
                    </w:tc>
                    <w:tc>
                      <w:tcPr>
                        <w:tcW w:w="1072" w:type="dxa"/>
                        <w:tcBorders>
                          <w:right w:val="single" w:sz="18" w:space="0" w:color="000000"/>
                        </w:tcBorders>
                      </w:tcPr>
                      <w:p>
                        <w:pPr>
                          <w:pStyle w:val="TableParagraph"/>
                          <w:spacing w:before="50"/>
                          <w:ind w:left="203"/>
                          <w:rPr>
                            <w:sz w:val="18"/>
                          </w:rPr>
                        </w:pPr>
                        <w:r>
                          <w:rPr>
                            <w:sz w:val="18"/>
                          </w:rPr>
                          <w:t>yd</w:t>
                        </w:r>
                        <w:r>
                          <w:rPr>
                            <w:sz w:val="18"/>
                            <w:vertAlign w:val="superscript"/>
                          </w:rPr>
                          <w:t>3</w:t>
                        </w:r>
                      </w:p>
                    </w:tc>
                  </w:tr>
                  <w:tr>
                    <w:trPr>
                      <w:trHeight w:val="289"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50"/>
                          <w:ind w:left="67"/>
                          <w:rPr>
                            <w:sz w:val="18"/>
                          </w:rPr>
                        </w:pPr>
                        <w:r>
                          <w:rPr>
                            <w:sz w:val="18"/>
                          </w:rPr>
                          <w:t>yd</w:t>
                        </w:r>
                        <w:r>
                          <w:rPr>
                            <w:sz w:val="18"/>
                            <w:vertAlign w:val="superscript"/>
                          </w:rPr>
                          <w:t>3</w:t>
                        </w:r>
                      </w:p>
                    </w:tc>
                    <w:tc>
                      <w:tcPr>
                        <w:tcW w:w="1785" w:type="dxa"/>
                      </w:tcPr>
                      <w:p>
                        <w:pPr>
                          <w:pStyle w:val="TableParagraph"/>
                          <w:spacing w:before="50"/>
                          <w:ind w:left="161"/>
                          <w:rPr>
                            <w:sz w:val="18"/>
                          </w:rPr>
                        </w:pPr>
                        <w:r>
                          <w:rPr>
                            <w:sz w:val="18"/>
                          </w:rPr>
                          <w:t>cubic yards</w:t>
                        </w:r>
                      </w:p>
                    </w:tc>
                    <w:tc>
                      <w:tcPr>
                        <w:tcW w:w="1277" w:type="dxa"/>
                      </w:tcPr>
                      <w:p>
                        <w:pPr>
                          <w:pStyle w:val="TableParagraph"/>
                          <w:spacing w:before="50"/>
                          <w:ind w:left="176"/>
                          <w:rPr>
                            <w:sz w:val="18"/>
                          </w:rPr>
                        </w:pPr>
                        <w:r>
                          <w:rPr>
                            <w:sz w:val="18"/>
                          </w:rPr>
                          <w:t>0.765</w:t>
                        </w:r>
                      </w:p>
                    </w:tc>
                    <w:tc>
                      <w:tcPr>
                        <w:tcW w:w="1668" w:type="dxa"/>
                      </w:tcPr>
                      <w:p>
                        <w:pPr>
                          <w:pStyle w:val="TableParagraph"/>
                          <w:spacing w:before="50"/>
                          <w:ind w:left="130"/>
                          <w:rPr>
                            <w:sz w:val="18"/>
                          </w:rPr>
                        </w:pPr>
                        <w:r>
                          <w:rPr>
                            <w:sz w:val="18"/>
                          </w:rPr>
                          <w:t>meters cubed</w:t>
                        </w:r>
                      </w:p>
                    </w:tc>
                    <w:tc>
                      <w:tcPr>
                        <w:tcW w:w="951" w:type="dxa"/>
                        <w:tcBorders>
                          <w:right w:val="double" w:sz="2" w:space="0" w:color="000000"/>
                        </w:tcBorders>
                      </w:tcPr>
                      <w:p>
                        <w:pPr>
                          <w:pStyle w:val="TableParagraph"/>
                          <w:spacing w:before="25"/>
                          <w:ind w:left="100"/>
                          <w:rPr>
                            <w:sz w:val="12"/>
                          </w:rPr>
                        </w:pPr>
                        <w:r>
                          <w:rPr>
                            <w:position w:val="-7"/>
                            <w:sz w:val="18"/>
                          </w:rPr>
                          <w:t>m</w:t>
                        </w:r>
                        <w:r>
                          <w:rPr>
                            <w:sz w:val="12"/>
                          </w:rPr>
                          <w:t>3</w:t>
                        </w:r>
                      </w:p>
                    </w:tc>
                    <w:tc>
                      <w:tcPr>
                        <w:tcW w:w="917" w:type="dxa"/>
                        <w:tcBorders>
                          <w:left w:val="double" w:sz="2" w:space="0" w:color="000000"/>
                        </w:tcBorders>
                      </w:tcPr>
                      <w:p>
                        <w:pPr>
                          <w:pStyle w:val="TableParagraph"/>
                          <w:rPr>
                            <w:sz w:val="18"/>
                          </w:rPr>
                        </w:pPr>
                      </w:p>
                    </w:tc>
                    <w:tc>
                      <w:tcPr>
                        <w:tcW w:w="1840" w:type="dxa"/>
                      </w:tcPr>
                      <w:p>
                        <w:pPr>
                          <w:pStyle w:val="TableParagraph"/>
                          <w:rPr>
                            <w:sz w:val="18"/>
                          </w:rPr>
                        </w:pPr>
                      </w:p>
                    </w:tc>
                    <w:tc>
                      <w:tcPr>
                        <w:tcW w:w="1292" w:type="dxa"/>
                      </w:tcPr>
                      <w:p>
                        <w:pPr>
                          <w:pStyle w:val="TableParagraph"/>
                          <w:spacing w:before="53"/>
                          <w:ind w:left="424"/>
                          <w:rPr>
                            <w:b/>
                            <w:sz w:val="18"/>
                          </w:rPr>
                        </w:pPr>
                        <w:r>
                          <w:rPr>
                            <w:b/>
                            <w:sz w:val="18"/>
                            <w:u w:val="single"/>
                          </w:rPr>
                          <w:t>MASS</w:t>
                        </w:r>
                      </w:p>
                    </w:tc>
                    <w:tc>
                      <w:tcPr>
                        <w:tcW w:w="1749" w:type="dxa"/>
                      </w:tcPr>
                      <w:p>
                        <w:pPr>
                          <w:pStyle w:val="TableParagraph"/>
                          <w:rPr>
                            <w:sz w:val="18"/>
                          </w:rPr>
                        </w:pPr>
                      </w:p>
                    </w:tc>
                    <w:tc>
                      <w:tcPr>
                        <w:tcW w:w="1072" w:type="dxa"/>
                        <w:tcBorders>
                          <w:right w:val="single" w:sz="18" w:space="0" w:color="000000"/>
                        </w:tcBorders>
                      </w:tcPr>
                      <w:p>
                        <w:pPr>
                          <w:pStyle w:val="TableParagraph"/>
                          <w:rPr>
                            <w:sz w:val="18"/>
                          </w:rPr>
                        </w:pPr>
                      </w:p>
                    </w:tc>
                  </w:tr>
                  <w:tr>
                    <w:trPr>
                      <w:trHeight w:val="299" w:hRule="atLeast"/>
                    </w:trPr>
                    <w:tc>
                      <w:tcPr>
                        <w:tcW w:w="90" w:type="dxa"/>
                        <w:tcBorders>
                          <w:right w:val="single" w:sz="18" w:space="0" w:color="000000"/>
                        </w:tcBorders>
                      </w:tcPr>
                      <w:p>
                        <w:pPr>
                          <w:pStyle w:val="TableParagraph"/>
                          <w:rPr>
                            <w:sz w:val="18"/>
                          </w:rPr>
                        </w:pPr>
                      </w:p>
                    </w:tc>
                    <w:tc>
                      <w:tcPr>
                        <w:tcW w:w="5596" w:type="dxa"/>
                        <w:gridSpan w:val="4"/>
                        <w:tcBorders>
                          <w:left w:val="single" w:sz="18" w:space="0" w:color="000000"/>
                        </w:tcBorders>
                      </w:tcPr>
                      <w:p>
                        <w:pPr>
                          <w:pStyle w:val="TableParagraph"/>
                          <w:spacing w:before="48"/>
                          <w:ind w:left="-23"/>
                          <w:rPr>
                            <w:sz w:val="18"/>
                          </w:rPr>
                        </w:pPr>
                        <w:r>
                          <w:rPr>
                            <w:sz w:val="18"/>
                          </w:rPr>
                          <w:t>NOTE: Volumes greater than 1000 L shall be shown in m</w:t>
                        </w:r>
                        <w:r>
                          <w:rPr>
                            <w:sz w:val="18"/>
                            <w:vertAlign w:val="superscript"/>
                          </w:rPr>
                          <w:t>3</w:t>
                        </w:r>
                        <w:r>
                          <w:rPr>
                            <w:sz w:val="18"/>
                            <w:vertAlign w:val="baseline"/>
                          </w:rPr>
                          <w:t>.</w:t>
                        </w:r>
                      </w:p>
                    </w:tc>
                    <w:tc>
                      <w:tcPr>
                        <w:tcW w:w="951" w:type="dxa"/>
                        <w:tcBorders>
                          <w:right w:val="double" w:sz="2" w:space="0" w:color="000000"/>
                        </w:tcBorders>
                      </w:tcPr>
                      <w:p>
                        <w:pPr>
                          <w:pStyle w:val="TableParagraph"/>
                          <w:rPr>
                            <w:sz w:val="18"/>
                          </w:rPr>
                        </w:pPr>
                      </w:p>
                    </w:tc>
                    <w:tc>
                      <w:tcPr>
                        <w:tcW w:w="917" w:type="dxa"/>
                        <w:tcBorders>
                          <w:left w:val="double" w:sz="2" w:space="0" w:color="000000"/>
                        </w:tcBorders>
                      </w:tcPr>
                      <w:p>
                        <w:pPr>
                          <w:pStyle w:val="TableParagraph"/>
                          <w:spacing w:before="48"/>
                          <w:ind w:left="155"/>
                          <w:rPr>
                            <w:sz w:val="18"/>
                          </w:rPr>
                        </w:pPr>
                        <w:r>
                          <w:rPr>
                            <w:sz w:val="18"/>
                          </w:rPr>
                          <w:t>g</w:t>
                        </w:r>
                      </w:p>
                    </w:tc>
                    <w:tc>
                      <w:tcPr>
                        <w:tcW w:w="1840" w:type="dxa"/>
                      </w:tcPr>
                      <w:p>
                        <w:pPr>
                          <w:pStyle w:val="TableParagraph"/>
                          <w:spacing w:before="48"/>
                          <w:ind w:left="146"/>
                          <w:rPr>
                            <w:sz w:val="18"/>
                          </w:rPr>
                        </w:pPr>
                        <w:r>
                          <w:rPr>
                            <w:sz w:val="18"/>
                          </w:rPr>
                          <w:t>grams</w:t>
                        </w:r>
                      </w:p>
                    </w:tc>
                    <w:tc>
                      <w:tcPr>
                        <w:tcW w:w="1292" w:type="dxa"/>
                      </w:tcPr>
                      <w:p>
                        <w:pPr>
                          <w:pStyle w:val="TableParagraph"/>
                          <w:spacing w:before="48"/>
                          <w:ind w:left="197"/>
                          <w:rPr>
                            <w:sz w:val="18"/>
                          </w:rPr>
                        </w:pPr>
                        <w:r>
                          <w:rPr>
                            <w:sz w:val="18"/>
                          </w:rPr>
                          <w:t>0.035</w:t>
                        </w:r>
                      </w:p>
                    </w:tc>
                    <w:tc>
                      <w:tcPr>
                        <w:tcW w:w="1749" w:type="dxa"/>
                      </w:tcPr>
                      <w:p>
                        <w:pPr>
                          <w:pStyle w:val="TableParagraph"/>
                          <w:spacing w:before="48"/>
                          <w:ind w:left="124"/>
                          <w:rPr>
                            <w:sz w:val="18"/>
                          </w:rPr>
                        </w:pPr>
                        <w:r>
                          <w:rPr>
                            <w:sz w:val="18"/>
                          </w:rPr>
                          <w:t>ounces</w:t>
                        </w:r>
                      </w:p>
                    </w:tc>
                    <w:tc>
                      <w:tcPr>
                        <w:tcW w:w="1072" w:type="dxa"/>
                        <w:tcBorders>
                          <w:right w:val="single" w:sz="18" w:space="0" w:color="000000"/>
                        </w:tcBorders>
                      </w:tcPr>
                      <w:p>
                        <w:pPr>
                          <w:pStyle w:val="TableParagraph"/>
                          <w:spacing w:before="48"/>
                          <w:ind w:left="203"/>
                          <w:rPr>
                            <w:sz w:val="18"/>
                          </w:rPr>
                        </w:pPr>
                        <w:r>
                          <w:rPr>
                            <w:sz w:val="18"/>
                          </w:rPr>
                          <w:t>oz</w:t>
                        </w:r>
                      </w:p>
                    </w:tc>
                  </w:tr>
                  <w:tr>
                    <w:trPr>
                      <w:trHeight w:val="289"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rPr>
                            <w:sz w:val="18"/>
                          </w:rPr>
                        </w:pPr>
                      </w:p>
                    </w:tc>
                    <w:tc>
                      <w:tcPr>
                        <w:tcW w:w="1785" w:type="dxa"/>
                      </w:tcPr>
                      <w:p>
                        <w:pPr>
                          <w:pStyle w:val="TableParagraph"/>
                          <w:rPr>
                            <w:sz w:val="18"/>
                          </w:rPr>
                        </w:pPr>
                      </w:p>
                    </w:tc>
                    <w:tc>
                      <w:tcPr>
                        <w:tcW w:w="1277" w:type="dxa"/>
                      </w:tcPr>
                      <w:p>
                        <w:pPr>
                          <w:pStyle w:val="TableParagraph"/>
                          <w:spacing w:before="40"/>
                          <w:ind w:left="326"/>
                          <w:rPr>
                            <w:b/>
                            <w:sz w:val="18"/>
                          </w:rPr>
                        </w:pPr>
                        <w:r>
                          <w:rPr>
                            <w:b/>
                            <w:sz w:val="18"/>
                            <w:u w:val="single"/>
                          </w:rPr>
                          <w:t>MASS</w:t>
                        </w:r>
                      </w:p>
                    </w:tc>
                    <w:tc>
                      <w:tcPr>
                        <w:tcW w:w="1668" w:type="dxa"/>
                      </w:tcPr>
                      <w:p>
                        <w:pPr>
                          <w:pStyle w:val="TableParagraph"/>
                          <w:rPr>
                            <w:sz w:val="18"/>
                          </w:rPr>
                        </w:pPr>
                      </w:p>
                    </w:tc>
                    <w:tc>
                      <w:tcPr>
                        <w:tcW w:w="951" w:type="dxa"/>
                        <w:tcBorders>
                          <w:right w:val="double" w:sz="2" w:space="0" w:color="000000"/>
                        </w:tcBorders>
                      </w:tcPr>
                      <w:p>
                        <w:pPr>
                          <w:pStyle w:val="TableParagraph"/>
                          <w:rPr>
                            <w:sz w:val="18"/>
                          </w:rPr>
                        </w:pPr>
                      </w:p>
                    </w:tc>
                    <w:tc>
                      <w:tcPr>
                        <w:tcW w:w="917" w:type="dxa"/>
                        <w:tcBorders>
                          <w:left w:val="double" w:sz="2" w:space="0" w:color="000000"/>
                        </w:tcBorders>
                      </w:tcPr>
                      <w:p>
                        <w:pPr>
                          <w:pStyle w:val="TableParagraph"/>
                          <w:spacing w:before="36"/>
                          <w:ind w:left="155"/>
                          <w:rPr>
                            <w:sz w:val="18"/>
                          </w:rPr>
                        </w:pPr>
                        <w:r>
                          <w:rPr>
                            <w:sz w:val="18"/>
                          </w:rPr>
                          <w:t>kg</w:t>
                        </w:r>
                      </w:p>
                    </w:tc>
                    <w:tc>
                      <w:tcPr>
                        <w:tcW w:w="1840" w:type="dxa"/>
                      </w:tcPr>
                      <w:p>
                        <w:pPr>
                          <w:pStyle w:val="TableParagraph"/>
                          <w:spacing w:before="36"/>
                          <w:ind w:left="146"/>
                          <w:rPr>
                            <w:sz w:val="18"/>
                          </w:rPr>
                        </w:pPr>
                        <w:r>
                          <w:rPr>
                            <w:sz w:val="18"/>
                          </w:rPr>
                          <w:t>kilograms</w:t>
                        </w:r>
                      </w:p>
                    </w:tc>
                    <w:tc>
                      <w:tcPr>
                        <w:tcW w:w="1292" w:type="dxa"/>
                      </w:tcPr>
                      <w:p>
                        <w:pPr>
                          <w:pStyle w:val="TableParagraph"/>
                          <w:spacing w:before="36"/>
                          <w:ind w:left="197"/>
                          <w:rPr>
                            <w:sz w:val="18"/>
                          </w:rPr>
                        </w:pPr>
                        <w:r>
                          <w:rPr>
                            <w:sz w:val="18"/>
                          </w:rPr>
                          <w:t>2.205</w:t>
                        </w:r>
                      </w:p>
                    </w:tc>
                    <w:tc>
                      <w:tcPr>
                        <w:tcW w:w="1749" w:type="dxa"/>
                      </w:tcPr>
                      <w:p>
                        <w:pPr>
                          <w:pStyle w:val="TableParagraph"/>
                          <w:spacing w:before="36"/>
                          <w:ind w:left="124"/>
                          <w:rPr>
                            <w:sz w:val="18"/>
                          </w:rPr>
                        </w:pPr>
                        <w:r>
                          <w:rPr>
                            <w:sz w:val="18"/>
                          </w:rPr>
                          <w:t>pounds</w:t>
                        </w:r>
                      </w:p>
                    </w:tc>
                    <w:tc>
                      <w:tcPr>
                        <w:tcW w:w="1072" w:type="dxa"/>
                        <w:tcBorders>
                          <w:right w:val="single" w:sz="18" w:space="0" w:color="000000"/>
                        </w:tcBorders>
                      </w:tcPr>
                      <w:p>
                        <w:pPr>
                          <w:pStyle w:val="TableParagraph"/>
                          <w:spacing w:before="36"/>
                          <w:ind w:left="203"/>
                          <w:rPr>
                            <w:sz w:val="18"/>
                          </w:rPr>
                        </w:pPr>
                        <w:r>
                          <w:rPr>
                            <w:sz w:val="18"/>
                          </w:rPr>
                          <w:t>lb</w:t>
                        </w:r>
                      </w:p>
                    </w:tc>
                  </w:tr>
                  <w:tr>
                    <w:trPr>
                      <w:trHeight w:val="286"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5"/>
                          <w:ind w:left="68"/>
                          <w:rPr>
                            <w:sz w:val="18"/>
                          </w:rPr>
                        </w:pPr>
                        <w:r>
                          <w:rPr>
                            <w:sz w:val="18"/>
                          </w:rPr>
                          <w:t>oz</w:t>
                        </w:r>
                      </w:p>
                    </w:tc>
                    <w:tc>
                      <w:tcPr>
                        <w:tcW w:w="1785" w:type="dxa"/>
                      </w:tcPr>
                      <w:p>
                        <w:pPr>
                          <w:pStyle w:val="TableParagraph"/>
                          <w:spacing w:before="35"/>
                          <w:ind w:left="161"/>
                          <w:rPr>
                            <w:sz w:val="18"/>
                          </w:rPr>
                        </w:pPr>
                        <w:r>
                          <w:rPr>
                            <w:sz w:val="18"/>
                          </w:rPr>
                          <w:t>ounces</w:t>
                        </w:r>
                      </w:p>
                    </w:tc>
                    <w:tc>
                      <w:tcPr>
                        <w:tcW w:w="1277" w:type="dxa"/>
                      </w:tcPr>
                      <w:p>
                        <w:pPr>
                          <w:pStyle w:val="TableParagraph"/>
                          <w:spacing w:before="35"/>
                          <w:ind w:left="176"/>
                          <w:rPr>
                            <w:sz w:val="18"/>
                          </w:rPr>
                        </w:pPr>
                        <w:r>
                          <w:rPr>
                            <w:sz w:val="18"/>
                          </w:rPr>
                          <w:t>28.35</w:t>
                        </w:r>
                      </w:p>
                    </w:tc>
                    <w:tc>
                      <w:tcPr>
                        <w:tcW w:w="1668" w:type="dxa"/>
                      </w:tcPr>
                      <w:p>
                        <w:pPr>
                          <w:pStyle w:val="TableParagraph"/>
                          <w:spacing w:before="35"/>
                          <w:ind w:left="130"/>
                          <w:rPr>
                            <w:sz w:val="18"/>
                          </w:rPr>
                        </w:pPr>
                        <w:r>
                          <w:rPr>
                            <w:sz w:val="18"/>
                          </w:rPr>
                          <w:t>grams</w:t>
                        </w:r>
                      </w:p>
                    </w:tc>
                    <w:tc>
                      <w:tcPr>
                        <w:tcW w:w="951" w:type="dxa"/>
                        <w:tcBorders>
                          <w:right w:val="double" w:sz="2" w:space="0" w:color="000000"/>
                        </w:tcBorders>
                      </w:tcPr>
                      <w:p>
                        <w:pPr>
                          <w:pStyle w:val="TableParagraph"/>
                          <w:spacing w:before="35"/>
                          <w:ind w:left="100"/>
                          <w:rPr>
                            <w:sz w:val="18"/>
                          </w:rPr>
                        </w:pPr>
                        <w:r>
                          <w:rPr>
                            <w:sz w:val="18"/>
                          </w:rPr>
                          <w:t>g</w:t>
                        </w:r>
                      </w:p>
                    </w:tc>
                    <w:tc>
                      <w:tcPr>
                        <w:tcW w:w="917" w:type="dxa"/>
                        <w:tcBorders>
                          <w:left w:val="double" w:sz="2" w:space="0" w:color="000000"/>
                        </w:tcBorders>
                      </w:tcPr>
                      <w:p>
                        <w:pPr>
                          <w:pStyle w:val="TableParagraph"/>
                          <w:spacing w:before="35"/>
                          <w:ind w:left="155"/>
                          <w:rPr>
                            <w:sz w:val="18"/>
                          </w:rPr>
                        </w:pPr>
                        <w:r>
                          <w:rPr>
                            <w:sz w:val="18"/>
                          </w:rPr>
                          <w:t>Mg</w:t>
                        </w:r>
                      </w:p>
                    </w:tc>
                    <w:tc>
                      <w:tcPr>
                        <w:tcW w:w="1840" w:type="dxa"/>
                      </w:tcPr>
                      <w:p>
                        <w:pPr>
                          <w:pStyle w:val="TableParagraph"/>
                          <w:spacing w:before="35"/>
                          <w:ind w:left="146"/>
                          <w:rPr>
                            <w:sz w:val="18"/>
                          </w:rPr>
                        </w:pPr>
                        <w:r>
                          <w:rPr>
                            <w:sz w:val="18"/>
                          </w:rPr>
                          <w:t>megagrams</w:t>
                        </w:r>
                      </w:p>
                    </w:tc>
                    <w:tc>
                      <w:tcPr>
                        <w:tcW w:w="1292" w:type="dxa"/>
                      </w:tcPr>
                      <w:p>
                        <w:pPr>
                          <w:pStyle w:val="TableParagraph"/>
                          <w:spacing w:before="35"/>
                          <w:ind w:left="197"/>
                          <w:rPr>
                            <w:sz w:val="18"/>
                          </w:rPr>
                        </w:pPr>
                        <w:r>
                          <w:rPr>
                            <w:sz w:val="18"/>
                          </w:rPr>
                          <w:t>1.102</w:t>
                        </w:r>
                      </w:p>
                    </w:tc>
                    <w:tc>
                      <w:tcPr>
                        <w:tcW w:w="1749" w:type="dxa"/>
                      </w:tcPr>
                      <w:p>
                        <w:pPr>
                          <w:pStyle w:val="TableParagraph"/>
                          <w:spacing w:before="35"/>
                          <w:ind w:left="124"/>
                          <w:rPr>
                            <w:sz w:val="18"/>
                          </w:rPr>
                        </w:pPr>
                        <w:r>
                          <w:rPr>
                            <w:sz w:val="18"/>
                          </w:rPr>
                          <w:t>short tons (2000 lb)</w:t>
                        </w:r>
                      </w:p>
                    </w:tc>
                    <w:tc>
                      <w:tcPr>
                        <w:tcW w:w="1072" w:type="dxa"/>
                        <w:tcBorders>
                          <w:right w:val="single" w:sz="18" w:space="0" w:color="000000"/>
                        </w:tcBorders>
                      </w:tcPr>
                      <w:p>
                        <w:pPr>
                          <w:pStyle w:val="TableParagraph"/>
                          <w:spacing w:before="35"/>
                          <w:ind w:left="203"/>
                          <w:rPr>
                            <w:sz w:val="18"/>
                          </w:rPr>
                        </w:pPr>
                        <w:r>
                          <w:rPr>
                            <w:sz w:val="18"/>
                          </w:rPr>
                          <w:t>T</w:t>
                        </w:r>
                      </w:p>
                    </w:tc>
                  </w:tr>
                  <w:tr>
                    <w:trPr>
                      <w:trHeight w:val="286"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6"/>
                          <w:ind w:left="68"/>
                          <w:rPr>
                            <w:sz w:val="18"/>
                          </w:rPr>
                        </w:pPr>
                        <w:r>
                          <w:rPr>
                            <w:sz w:val="18"/>
                          </w:rPr>
                          <w:t>lb</w:t>
                        </w:r>
                      </w:p>
                    </w:tc>
                    <w:tc>
                      <w:tcPr>
                        <w:tcW w:w="1785" w:type="dxa"/>
                      </w:tcPr>
                      <w:p>
                        <w:pPr>
                          <w:pStyle w:val="TableParagraph"/>
                          <w:spacing w:before="36"/>
                          <w:ind w:left="161"/>
                          <w:rPr>
                            <w:sz w:val="18"/>
                          </w:rPr>
                        </w:pPr>
                        <w:r>
                          <w:rPr>
                            <w:sz w:val="18"/>
                          </w:rPr>
                          <w:t>pounds</w:t>
                        </w:r>
                      </w:p>
                    </w:tc>
                    <w:tc>
                      <w:tcPr>
                        <w:tcW w:w="1277" w:type="dxa"/>
                      </w:tcPr>
                      <w:p>
                        <w:pPr>
                          <w:pStyle w:val="TableParagraph"/>
                          <w:spacing w:before="36"/>
                          <w:ind w:left="176"/>
                          <w:rPr>
                            <w:sz w:val="18"/>
                          </w:rPr>
                        </w:pPr>
                        <w:r>
                          <w:rPr>
                            <w:sz w:val="18"/>
                          </w:rPr>
                          <w:t>0.454</w:t>
                        </w:r>
                      </w:p>
                    </w:tc>
                    <w:tc>
                      <w:tcPr>
                        <w:tcW w:w="1668" w:type="dxa"/>
                      </w:tcPr>
                      <w:p>
                        <w:pPr>
                          <w:pStyle w:val="TableParagraph"/>
                          <w:spacing w:before="36"/>
                          <w:ind w:left="130"/>
                          <w:rPr>
                            <w:sz w:val="18"/>
                          </w:rPr>
                        </w:pPr>
                        <w:r>
                          <w:rPr>
                            <w:sz w:val="18"/>
                          </w:rPr>
                          <w:t>kilograms</w:t>
                        </w:r>
                      </w:p>
                    </w:tc>
                    <w:tc>
                      <w:tcPr>
                        <w:tcW w:w="951" w:type="dxa"/>
                        <w:tcBorders>
                          <w:right w:val="double" w:sz="2" w:space="0" w:color="000000"/>
                        </w:tcBorders>
                      </w:tcPr>
                      <w:p>
                        <w:pPr>
                          <w:pStyle w:val="TableParagraph"/>
                          <w:spacing w:before="36"/>
                          <w:ind w:left="100"/>
                          <w:rPr>
                            <w:sz w:val="18"/>
                          </w:rPr>
                        </w:pPr>
                        <w:r>
                          <w:rPr>
                            <w:sz w:val="18"/>
                          </w:rPr>
                          <w:t>kg</w:t>
                        </w:r>
                      </w:p>
                    </w:tc>
                    <w:tc>
                      <w:tcPr>
                        <w:tcW w:w="917" w:type="dxa"/>
                        <w:tcBorders>
                          <w:left w:val="double" w:sz="2" w:space="0" w:color="000000"/>
                        </w:tcBorders>
                      </w:tcPr>
                      <w:p>
                        <w:pPr>
                          <w:pStyle w:val="TableParagraph"/>
                          <w:rPr>
                            <w:sz w:val="18"/>
                          </w:rPr>
                        </w:pPr>
                      </w:p>
                    </w:tc>
                    <w:tc>
                      <w:tcPr>
                        <w:tcW w:w="4881" w:type="dxa"/>
                        <w:gridSpan w:val="3"/>
                      </w:tcPr>
                      <w:p>
                        <w:pPr>
                          <w:pStyle w:val="TableParagraph"/>
                          <w:spacing w:before="40"/>
                          <w:ind w:left="1532"/>
                          <w:rPr>
                            <w:b/>
                            <w:sz w:val="18"/>
                          </w:rPr>
                        </w:pPr>
                        <w:r>
                          <w:rPr>
                            <w:b/>
                            <w:sz w:val="18"/>
                            <w:u w:val="single"/>
                          </w:rPr>
                          <w:t>TEMPERATURE (exact)</w:t>
                        </w:r>
                      </w:p>
                    </w:tc>
                    <w:tc>
                      <w:tcPr>
                        <w:tcW w:w="1072" w:type="dxa"/>
                        <w:tcBorders>
                          <w:right w:val="single" w:sz="18" w:space="0" w:color="000000"/>
                        </w:tcBorders>
                      </w:tcPr>
                      <w:p>
                        <w:pPr>
                          <w:pStyle w:val="TableParagraph"/>
                          <w:rPr>
                            <w:sz w:val="18"/>
                          </w:rPr>
                        </w:pPr>
                      </w:p>
                    </w:tc>
                  </w:tr>
                  <w:tr>
                    <w:trPr>
                      <w:trHeight w:val="291"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spacing w:before="38"/>
                          <w:ind w:left="68"/>
                          <w:rPr>
                            <w:sz w:val="18"/>
                          </w:rPr>
                        </w:pPr>
                        <w:r>
                          <w:rPr>
                            <w:sz w:val="18"/>
                          </w:rPr>
                          <w:t>T</w:t>
                        </w:r>
                      </w:p>
                    </w:tc>
                    <w:tc>
                      <w:tcPr>
                        <w:tcW w:w="1785" w:type="dxa"/>
                      </w:tcPr>
                      <w:p>
                        <w:pPr>
                          <w:pStyle w:val="TableParagraph"/>
                          <w:spacing w:before="38"/>
                          <w:ind w:left="161"/>
                          <w:rPr>
                            <w:sz w:val="18"/>
                          </w:rPr>
                        </w:pPr>
                        <w:r>
                          <w:rPr>
                            <w:sz w:val="18"/>
                          </w:rPr>
                          <w:t>short tons (2000 lb)</w:t>
                        </w:r>
                      </w:p>
                    </w:tc>
                    <w:tc>
                      <w:tcPr>
                        <w:tcW w:w="1277" w:type="dxa"/>
                      </w:tcPr>
                      <w:p>
                        <w:pPr>
                          <w:pStyle w:val="TableParagraph"/>
                          <w:spacing w:before="38"/>
                          <w:ind w:left="176"/>
                          <w:rPr>
                            <w:sz w:val="18"/>
                          </w:rPr>
                        </w:pPr>
                        <w:r>
                          <w:rPr>
                            <w:sz w:val="18"/>
                          </w:rPr>
                          <w:t>0.907</w:t>
                        </w:r>
                      </w:p>
                    </w:tc>
                    <w:tc>
                      <w:tcPr>
                        <w:tcW w:w="1668" w:type="dxa"/>
                      </w:tcPr>
                      <w:p>
                        <w:pPr>
                          <w:pStyle w:val="TableParagraph"/>
                          <w:spacing w:before="38"/>
                          <w:ind w:left="130"/>
                          <w:rPr>
                            <w:sz w:val="18"/>
                          </w:rPr>
                        </w:pPr>
                        <w:r>
                          <w:rPr>
                            <w:sz w:val="18"/>
                          </w:rPr>
                          <w:t>megagrams</w:t>
                        </w:r>
                      </w:p>
                    </w:tc>
                    <w:tc>
                      <w:tcPr>
                        <w:tcW w:w="951" w:type="dxa"/>
                        <w:tcBorders>
                          <w:right w:val="double" w:sz="2" w:space="0" w:color="000000"/>
                        </w:tcBorders>
                      </w:tcPr>
                      <w:p>
                        <w:pPr>
                          <w:pStyle w:val="TableParagraph"/>
                          <w:spacing w:before="38"/>
                          <w:ind w:left="100"/>
                          <w:rPr>
                            <w:sz w:val="18"/>
                          </w:rPr>
                        </w:pPr>
                        <w:r>
                          <w:rPr>
                            <w:sz w:val="18"/>
                          </w:rPr>
                          <w:t>Mg</w:t>
                        </w:r>
                      </w:p>
                    </w:tc>
                    <w:tc>
                      <w:tcPr>
                        <w:tcW w:w="917" w:type="dxa"/>
                        <w:tcBorders>
                          <w:left w:val="double" w:sz="2" w:space="0" w:color="000000"/>
                        </w:tcBorders>
                      </w:tcPr>
                      <w:p>
                        <w:pPr>
                          <w:pStyle w:val="TableParagraph"/>
                          <w:spacing w:before="39"/>
                          <w:ind w:left="155"/>
                          <w:rPr>
                            <w:sz w:val="18"/>
                          </w:rPr>
                        </w:pPr>
                        <w:r>
                          <w:rPr>
                            <w:rFonts w:ascii="Symbol" w:hAnsi="Symbol"/>
                            <w:sz w:val="18"/>
                          </w:rPr>
                          <w:t></w:t>
                        </w:r>
                        <w:r>
                          <w:rPr>
                            <w:sz w:val="18"/>
                          </w:rPr>
                          <w:t>C</w:t>
                        </w:r>
                      </w:p>
                    </w:tc>
                    <w:tc>
                      <w:tcPr>
                        <w:tcW w:w="1840" w:type="dxa"/>
                      </w:tcPr>
                      <w:p>
                        <w:pPr>
                          <w:pStyle w:val="TableParagraph"/>
                          <w:spacing w:before="38"/>
                          <w:ind w:left="146"/>
                          <w:rPr>
                            <w:sz w:val="18"/>
                          </w:rPr>
                        </w:pPr>
                        <w:r>
                          <w:rPr>
                            <w:sz w:val="18"/>
                          </w:rPr>
                          <w:t>Celsius temperature</w:t>
                        </w:r>
                      </w:p>
                    </w:tc>
                    <w:tc>
                      <w:tcPr>
                        <w:tcW w:w="1292" w:type="dxa"/>
                      </w:tcPr>
                      <w:p>
                        <w:pPr>
                          <w:pStyle w:val="TableParagraph"/>
                          <w:spacing w:before="38"/>
                          <w:ind w:left="197"/>
                          <w:rPr>
                            <w:sz w:val="18"/>
                          </w:rPr>
                        </w:pPr>
                        <w:r>
                          <w:rPr>
                            <w:sz w:val="18"/>
                          </w:rPr>
                          <w:t>1.8 + 32</w:t>
                        </w:r>
                      </w:p>
                    </w:tc>
                    <w:tc>
                      <w:tcPr>
                        <w:tcW w:w="1749" w:type="dxa"/>
                      </w:tcPr>
                      <w:p>
                        <w:pPr>
                          <w:pStyle w:val="TableParagraph"/>
                          <w:spacing w:before="38"/>
                          <w:ind w:left="124"/>
                          <w:rPr>
                            <w:sz w:val="18"/>
                          </w:rPr>
                        </w:pPr>
                        <w:r>
                          <w:rPr>
                            <w:sz w:val="18"/>
                          </w:rPr>
                          <w:t>Fahrenheit</w:t>
                        </w:r>
                      </w:p>
                    </w:tc>
                    <w:tc>
                      <w:tcPr>
                        <w:tcW w:w="1072" w:type="dxa"/>
                        <w:tcBorders>
                          <w:right w:val="single" w:sz="18" w:space="0" w:color="000000"/>
                        </w:tcBorders>
                      </w:tcPr>
                      <w:p>
                        <w:pPr>
                          <w:pStyle w:val="TableParagraph"/>
                          <w:spacing w:before="39"/>
                          <w:ind w:left="203"/>
                          <w:rPr>
                            <w:sz w:val="18"/>
                          </w:rPr>
                        </w:pPr>
                        <w:r>
                          <w:rPr>
                            <w:rFonts w:ascii="Symbol" w:hAnsi="Symbol"/>
                            <w:sz w:val="18"/>
                          </w:rPr>
                          <w:t></w:t>
                        </w:r>
                        <w:r>
                          <w:rPr>
                            <w:sz w:val="18"/>
                          </w:rPr>
                          <w:t>F</w:t>
                        </w:r>
                      </w:p>
                    </w:tc>
                  </w:tr>
                  <w:tr>
                    <w:trPr>
                      <w:trHeight w:val="284" w:hRule="atLeast"/>
                    </w:trPr>
                    <w:tc>
                      <w:tcPr>
                        <w:tcW w:w="90" w:type="dxa"/>
                        <w:tcBorders>
                          <w:right w:val="single" w:sz="18" w:space="0" w:color="000000"/>
                        </w:tcBorders>
                      </w:tcPr>
                      <w:p>
                        <w:pPr>
                          <w:pStyle w:val="TableParagraph"/>
                          <w:rPr>
                            <w:sz w:val="18"/>
                          </w:rPr>
                        </w:pPr>
                      </w:p>
                    </w:tc>
                    <w:tc>
                      <w:tcPr>
                        <w:tcW w:w="866" w:type="dxa"/>
                        <w:tcBorders>
                          <w:left w:val="single" w:sz="18" w:space="0" w:color="000000"/>
                        </w:tcBorders>
                      </w:tcPr>
                      <w:p>
                        <w:pPr>
                          <w:pStyle w:val="TableParagraph"/>
                          <w:rPr>
                            <w:sz w:val="18"/>
                          </w:rPr>
                        </w:pPr>
                      </w:p>
                    </w:tc>
                    <w:tc>
                      <w:tcPr>
                        <w:tcW w:w="4730" w:type="dxa"/>
                        <w:gridSpan w:val="3"/>
                      </w:tcPr>
                      <w:p>
                        <w:pPr>
                          <w:pStyle w:val="TableParagraph"/>
                          <w:spacing w:before="38"/>
                          <w:ind w:left="1379"/>
                          <w:rPr>
                            <w:b/>
                            <w:sz w:val="18"/>
                          </w:rPr>
                        </w:pPr>
                        <w:r>
                          <w:rPr>
                            <w:b/>
                            <w:sz w:val="18"/>
                            <w:u w:val="single"/>
                          </w:rPr>
                          <w:t>TEMPERATURE (exact)</w:t>
                        </w:r>
                      </w:p>
                    </w:tc>
                    <w:tc>
                      <w:tcPr>
                        <w:tcW w:w="951" w:type="dxa"/>
                        <w:tcBorders>
                          <w:right w:val="double" w:sz="2" w:space="0" w:color="000000"/>
                        </w:tcBorders>
                      </w:tcPr>
                      <w:p>
                        <w:pPr>
                          <w:pStyle w:val="TableParagraph"/>
                          <w:rPr>
                            <w:sz w:val="18"/>
                          </w:rPr>
                        </w:pPr>
                      </w:p>
                    </w:tc>
                    <w:tc>
                      <w:tcPr>
                        <w:tcW w:w="917" w:type="dxa"/>
                        <w:tcBorders>
                          <w:left w:val="double" w:sz="2" w:space="0" w:color="000000"/>
                        </w:tcBorders>
                      </w:tcPr>
                      <w:p>
                        <w:pPr>
                          <w:pStyle w:val="TableParagraph"/>
                          <w:rPr>
                            <w:sz w:val="18"/>
                          </w:rPr>
                        </w:pPr>
                      </w:p>
                    </w:tc>
                    <w:tc>
                      <w:tcPr>
                        <w:tcW w:w="1840" w:type="dxa"/>
                      </w:tcPr>
                      <w:p>
                        <w:pPr>
                          <w:pStyle w:val="TableParagraph"/>
                          <w:rPr>
                            <w:sz w:val="18"/>
                          </w:rPr>
                        </w:pPr>
                      </w:p>
                    </w:tc>
                    <w:tc>
                      <w:tcPr>
                        <w:tcW w:w="1292" w:type="dxa"/>
                      </w:tcPr>
                      <w:p>
                        <w:pPr>
                          <w:pStyle w:val="TableParagraph"/>
                          <w:rPr>
                            <w:sz w:val="18"/>
                          </w:rPr>
                        </w:pPr>
                      </w:p>
                    </w:tc>
                    <w:tc>
                      <w:tcPr>
                        <w:tcW w:w="1749" w:type="dxa"/>
                      </w:tcPr>
                      <w:p>
                        <w:pPr>
                          <w:pStyle w:val="TableParagraph"/>
                          <w:rPr>
                            <w:sz w:val="18"/>
                          </w:rPr>
                        </w:pPr>
                      </w:p>
                    </w:tc>
                    <w:tc>
                      <w:tcPr>
                        <w:tcW w:w="1072" w:type="dxa"/>
                        <w:tcBorders>
                          <w:right w:val="single" w:sz="18" w:space="0" w:color="000000"/>
                        </w:tcBorders>
                      </w:tcPr>
                      <w:p>
                        <w:pPr>
                          <w:pStyle w:val="TableParagraph"/>
                          <w:rPr>
                            <w:sz w:val="18"/>
                          </w:rPr>
                        </w:pPr>
                      </w:p>
                    </w:tc>
                  </w:tr>
                  <w:tr>
                    <w:trPr>
                      <w:trHeight w:val="911" w:hRule="atLeast"/>
                    </w:trPr>
                    <w:tc>
                      <w:tcPr>
                        <w:tcW w:w="90" w:type="dxa"/>
                        <w:tcBorders>
                          <w:right w:val="single" w:sz="18" w:space="0" w:color="000000"/>
                        </w:tcBorders>
                      </w:tcPr>
                      <w:p>
                        <w:pPr>
                          <w:pStyle w:val="TableParagraph"/>
                          <w:rPr>
                            <w:sz w:val="18"/>
                          </w:rPr>
                        </w:pPr>
                      </w:p>
                    </w:tc>
                    <w:tc>
                      <w:tcPr>
                        <w:tcW w:w="866" w:type="dxa"/>
                        <w:tcBorders>
                          <w:left w:val="single" w:sz="18" w:space="0" w:color="000000"/>
                          <w:bottom w:val="single" w:sz="6" w:space="0" w:color="000000"/>
                        </w:tcBorders>
                      </w:tcPr>
                      <w:p>
                        <w:pPr>
                          <w:pStyle w:val="TableParagraph"/>
                          <w:spacing w:before="39"/>
                          <w:ind w:left="68"/>
                          <w:rPr>
                            <w:sz w:val="18"/>
                          </w:rPr>
                        </w:pPr>
                        <w:r>
                          <w:rPr>
                            <w:rFonts w:ascii="Symbol" w:hAnsi="Symbol"/>
                            <w:sz w:val="18"/>
                          </w:rPr>
                          <w:t></w:t>
                        </w:r>
                        <w:r>
                          <w:rPr>
                            <w:sz w:val="18"/>
                          </w:rPr>
                          <w:t>F</w:t>
                        </w:r>
                      </w:p>
                    </w:tc>
                    <w:tc>
                      <w:tcPr>
                        <w:tcW w:w="1785" w:type="dxa"/>
                        <w:tcBorders>
                          <w:bottom w:val="single" w:sz="6" w:space="0" w:color="000000"/>
                        </w:tcBorders>
                      </w:tcPr>
                      <w:p>
                        <w:pPr>
                          <w:pStyle w:val="TableParagraph"/>
                          <w:spacing w:before="38"/>
                          <w:ind w:left="161" w:right="744"/>
                          <w:rPr>
                            <w:sz w:val="18"/>
                          </w:rPr>
                        </w:pPr>
                        <w:r>
                          <w:rPr>
                            <w:sz w:val="18"/>
                          </w:rPr>
                          <w:t>Fahrenheit temperature</w:t>
                        </w:r>
                      </w:p>
                    </w:tc>
                    <w:tc>
                      <w:tcPr>
                        <w:tcW w:w="1277" w:type="dxa"/>
                        <w:tcBorders>
                          <w:bottom w:val="single" w:sz="6" w:space="0" w:color="000000"/>
                        </w:tcBorders>
                      </w:tcPr>
                      <w:p>
                        <w:pPr>
                          <w:pStyle w:val="TableParagraph"/>
                          <w:spacing w:before="38"/>
                          <w:ind w:left="176"/>
                          <w:rPr>
                            <w:sz w:val="18"/>
                          </w:rPr>
                        </w:pPr>
                        <w:r>
                          <w:rPr>
                            <w:sz w:val="18"/>
                          </w:rPr>
                          <w:t>5(F-32)/9</w:t>
                        </w:r>
                      </w:p>
                    </w:tc>
                    <w:tc>
                      <w:tcPr>
                        <w:tcW w:w="1668" w:type="dxa"/>
                        <w:tcBorders>
                          <w:bottom w:val="single" w:sz="6" w:space="0" w:color="000000"/>
                        </w:tcBorders>
                      </w:tcPr>
                      <w:p>
                        <w:pPr>
                          <w:pStyle w:val="TableParagraph"/>
                          <w:spacing w:before="38"/>
                          <w:ind w:left="130"/>
                          <w:rPr>
                            <w:sz w:val="18"/>
                          </w:rPr>
                        </w:pPr>
                        <w:r>
                          <w:rPr>
                            <w:sz w:val="18"/>
                          </w:rPr>
                          <w:t>Celsius temperature</w:t>
                        </w:r>
                      </w:p>
                    </w:tc>
                    <w:tc>
                      <w:tcPr>
                        <w:tcW w:w="951" w:type="dxa"/>
                        <w:tcBorders>
                          <w:bottom w:val="single" w:sz="6" w:space="0" w:color="000000"/>
                          <w:right w:val="double" w:sz="2" w:space="0" w:color="000000"/>
                        </w:tcBorders>
                      </w:tcPr>
                      <w:p>
                        <w:pPr>
                          <w:pStyle w:val="TableParagraph"/>
                          <w:spacing w:before="39"/>
                          <w:ind w:left="100"/>
                          <w:rPr>
                            <w:sz w:val="18"/>
                          </w:rPr>
                        </w:pPr>
                        <w:r>
                          <w:rPr>
                            <w:rFonts w:ascii="Symbol" w:hAnsi="Symbol"/>
                            <w:sz w:val="18"/>
                          </w:rPr>
                          <w:t></w:t>
                        </w:r>
                        <w:r>
                          <w:rPr>
                            <w:sz w:val="18"/>
                          </w:rPr>
                          <w:t>C</w:t>
                        </w:r>
                      </w:p>
                    </w:tc>
                    <w:tc>
                      <w:tcPr>
                        <w:tcW w:w="917" w:type="dxa"/>
                        <w:tcBorders>
                          <w:left w:val="double" w:sz="2" w:space="0" w:color="000000"/>
                          <w:bottom w:val="single" w:sz="6" w:space="0" w:color="000000"/>
                        </w:tcBorders>
                      </w:tcPr>
                      <w:p>
                        <w:pPr>
                          <w:pStyle w:val="TableParagraph"/>
                          <w:rPr>
                            <w:sz w:val="18"/>
                          </w:rPr>
                        </w:pPr>
                      </w:p>
                    </w:tc>
                    <w:tc>
                      <w:tcPr>
                        <w:tcW w:w="1840" w:type="dxa"/>
                        <w:tcBorders>
                          <w:bottom w:val="single" w:sz="6" w:space="0" w:color="000000"/>
                        </w:tcBorders>
                      </w:tcPr>
                      <w:p>
                        <w:pPr>
                          <w:pStyle w:val="TableParagraph"/>
                          <w:rPr>
                            <w:sz w:val="18"/>
                          </w:rPr>
                        </w:pPr>
                      </w:p>
                    </w:tc>
                    <w:tc>
                      <w:tcPr>
                        <w:tcW w:w="1292" w:type="dxa"/>
                        <w:tcBorders>
                          <w:bottom w:val="single" w:sz="6" w:space="0" w:color="000000"/>
                        </w:tcBorders>
                      </w:tcPr>
                      <w:p>
                        <w:pPr>
                          <w:pStyle w:val="TableParagraph"/>
                          <w:rPr>
                            <w:sz w:val="18"/>
                          </w:rPr>
                        </w:pPr>
                      </w:p>
                    </w:tc>
                    <w:tc>
                      <w:tcPr>
                        <w:tcW w:w="1749" w:type="dxa"/>
                        <w:tcBorders>
                          <w:bottom w:val="single" w:sz="6" w:space="0" w:color="000000"/>
                        </w:tcBorders>
                      </w:tcPr>
                      <w:p>
                        <w:pPr>
                          <w:pStyle w:val="TableParagraph"/>
                          <w:rPr>
                            <w:sz w:val="18"/>
                          </w:rPr>
                        </w:pPr>
                      </w:p>
                    </w:tc>
                    <w:tc>
                      <w:tcPr>
                        <w:tcW w:w="1072" w:type="dxa"/>
                        <w:tcBorders>
                          <w:bottom w:val="single" w:sz="6" w:space="0" w:color="000000"/>
                          <w:right w:val="single" w:sz="18" w:space="0" w:color="000000"/>
                        </w:tcBorders>
                      </w:tcPr>
                      <w:p>
                        <w:pPr>
                          <w:pStyle w:val="TableParagraph"/>
                          <w:rPr>
                            <w:sz w:val="18"/>
                          </w:rPr>
                        </w:pPr>
                      </w:p>
                    </w:tc>
                  </w:tr>
                  <w:tr>
                    <w:trPr>
                      <w:trHeight w:val="328" w:hRule="atLeast"/>
                    </w:trPr>
                    <w:tc>
                      <w:tcPr>
                        <w:tcW w:w="13507" w:type="dxa"/>
                        <w:gridSpan w:val="11"/>
                        <w:tcBorders>
                          <w:top w:val="single" w:sz="6" w:space="0" w:color="000000"/>
                          <w:bottom w:val="double" w:sz="2" w:space="0" w:color="000000"/>
                          <w:right w:val="single" w:sz="18" w:space="0" w:color="000000"/>
                        </w:tcBorders>
                      </w:tcPr>
                      <w:p>
                        <w:pPr>
                          <w:pStyle w:val="TableParagraph"/>
                          <w:tabs>
                            <w:tab w:pos="12610" w:val="left" w:leader="none"/>
                          </w:tabs>
                          <w:spacing w:before="85"/>
                          <w:ind w:left="90"/>
                          <w:rPr>
                            <w:sz w:val="16"/>
                          </w:rPr>
                        </w:pPr>
                        <w:r>
                          <w:rPr>
                            <w:b/>
                            <w:sz w:val="16"/>
                          </w:rPr>
                          <w:t>* </w:t>
                        </w:r>
                        <w:r>
                          <w:rPr>
                            <w:sz w:val="16"/>
                          </w:rPr>
                          <w:t>SI is the symbol for the International System</w:t>
                        </w:r>
                        <w:r>
                          <w:rPr>
                            <w:spacing w:val="-18"/>
                            <w:sz w:val="16"/>
                          </w:rPr>
                          <w:t> </w:t>
                        </w:r>
                        <w:r>
                          <w:rPr>
                            <w:sz w:val="16"/>
                          </w:rPr>
                          <w:t>of</w:t>
                        </w:r>
                        <w:r>
                          <w:rPr>
                            <w:spacing w:val="-1"/>
                            <w:sz w:val="16"/>
                          </w:rPr>
                          <w:t> </w:t>
                        </w:r>
                        <w:r>
                          <w:rPr>
                            <w:sz w:val="16"/>
                          </w:rPr>
                          <w:t>Measurement</w:t>
                          <w:tab/>
                          <w:t>(4-7-94</w:t>
                        </w:r>
                        <w:r>
                          <w:rPr>
                            <w:spacing w:val="-2"/>
                            <w:sz w:val="16"/>
                          </w:rPr>
                          <w:t> </w:t>
                        </w:r>
                        <w:r>
                          <w:rPr>
                            <w:sz w:val="16"/>
                          </w:rPr>
                          <w:t>jbp)</w:t>
                        </w:r>
                      </w:p>
                    </w:tc>
                  </w:tr>
                </w:tbl>
                <w:p>
                  <w:pPr>
                    <w:pStyle w:val="BodyText"/>
                  </w:pPr>
                </w:p>
              </w:txbxContent>
            </v:textbox>
            <w10:wrap type="none"/>
          </v:shape>
        </w:pict>
      </w:r>
      <w:r>
        <w:rPr/>
        <w:t>ii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5"/>
        </w:rPr>
      </w:pPr>
      <w:r>
        <w:rPr/>
        <w:drawing>
          <wp:anchor distT="0" distB="0" distL="0" distR="0" allowOverlap="1" layoutInCell="1" locked="0" behindDoc="0" simplePos="0" relativeHeight="1">
            <wp:simplePos x="0" y="0"/>
            <wp:positionH relativeFrom="page">
              <wp:posOffset>5021686</wp:posOffset>
            </wp:positionH>
            <wp:positionV relativeFrom="paragraph">
              <wp:posOffset>139952</wp:posOffset>
            </wp:positionV>
            <wp:extent cx="1164522" cy="275367"/>
            <wp:effectExtent l="0" t="0" r="0" b="0"/>
            <wp:wrapTopAndBottom/>
            <wp:docPr id="1" name="image2.png" descr=""/>
            <wp:cNvGraphicFramePr>
              <a:graphicFrameLocks noChangeAspect="1"/>
            </wp:cNvGraphicFramePr>
            <a:graphic>
              <a:graphicData uri="http://schemas.openxmlformats.org/drawingml/2006/picture">
                <pic:pic>
                  <pic:nvPicPr>
                    <pic:cNvPr id="2" name="image2.png"/>
                    <pic:cNvPicPr/>
                  </pic:nvPicPr>
                  <pic:blipFill>
                    <a:blip r:embed="rId9" cstate="print"/>
                    <a:stretch>
                      <a:fillRect/>
                    </a:stretch>
                  </pic:blipFill>
                  <pic:spPr>
                    <a:xfrm>
                      <a:off x="0" y="0"/>
                      <a:ext cx="1164522" cy="275367"/>
                    </a:xfrm>
                    <a:prstGeom prst="rect">
                      <a:avLst/>
                    </a:prstGeom>
                  </pic:spPr>
                </pic:pic>
              </a:graphicData>
            </a:graphic>
          </wp:anchor>
        </w:drawing>
      </w:r>
    </w:p>
    <w:p>
      <w:pPr>
        <w:spacing w:after="0"/>
        <w:rPr>
          <w:sz w:val="15"/>
        </w:rPr>
        <w:sectPr>
          <w:footerReference w:type="default" r:id="rId8"/>
          <w:pgSz w:w="15840" w:h="12240" w:orient="landscape"/>
          <w:pgMar w:footer="0" w:header="0" w:top="1140" w:bottom="280" w:left="600" w:right="1020"/>
        </w:sectPr>
      </w:pPr>
    </w:p>
    <w:p>
      <w:pPr>
        <w:pStyle w:val="BodyText"/>
        <w:rPr>
          <w:sz w:val="20"/>
        </w:rPr>
      </w:pPr>
    </w:p>
    <w:p>
      <w:pPr>
        <w:pStyle w:val="BodyText"/>
        <w:spacing w:before="9"/>
        <w:rPr>
          <w:sz w:val="29"/>
        </w:rPr>
      </w:pPr>
    </w:p>
    <w:p>
      <w:pPr>
        <w:pStyle w:val="Heading3"/>
        <w:spacing w:before="87"/>
        <w:ind w:left="3351" w:firstLine="0"/>
      </w:pPr>
      <w:r>
        <w:rPr/>
        <w:t>ACKNOWLEDGEMENTS</w:t>
      </w:r>
    </w:p>
    <w:p>
      <w:pPr>
        <w:pStyle w:val="BodyText"/>
        <w:spacing w:before="8"/>
        <w:rPr>
          <w:b/>
          <w:sz w:val="23"/>
        </w:rPr>
      </w:pPr>
    </w:p>
    <w:p>
      <w:pPr>
        <w:pStyle w:val="BodyText"/>
        <w:ind w:left="320" w:right="1481"/>
      </w:pPr>
      <w:r>
        <w:rPr/>
        <w:t>The authors would like to thank the members of the Technical Advisory Committee for their help in the preparation of this report and the research. The TAC members consisted of Roger Gutierrez, ODOT Traffic-Roadway Section; Zahidul Siddique, ODOT Traffic-Roadway</w:t>
      </w:r>
      <w:r>
        <w:rPr>
          <w:spacing w:val="-28"/>
        </w:rPr>
        <w:t> </w:t>
      </w:r>
      <w:r>
        <w:rPr/>
        <w:t>Section; Amanda Salyer, Senior Traffic Investigator, ODOT Technical Services; Gary Obery, ODOT Alternate Mode Traffic Engineer and Kristie Gladhill, Region 1 Transportation Safety Coordinator. The project was managed by Mark Joerger, ODOT</w:t>
      </w:r>
      <w:r>
        <w:rPr>
          <w:spacing w:val="-6"/>
        </w:rPr>
        <w:t> </w:t>
      </w:r>
      <w:r>
        <w:rPr/>
        <w:t>Research.</w:t>
      </w:r>
    </w:p>
    <w:p>
      <w:pPr>
        <w:pStyle w:val="BodyText"/>
        <w:rPr>
          <w:sz w:val="26"/>
        </w:rPr>
      </w:pPr>
    </w:p>
    <w:p>
      <w:pPr>
        <w:pStyle w:val="Heading3"/>
        <w:spacing w:before="221"/>
        <w:ind w:left="487" w:right="1605" w:firstLine="0"/>
        <w:jc w:val="center"/>
      </w:pPr>
      <w:r>
        <w:rPr/>
        <w:t>DISCLAIMER</w:t>
      </w:r>
    </w:p>
    <w:p>
      <w:pPr>
        <w:pStyle w:val="BodyText"/>
        <w:spacing w:before="6"/>
        <w:rPr>
          <w:b/>
          <w:sz w:val="44"/>
        </w:rPr>
      </w:pPr>
    </w:p>
    <w:p>
      <w:pPr>
        <w:pStyle w:val="BodyText"/>
        <w:ind w:left="320" w:right="1515"/>
      </w:pPr>
      <w:r>
        <w:rPr/>
        <w:t>This document is disseminated under the sponsorship of the Oregon Department of Transportation and the United States Department of Transportation in the interest of information exchange. The State of Oregon and the United States Government assume no liability of its contents or use thereof. The contents of this report reflect the views of the author(s) who are solely responsible for the facts and accuracy of the material presented. The contents do not necessarily reflect the official views of the Oregon Department of Transportation or the United States Department of Transportation. This report does not constitute a standard, specification, or regulation.</w:t>
      </w:r>
    </w:p>
    <w:p>
      <w:pPr>
        <w:spacing w:after="0"/>
        <w:sectPr>
          <w:footerReference w:type="default" r:id="rId10"/>
          <w:pgSz w:w="12240" w:h="15840"/>
          <w:pgMar w:footer="709" w:header="0" w:top="1500" w:bottom="900" w:left="1120" w:right="0"/>
          <w:pgNumType w:start="3"/>
        </w:sectPr>
      </w:pPr>
    </w:p>
    <w:p>
      <w:pPr>
        <w:pStyle w:val="Heading3"/>
        <w:spacing w:before="60"/>
        <w:ind w:left="484" w:right="1606" w:firstLine="0"/>
        <w:jc w:val="center"/>
      </w:pPr>
      <w:r>
        <w:rPr/>
        <w:t>TABLE OF CONTENTS</w:t>
      </w:r>
    </w:p>
    <w:p>
      <w:pPr>
        <w:spacing w:after="0"/>
        <w:jc w:val="center"/>
        <w:sectPr>
          <w:pgSz w:w="12240" w:h="15840"/>
          <w:pgMar w:header="0" w:footer="709" w:top="1380" w:bottom="1425" w:left="1120" w:right="0"/>
        </w:sectPr>
      </w:pPr>
    </w:p>
    <w:sdt>
      <w:sdtPr>
        <w:docPartObj>
          <w:docPartGallery w:val="Table of Contents"/>
          <w:docPartUnique/>
        </w:docPartObj>
      </w:sdtPr>
      <w:sdtEndPr/>
      <w:sdtContent>
        <w:p>
          <w:pPr>
            <w:pStyle w:val="TOC1"/>
            <w:tabs>
              <w:tab w:pos="1039" w:val="left" w:leader="none"/>
              <w:tab w:pos="9670" w:val="right" w:leader="dot"/>
            </w:tabs>
            <w:spacing w:before="118"/>
            <w:ind w:left="320" w:firstLine="0"/>
          </w:pPr>
          <w:hyperlink w:history="true" w:anchor="_TOC_250066">
            <w:r>
              <w:rPr/>
              <w:t>1.0</w:t>
              <w:tab/>
              <w:t>INTRODUCTION</w:t>
              <w:tab/>
              <w:t>1</w:t>
            </w:r>
          </w:hyperlink>
        </w:p>
        <w:p>
          <w:pPr>
            <w:pStyle w:val="TOC1"/>
            <w:numPr>
              <w:ilvl w:val="1"/>
              <w:numId w:val="1"/>
            </w:numPr>
            <w:tabs>
              <w:tab w:pos="1039" w:val="left" w:leader="none"/>
              <w:tab w:pos="1040" w:val="left" w:leader="none"/>
              <w:tab w:pos="9670" w:val="right" w:leader="dot"/>
            </w:tabs>
            <w:spacing w:line="240" w:lineRule="auto" w:before="120" w:after="0"/>
            <w:ind w:left="1040" w:right="0" w:hanging="720"/>
            <w:jc w:val="left"/>
          </w:pPr>
          <w:hyperlink w:history="true" w:anchor="_TOC_250065">
            <w:r>
              <w:rPr/>
              <w:t>LITERATURE</w:t>
            </w:r>
            <w:r>
              <w:rPr>
                <w:spacing w:val="-1"/>
              </w:rPr>
              <w:t> </w:t>
            </w:r>
            <w:r>
              <w:rPr/>
              <w:t>REVIEW</w:t>
              <w:tab/>
              <w:t>3</w:t>
            </w:r>
          </w:hyperlink>
        </w:p>
        <w:p>
          <w:pPr>
            <w:pStyle w:val="TOC2"/>
            <w:numPr>
              <w:ilvl w:val="1"/>
              <w:numId w:val="1"/>
            </w:numPr>
            <w:tabs>
              <w:tab w:pos="1279" w:val="left" w:leader="none"/>
              <w:tab w:pos="1280" w:val="left" w:leader="none"/>
              <w:tab w:pos="9670" w:val="right" w:leader="dot"/>
            </w:tabs>
            <w:spacing w:line="240" w:lineRule="auto" w:before="118" w:after="0"/>
            <w:ind w:left="1280" w:right="0" w:hanging="720"/>
            <w:jc w:val="left"/>
          </w:pPr>
          <w:hyperlink w:history="true" w:anchor="_TOC_250064">
            <w:r>
              <w:rPr/>
              <w:t>RISK-BASED METHODS FOR</w:t>
            </w:r>
            <w:r>
              <w:rPr>
                <w:spacing w:val="-41"/>
              </w:rPr>
              <w:t> </w:t>
            </w:r>
            <w:r>
              <w:rPr/>
              <w:t>PRIORITIZING</w:t>
            </w:r>
            <w:r>
              <w:rPr>
                <w:spacing w:val="-13"/>
              </w:rPr>
              <w:t> </w:t>
            </w:r>
            <w:r>
              <w:rPr/>
              <w:t>SAFETY</w:t>
              <w:tab/>
              <w:t>3</w:t>
            </w:r>
          </w:hyperlink>
        </w:p>
        <w:p>
          <w:pPr>
            <w:pStyle w:val="TOC5"/>
            <w:numPr>
              <w:ilvl w:val="2"/>
              <w:numId w:val="1"/>
            </w:numPr>
            <w:tabs>
              <w:tab w:pos="1519" w:val="left" w:leader="none"/>
              <w:tab w:pos="1520" w:val="left" w:leader="none"/>
              <w:tab w:pos="9670" w:val="right" w:leader="dot"/>
            </w:tabs>
            <w:spacing w:line="240" w:lineRule="auto" w:before="0" w:after="0"/>
            <w:ind w:left="1520" w:right="0" w:hanging="720"/>
            <w:jc w:val="left"/>
            <w:rPr>
              <w:i/>
            </w:rPr>
          </w:pPr>
          <w:hyperlink w:history="true" w:anchor="_TOC_250063">
            <w:r>
              <w:rPr>
                <w:i/>
              </w:rPr>
              <w:t>Systemic</w:t>
            </w:r>
            <w:r>
              <w:rPr>
                <w:i/>
                <w:spacing w:val="-2"/>
              </w:rPr>
              <w:t> </w:t>
            </w:r>
            <w:r>
              <w:rPr>
                <w:i/>
              </w:rPr>
              <w:t>Safety Approach</w:t>
              <w:tab/>
              <w:t>3</w:t>
            </w:r>
          </w:hyperlink>
        </w:p>
        <w:p>
          <w:pPr>
            <w:pStyle w:val="TOC5"/>
            <w:numPr>
              <w:ilvl w:val="2"/>
              <w:numId w:val="1"/>
            </w:numPr>
            <w:tabs>
              <w:tab w:pos="1519" w:val="left" w:leader="none"/>
              <w:tab w:pos="1520" w:val="left" w:leader="none"/>
              <w:tab w:pos="9670" w:val="right" w:leader="dot"/>
            </w:tabs>
            <w:spacing w:line="240" w:lineRule="auto" w:before="1" w:after="0"/>
            <w:ind w:left="1520" w:right="0" w:hanging="720"/>
            <w:jc w:val="left"/>
            <w:rPr>
              <w:i/>
            </w:rPr>
          </w:pPr>
          <w:hyperlink w:history="true" w:anchor="_TOC_250062">
            <w:r>
              <w:rPr>
                <w:i/>
              </w:rPr>
              <w:t>U.S. Road</w:t>
            </w:r>
            <w:r>
              <w:rPr>
                <w:i/>
                <w:spacing w:val="-2"/>
              </w:rPr>
              <w:t> </w:t>
            </w:r>
            <w:r>
              <w:rPr>
                <w:i/>
              </w:rPr>
              <w:t>Assessment</w:t>
            </w:r>
            <w:r>
              <w:rPr>
                <w:i/>
                <w:spacing w:val="-1"/>
              </w:rPr>
              <w:t> </w:t>
            </w:r>
            <w:r>
              <w:rPr>
                <w:i/>
              </w:rPr>
              <w:t>Program</w:t>
              <w:tab/>
              <w:t>5</w:t>
            </w:r>
          </w:hyperlink>
        </w:p>
        <w:p>
          <w:pPr>
            <w:pStyle w:val="TOC5"/>
            <w:numPr>
              <w:ilvl w:val="2"/>
              <w:numId w:val="1"/>
            </w:numPr>
            <w:tabs>
              <w:tab w:pos="1519" w:val="left" w:leader="none"/>
              <w:tab w:pos="1520" w:val="left" w:leader="none"/>
              <w:tab w:pos="9670" w:val="right" w:leader="dot"/>
            </w:tabs>
            <w:spacing w:line="230" w:lineRule="exact" w:before="0" w:after="0"/>
            <w:ind w:left="1520" w:right="0" w:hanging="720"/>
            <w:jc w:val="left"/>
            <w:rPr>
              <w:i/>
            </w:rPr>
          </w:pPr>
          <w:hyperlink w:history="true" w:anchor="_TOC_250061">
            <w:r>
              <w:rPr>
                <w:i/>
              </w:rPr>
              <w:t>Pedestrian and Bicyclist Intersection</w:t>
            </w:r>
            <w:r>
              <w:rPr>
                <w:i/>
                <w:spacing w:val="-6"/>
              </w:rPr>
              <w:t> </w:t>
            </w:r>
            <w:r>
              <w:rPr>
                <w:i/>
              </w:rPr>
              <w:t>Safety Indices</w:t>
              <w:tab/>
              <w:t>7</w:t>
            </w:r>
          </w:hyperlink>
        </w:p>
        <w:p>
          <w:pPr>
            <w:pStyle w:val="TOC5"/>
            <w:numPr>
              <w:ilvl w:val="2"/>
              <w:numId w:val="1"/>
            </w:numPr>
            <w:tabs>
              <w:tab w:pos="1519" w:val="left" w:leader="none"/>
              <w:tab w:pos="1520" w:val="left" w:leader="none"/>
              <w:tab w:pos="9670" w:val="right" w:leader="dot"/>
            </w:tabs>
            <w:spacing w:line="230" w:lineRule="exact" w:before="0" w:after="0"/>
            <w:ind w:left="1520" w:right="0" w:hanging="720"/>
            <w:jc w:val="left"/>
            <w:rPr>
              <w:i/>
            </w:rPr>
          </w:pPr>
          <w:hyperlink w:history="true" w:anchor="_TOC_250060">
            <w:r>
              <w:rPr>
                <w:i/>
              </w:rPr>
              <w:t>ActiveTrans Priority</w:t>
            </w:r>
            <w:r>
              <w:rPr>
                <w:i/>
                <w:spacing w:val="-1"/>
              </w:rPr>
              <w:t> </w:t>
            </w:r>
            <w:r>
              <w:rPr>
                <w:i/>
              </w:rPr>
              <w:t>Tool</w:t>
            </w:r>
            <w:r>
              <w:rPr>
                <w:i/>
                <w:spacing w:val="-1"/>
              </w:rPr>
              <w:t> </w:t>
            </w:r>
            <w:r>
              <w:rPr>
                <w:i/>
              </w:rPr>
              <w:t>(APT)</w:t>
              <w:tab/>
              <w:t>9</w:t>
            </w:r>
          </w:hyperlink>
        </w:p>
        <w:p>
          <w:pPr>
            <w:pStyle w:val="TOC5"/>
            <w:numPr>
              <w:ilvl w:val="2"/>
              <w:numId w:val="1"/>
            </w:numPr>
            <w:tabs>
              <w:tab w:pos="1519" w:val="left" w:leader="none"/>
              <w:tab w:pos="1520" w:val="left" w:leader="none"/>
              <w:tab w:pos="9671" w:val="right" w:leader="dot"/>
            </w:tabs>
            <w:spacing w:line="240" w:lineRule="auto" w:before="1" w:after="0"/>
            <w:ind w:left="1520" w:right="0" w:hanging="720"/>
            <w:jc w:val="left"/>
            <w:rPr>
              <w:i/>
            </w:rPr>
          </w:pPr>
          <w:hyperlink w:history="true" w:anchor="_TOC_250059">
            <w:r>
              <w:rPr>
                <w:i/>
              </w:rPr>
              <w:t>Level of Traffic</w:t>
            </w:r>
            <w:r>
              <w:rPr>
                <w:i/>
                <w:spacing w:val="-3"/>
              </w:rPr>
              <w:t> </w:t>
            </w:r>
            <w:r>
              <w:rPr>
                <w:i/>
              </w:rPr>
              <w:t>Stress</w:t>
            </w:r>
            <w:r>
              <w:rPr>
                <w:i/>
                <w:spacing w:val="-1"/>
              </w:rPr>
              <w:t> </w:t>
            </w:r>
            <w:r>
              <w:rPr>
                <w:i/>
              </w:rPr>
              <w:t>(LTS)</w:t>
              <w:tab/>
              <w:t>11</w:t>
            </w:r>
          </w:hyperlink>
        </w:p>
        <w:p>
          <w:pPr>
            <w:pStyle w:val="TOC3"/>
            <w:numPr>
              <w:ilvl w:val="1"/>
              <w:numId w:val="1"/>
            </w:numPr>
            <w:tabs>
              <w:tab w:pos="1279" w:val="left" w:leader="none"/>
              <w:tab w:pos="1280" w:val="left" w:leader="none"/>
              <w:tab w:pos="9670" w:val="right" w:leader="dot"/>
            </w:tabs>
            <w:spacing w:line="275" w:lineRule="exact" w:before="0" w:after="0"/>
            <w:ind w:left="1280" w:right="0" w:hanging="720"/>
            <w:jc w:val="left"/>
            <w:rPr>
              <w:sz w:val="24"/>
            </w:rPr>
          </w:pPr>
          <w:hyperlink w:history="true" w:anchor="_TOC_250058">
            <w:r>
              <w:rPr>
                <w:sz w:val="24"/>
              </w:rPr>
              <w:t>Q</w:t>
            </w:r>
            <w:r>
              <w:rPr/>
              <w:t>UANTIFYING</w:t>
            </w:r>
            <w:r>
              <w:rPr>
                <w:spacing w:val="-1"/>
              </w:rPr>
              <w:t> </w:t>
            </w:r>
            <w:r>
              <w:rPr>
                <w:sz w:val="24"/>
              </w:rPr>
              <w:t>B</w:t>
            </w:r>
            <w:r>
              <w:rPr/>
              <w:t>ICYCLE</w:t>
            </w:r>
            <w:r>
              <w:rPr>
                <w:spacing w:val="1"/>
              </w:rPr>
              <w:t> </w:t>
            </w:r>
            <w:r>
              <w:rPr>
                <w:sz w:val="24"/>
              </w:rPr>
              <w:t>S</w:t>
            </w:r>
            <w:r>
              <w:rPr/>
              <w:t>AFETY</w:t>
              <w:tab/>
            </w:r>
            <w:r>
              <w:rPr>
                <w:sz w:val="24"/>
              </w:rPr>
              <w:t>14</w:t>
            </w:r>
          </w:hyperlink>
        </w:p>
        <w:p>
          <w:pPr>
            <w:pStyle w:val="TOC5"/>
            <w:numPr>
              <w:ilvl w:val="2"/>
              <w:numId w:val="1"/>
            </w:numPr>
            <w:tabs>
              <w:tab w:pos="1519" w:val="left" w:leader="none"/>
              <w:tab w:pos="1520" w:val="left" w:leader="none"/>
              <w:tab w:pos="9671" w:val="right" w:leader="dot"/>
            </w:tabs>
            <w:spacing w:line="229" w:lineRule="exact" w:before="0" w:after="0"/>
            <w:ind w:left="1520" w:right="0" w:hanging="720"/>
            <w:jc w:val="left"/>
            <w:rPr>
              <w:i/>
            </w:rPr>
          </w:pPr>
          <w:hyperlink w:history="true" w:anchor="_TOC_250057">
            <w:r>
              <w:rPr>
                <w:i/>
              </w:rPr>
              <w:t>Modeling Methods for</w:t>
            </w:r>
            <w:r>
              <w:rPr>
                <w:i/>
                <w:spacing w:val="-4"/>
              </w:rPr>
              <w:t> </w:t>
            </w:r>
            <w:r>
              <w:rPr>
                <w:i/>
              </w:rPr>
              <w:t>Bicycle Crashes</w:t>
              <w:tab/>
              <w:t>14</w:t>
            </w:r>
          </w:hyperlink>
        </w:p>
        <w:p>
          <w:pPr>
            <w:pStyle w:val="TOC5"/>
            <w:numPr>
              <w:ilvl w:val="2"/>
              <w:numId w:val="1"/>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56">
            <w:r>
              <w:rPr>
                <w:i/>
              </w:rPr>
              <w:t>Critical Factors Associated with</w:t>
            </w:r>
            <w:r>
              <w:rPr>
                <w:i/>
                <w:spacing w:val="-3"/>
              </w:rPr>
              <w:t> </w:t>
            </w:r>
            <w:r>
              <w:rPr>
                <w:i/>
              </w:rPr>
              <w:t>Bicycle Crashes</w:t>
              <w:tab/>
              <w:t>16</w:t>
            </w:r>
          </w:hyperlink>
        </w:p>
        <w:p>
          <w:pPr>
            <w:pStyle w:val="TOC3"/>
            <w:numPr>
              <w:ilvl w:val="1"/>
              <w:numId w:val="1"/>
            </w:numPr>
            <w:tabs>
              <w:tab w:pos="1279" w:val="left" w:leader="none"/>
              <w:tab w:pos="1280" w:val="left" w:leader="none"/>
              <w:tab w:pos="9670" w:val="right" w:leader="dot"/>
            </w:tabs>
            <w:spacing w:line="240" w:lineRule="auto" w:before="1" w:after="0"/>
            <w:ind w:left="1280" w:right="0" w:hanging="720"/>
            <w:jc w:val="left"/>
            <w:rPr>
              <w:sz w:val="24"/>
            </w:rPr>
          </w:pPr>
          <w:hyperlink w:history="true" w:anchor="_TOC_250055">
            <w:r>
              <w:rPr>
                <w:sz w:val="24"/>
              </w:rPr>
              <w:t>Q</w:t>
            </w:r>
            <w:r>
              <w:rPr/>
              <w:t>UANTIFYING</w:t>
            </w:r>
            <w:r>
              <w:rPr>
                <w:spacing w:val="-1"/>
              </w:rPr>
              <w:t> </w:t>
            </w:r>
            <w:r>
              <w:rPr>
                <w:sz w:val="24"/>
              </w:rPr>
              <w:t>P</w:t>
            </w:r>
            <w:r>
              <w:rPr/>
              <w:t>EDESTRIAN </w:t>
            </w:r>
            <w:r>
              <w:rPr>
                <w:sz w:val="24"/>
              </w:rPr>
              <w:t>S</w:t>
            </w:r>
            <w:r>
              <w:rPr/>
              <w:t>AFETY</w:t>
              <w:tab/>
            </w:r>
            <w:r>
              <w:rPr>
                <w:sz w:val="24"/>
              </w:rPr>
              <w:t>21</w:t>
            </w:r>
          </w:hyperlink>
        </w:p>
        <w:p>
          <w:pPr>
            <w:pStyle w:val="TOC5"/>
            <w:numPr>
              <w:ilvl w:val="2"/>
              <w:numId w:val="1"/>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54">
            <w:r>
              <w:rPr>
                <w:i/>
              </w:rPr>
              <w:t>Modeling Methods for</w:t>
            </w:r>
            <w:r>
              <w:rPr>
                <w:i/>
                <w:spacing w:val="-4"/>
              </w:rPr>
              <w:t> </w:t>
            </w:r>
            <w:r>
              <w:rPr>
                <w:i/>
              </w:rPr>
              <w:t>Pedestrian</w:t>
            </w:r>
            <w:r>
              <w:rPr>
                <w:i/>
                <w:spacing w:val="1"/>
              </w:rPr>
              <w:t> </w:t>
            </w:r>
            <w:r>
              <w:rPr>
                <w:i/>
              </w:rPr>
              <w:t>Crashes</w:t>
              <w:tab/>
              <w:t>21</w:t>
            </w:r>
          </w:hyperlink>
        </w:p>
        <w:p>
          <w:pPr>
            <w:pStyle w:val="TOC5"/>
            <w:numPr>
              <w:ilvl w:val="2"/>
              <w:numId w:val="1"/>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53">
            <w:r>
              <w:rPr>
                <w:i/>
              </w:rPr>
              <w:t>Critical Factors Associated with</w:t>
            </w:r>
            <w:r>
              <w:rPr>
                <w:i/>
                <w:spacing w:val="-3"/>
              </w:rPr>
              <w:t> </w:t>
            </w:r>
            <w:r>
              <w:rPr>
                <w:i/>
              </w:rPr>
              <w:t>Pedestrian</w:t>
            </w:r>
            <w:r>
              <w:rPr>
                <w:i/>
                <w:spacing w:val="-1"/>
              </w:rPr>
              <w:t> </w:t>
            </w:r>
            <w:r>
              <w:rPr>
                <w:i/>
              </w:rPr>
              <w:t>Crashes</w:t>
              <w:tab/>
              <w:t>23</w:t>
            </w:r>
          </w:hyperlink>
        </w:p>
        <w:p>
          <w:pPr>
            <w:pStyle w:val="TOC4"/>
            <w:numPr>
              <w:ilvl w:val="1"/>
              <w:numId w:val="1"/>
            </w:numPr>
            <w:tabs>
              <w:tab w:pos="1279" w:val="left" w:leader="none"/>
              <w:tab w:pos="1280" w:val="left" w:leader="none"/>
              <w:tab w:pos="9670" w:val="right" w:leader="dot"/>
            </w:tabs>
            <w:spacing w:line="240" w:lineRule="auto" w:before="0" w:after="0"/>
            <w:ind w:left="1280" w:right="0" w:hanging="720"/>
            <w:jc w:val="left"/>
            <w:rPr>
              <w:b w:val="0"/>
              <w:i w:val="0"/>
              <w:sz w:val="24"/>
            </w:rPr>
          </w:pPr>
          <w:hyperlink w:history="true" w:anchor="_TOC_250052">
            <w:r>
              <w:rPr>
                <w:b w:val="0"/>
                <w:i w:val="0"/>
                <w:sz w:val="24"/>
              </w:rPr>
              <w:t>S</w:t>
            </w:r>
            <w:r>
              <w:rPr>
                <w:b w:val="0"/>
                <w:i w:val="0"/>
                <w:sz w:val="19"/>
              </w:rPr>
              <w:t>UMMARY</w:t>
              <w:tab/>
            </w:r>
            <w:r>
              <w:rPr>
                <w:b w:val="0"/>
                <w:i w:val="0"/>
                <w:sz w:val="24"/>
              </w:rPr>
              <w:t>28</w:t>
            </w:r>
          </w:hyperlink>
        </w:p>
        <w:p>
          <w:pPr>
            <w:pStyle w:val="TOC1"/>
            <w:numPr>
              <w:ilvl w:val="1"/>
              <w:numId w:val="2"/>
            </w:numPr>
            <w:tabs>
              <w:tab w:pos="1039" w:val="left" w:leader="none"/>
              <w:tab w:pos="1040" w:val="left" w:leader="none"/>
              <w:tab w:pos="9670" w:val="right" w:leader="dot"/>
            </w:tabs>
            <w:spacing w:line="240" w:lineRule="auto" w:before="122" w:after="0"/>
            <w:ind w:left="1040" w:right="0" w:hanging="720"/>
            <w:jc w:val="left"/>
          </w:pPr>
          <w:hyperlink w:history="true" w:anchor="_TOC_250051">
            <w:r>
              <w:rPr/>
              <w:t>DATA</w:t>
            </w:r>
            <w:r>
              <w:rPr>
                <w:spacing w:val="-2"/>
              </w:rPr>
              <w:t> </w:t>
            </w:r>
            <w:r>
              <w:rPr/>
              <w:t>COLLECTION</w:t>
              <w:tab/>
              <w:t>31</w:t>
            </w:r>
          </w:hyperlink>
        </w:p>
        <w:p>
          <w:pPr>
            <w:pStyle w:val="TOC2"/>
            <w:numPr>
              <w:ilvl w:val="1"/>
              <w:numId w:val="2"/>
            </w:numPr>
            <w:tabs>
              <w:tab w:pos="1279" w:val="left" w:leader="none"/>
              <w:tab w:pos="1280" w:val="left" w:leader="none"/>
              <w:tab w:pos="9670" w:val="right" w:leader="dot"/>
            </w:tabs>
            <w:spacing w:line="240" w:lineRule="auto" w:before="118" w:after="0"/>
            <w:ind w:left="1280" w:right="0" w:hanging="720"/>
            <w:jc w:val="left"/>
          </w:pPr>
          <w:hyperlink w:history="true" w:anchor="_TOC_250050">
            <w:r>
              <w:rPr/>
              <w:t>SAMPLING</w:t>
            </w:r>
            <w:r>
              <w:rPr>
                <w:spacing w:val="-13"/>
              </w:rPr>
              <w:t> </w:t>
            </w:r>
            <w:r>
              <w:rPr/>
              <w:t>APPROACH</w:t>
              <w:tab/>
              <w:t>31</w:t>
            </w:r>
          </w:hyperlink>
        </w:p>
        <w:p>
          <w:pPr>
            <w:pStyle w:val="TOC5"/>
            <w:numPr>
              <w:ilvl w:val="2"/>
              <w:numId w:val="2"/>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49">
            <w:r>
              <w:rPr>
                <w:i/>
              </w:rPr>
              <w:t>Criteria</w:t>
              <w:tab/>
              <w:t>31</w:t>
            </w:r>
          </w:hyperlink>
        </w:p>
        <w:p>
          <w:pPr>
            <w:pStyle w:val="TOC5"/>
            <w:numPr>
              <w:ilvl w:val="2"/>
              <w:numId w:val="2"/>
            </w:numPr>
            <w:tabs>
              <w:tab w:pos="1519" w:val="left" w:leader="none"/>
              <w:tab w:pos="1520" w:val="left" w:leader="none"/>
              <w:tab w:pos="9671" w:val="right" w:leader="dot"/>
            </w:tabs>
            <w:spacing w:line="230" w:lineRule="exact" w:before="1" w:after="0"/>
            <w:ind w:left="1520" w:right="0" w:hanging="720"/>
            <w:jc w:val="left"/>
            <w:rPr>
              <w:i/>
            </w:rPr>
          </w:pPr>
          <w:hyperlink w:history="true" w:anchor="_TOC_250048">
            <w:r>
              <w:rPr>
                <w:i/>
              </w:rPr>
              <w:t>Random</w:t>
            </w:r>
            <w:r>
              <w:rPr>
                <w:i/>
                <w:spacing w:val="-2"/>
              </w:rPr>
              <w:t> </w:t>
            </w:r>
            <w:r>
              <w:rPr>
                <w:i/>
              </w:rPr>
              <w:t>Selection</w:t>
            </w:r>
            <w:r>
              <w:rPr>
                <w:i/>
                <w:spacing w:val="-1"/>
              </w:rPr>
              <w:t> </w:t>
            </w:r>
            <w:r>
              <w:rPr>
                <w:i/>
              </w:rPr>
              <w:t>Process</w:t>
              <w:tab/>
              <w:t>34</w:t>
            </w:r>
          </w:hyperlink>
        </w:p>
        <w:p>
          <w:pPr>
            <w:pStyle w:val="TOC2"/>
            <w:numPr>
              <w:ilvl w:val="1"/>
              <w:numId w:val="2"/>
            </w:numPr>
            <w:tabs>
              <w:tab w:pos="1279" w:val="left" w:leader="none"/>
              <w:tab w:pos="1280" w:val="left" w:leader="none"/>
              <w:tab w:pos="9670" w:val="right" w:leader="dot"/>
            </w:tabs>
            <w:spacing w:line="276" w:lineRule="exact" w:before="0" w:after="0"/>
            <w:ind w:left="1280" w:right="0" w:hanging="720"/>
            <w:jc w:val="left"/>
          </w:pPr>
          <w:hyperlink w:history="true" w:anchor="_TOC_250047">
            <w:r>
              <w:rPr/>
              <w:t>DATA</w:t>
            </w:r>
            <w:r>
              <w:rPr>
                <w:spacing w:val="-14"/>
              </w:rPr>
              <w:t> </w:t>
            </w:r>
            <w:r>
              <w:rPr/>
              <w:t>ELEMENTS</w:t>
              <w:tab/>
              <w:t>34</w:t>
            </w:r>
          </w:hyperlink>
        </w:p>
        <w:p>
          <w:pPr>
            <w:pStyle w:val="TOC5"/>
            <w:numPr>
              <w:ilvl w:val="2"/>
              <w:numId w:val="2"/>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46">
            <w:r>
              <w:rPr>
                <w:i/>
              </w:rPr>
              <w:t>Segments</w:t>
              <w:tab/>
              <w:t>34</w:t>
            </w:r>
          </w:hyperlink>
        </w:p>
        <w:p>
          <w:pPr>
            <w:pStyle w:val="TOC5"/>
            <w:numPr>
              <w:ilvl w:val="2"/>
              <w:numId w:val="2"/>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45">
            <w:r>
              <w:rPr>
                <w:i/>
              </w:rPr>
              <w:t>Intersections</w:t>
              <w:tab/>
              <w:t>36</w:t>
            </w:r>
          </w:hyperlink>
        </w:p>
        <w:p>
          <w:pPr>
            <w:pStyle w:val="TOC5"/>
            <w:numPr>
              <w:ilvl w:val="2"/>
              <w:numId w:val="2"/>
            </w:numPr>
            <w:tabs>
              <w:tab w:pos="1519" w:val="left" w:leader="none"/>
              <w:tab w:pos="1520" w:val="left" w:leader="none"/>
              <w:tab w:pos="9671" w:val="right" w:leader="dot"/>
            </w:tabs>
            <w:spacing w:line="230" w:lineRule="exact" w:before="1" w:after="0"/>
            <w:ind w:left="1520" w:right="0" w:hanging="720"/>
            <w:jc w:val="left"/>
            <w:rPr>
              <w:i/>
            </w:rPr>
          </w:pPr>
          <w:hyperlink w:history="true" w:anchor="_TOC_250044">
            <w:r>
              <w:rPr>
                <w:i/>
              </w:rPr>
              <w:t>Land</w:t>
            </w:r>
            <w:r>
              <w:rPr>
                <w:i/>
                <w:spacing w:val="-1"/>
              </w:rPr>
              <w:t> </w:t>
            </w:r>
            <w:r>
              <w:rPr>
                <w:i/>
              </w:rPr>
              <w:t>Use</w:t>
              <w:tab/>
              <w:t>37</w:t>
            </w:r>
          </w:hyperlink>
        </w:p>
        <w:p>
          <w:pPr>
            <w:pStyle w:val="TOC5"/>
            <w:numPr>
              <w:ilvl w:val="2"/>
              <w:numId w:val="2"/>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43">
            <w:r>
              <w:rPr>
                <w:i/>
              </w:rPr>
              <w:t>Volume</w:t>
              <w:tab/>
              <w:t>39</w:t>
            </w:r>
          </w:hyperlink>
        </w:p>
        <w:p>
          <w:pPr>
            <w:pStyle w:val="TOC5"/>
            <w:numPr>
              <w:ilvl w:val="2"/>
              <w:numId w:val="2"/>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42">
            <w:r>
              <w:rPr>
                <w:i/>
              </w:rPr>
              <w:t>Crash</w:t>
            </w:r>
            <w:r>
              <w:rPr>
                <w:i/>
                <w:spacing w:val="-1"/>
              </w:rPr>
              <w:t> </w:t>
            </w:r>
            <w:r>
              <w:rPr>
                <w:i/>
              </w:rPr>
              <w:t>Data</w:t>
              <w:tab/>
              <w:t>41</w:t>
            </w:r>
          </w:hyperlink>
        </w:p>
        <w:p>
          <w:pPr>
            <w:pStyle w:val="TOC4"/>
            <w:numPr>
              <w:ilvl w:val="1"/>
              <w:numId w:val="2"/>
            </w:numPr>
            <w:tabs>
              <w:tab w:pos="1279" w:val="left" w:leader="none"/>
              <w:tab w:pos="1280" w:val="left" w:leader="none"/>
              <w:tab w:pos="9670" w:val="right" w:leader="dot"/>
            </w:tabs>
            <w:spacing w:line="240" w:lineRule="auto" w:before="0" w:after="0"/>
            <w:ind w:left="1280" w:right="0" w:hanging="720"/>
            <w:jc w:val="left"/>
            <w:rPr>
              <w:b w:val="0"/>
              <w:i w:val="0"/>
              <w:sz w:val="24"/>
            </w:rPr>
          </w:pPr>
          <w:hyperlink w:history="true" w:anchor="_TOC_250041">
            <w:r>
              <w:rPr>
                <w:b w:val="0"/>
                <w:i w:val="0"/>
                <w:sz w:val="24"/>
              </w:rPr>
              <w:t>S</w:t>
            </w:r>
            <w:r>
              <w:rPr>
                <w:b w:val="0"/>
                <w:i w:val="0"/>
                <w:sz w:val="19"/>
              </w:rPr>
              <w:t>UMMARY</w:t>
              <w:tab/>
            </w:r>
            <w:r>
              <w:rPr>
                <w:b w:val="0"/>
                <w:i w:val="0"/>
                <w:sz w:val="24"/>
              </w:rPr>
              <w:t>42</w:t>
            </w:r>
          </w:hyperlink>
        </w:p>
        <w:p>
          <w:pPr>
            <w:pStyle w:val="TOC1"/>
            <w:numPr>
              <w:ilvl w:val="1"/>
              <w:numId w:val="3"/>
            </w:numPr>
            <w:tabs>
              <w:tab w:pos="1039" w:val="left" w:leader="none"/>
              <w:tab w:pos="1040" w:val="left" w:leader="none"/>
              <w:tab w:pos="9670" w:val="right" w:leader="dot"/>
            </w:tabs>
            <w:spacing w:line="240" w:lineRule="auto" w:before="123" w:after="0"/>
            <w:ind w:left="1040" w:right="0" w:hanging="720"/>
            <w:jc w:val="left"/>
          </w:pPr>
          <w:hyperlink w:history="true" w:anchor="_TOC_250040">
            <w:r>
              <w:rPr/>
              <w:t>DESCRIPTIVE</w:t>
            </w:r>
            <w:r>
              <w:rPr>
                <w:spacing w:val="-2"/>
              </w:rPr>
              <w:t> </w:t>
            </w:r>
            <w:r>
              <w:rPr/>
              <w:t>DATA ANALYSIS</w:t>
              <w:tab/>
              <w:t>43</w:t>
            </w:r>
          </w:hyperlink>
        </w:p>
        <w:p>
          <w:pPr>
            <w:pStyle w:val="TOC2"/>
            <w:numPr>
              <w:ilvl w:val="1"/>
              <w:numId w:val="3"/>
            </w:numPr>
            <w:tabs>
              <w:tab w:pos="1279" w:val="left" w:leader="none"/>
              <w:tab w:pos="1280" w:val="left" w:leader="none"/>
              <w:tab w:pos="9670" w:val="right" w:leader="dot"/>
            </w:tabs>
            <w:spacing w:line="275" w:lineRule="exact" w:before="117" w:after="0"/>
            <w:ind w:left="1280" w:right="0" w:hanging="720"/>
            <w:jc w:val="left"/>
          </w:pPr>
          <w:hyperlink w:history="true" w:anchor="_TOC_250039">
            <w:r>
              <w:rPr/>
              <w:t>SEGMENTS</w:t>
              <w:tab/>
              <w:t>43</w:t>
            </w:r>
          </w:hyperlink>
        </w:p>
        <w:p>
          <w:pPr>
            <w:pStyle w:val="TOC2"/>
            <w:numPr>
              <w:ilvl w:val="1"/>
              <w:numId w:val="3"/>
            </w:numPr>
            <w:tabs>
              <w:tab w:pos="1279" w:val="left" w:leader="none"/>
              <w:tab w:pos="1280" w:val="left" w:leader="none"/>
              <w:tab w:pos="9670" w:val="right" w:leader="dot"/>
            </w:tabs>
            <w:spacing w:line="275" w:lineRule="exact" w:before="0" w:after="0"/>
            <w:ind w:left="1280" w:right="0" w:hanging="720"/>
            <w:jc w:val="left"/>
          </w:pPr>
          <w:hyperlink w:history="true" w:anchor="_TOC_250038">
            <w:r>
              <w:rPr/>
              <w:t>INTERSECTIONS</w:t>
              <w:tab/>
              <w:t>45</w:t>
            </w:r>
          </w:hyperlink>
        </w:p>
        <w:p>
          <w:pPr>
            <w:pStyle w:val="TOC2"/>
            <w:numPr>
              <w:ilvl w:val="1"/>
              <w:numId w:val="3"/>
            </w:numPr>
            <w:tabs>
              <w:tab w:pos="1279" w:val="left" w:leader="none"/>
              <w:tab w:pos="1280" w:val="left" w:leader="none"/>
              <w:tab w:pos="9670" w:val="right" w:leader="dot"/>
            </w:tabs>
            <w:spacing w:line="240" w:lineRule="auto" w:before="0" w:after="0"/>
            <w:ind w:left="1280" w:right="0" w:hanging="720"/>
            <w:jc w:val="left"/>
          </w:pPr>
          <w:hyperlink w:history="true" w:anchor="_TOC_250037">
            <w:r>
              <w:rPr/>
              <w:t>LAND</w:t>
            </w:r>
            <w:r>
              <w:rPr>
                <w:spacing w:val="-14"/>
              </w:rPr>
              <w:t> </w:t>
            </w:r>
            <w:r>
              <w:rPr/>
              <w:t>USE</w:t>
              <w:tab/>
              <w:t>48</w:t>
            </w:r>
          </w:hyperlink>
        </w:p>
        <w:p>
          <w:pPr>
            <w:pStyle w:val="TOC2"/>
            <w:numPr>
              <w:ilvl w:val="1"/>
              <w:numId w:val="3"/>
            </w:numPr>
            <w:tabs>
              <w:tab w:pos="1279" w:val="left" w:leader="none"/>
              <w:tab w:pos="1280" w:val="left" w:leader="none"/>
              <w:tab w:pos="9670" w:val="right" w:leader="dot"/>
            </w:tabs>
            <w:spacing w:line="240" w:lineRule="auto" w:before="0" w:after="0"/>
            <w:ind w:left="1280" w:right="0" w:hanging="720"/>
            <w:jc w:val="left"/>
          </w:pPr>
          <w:hyperlink w:history="true" w:anchor="_TOC_250036">
            <w:r>
              <w:rPr/>
              <w:t>COUNT</w:t>
            </w:r>
            <w:r>
              <w:rPr>
                <w:spacing w:val="-14"/>
              </w:rPr>
              <w:t> </w:t>
            </w:r>
            <w:r>
              <w:rPr/>
              <w:t>DATA</w:t>
              <w:tab/>
              <w:t>49</w:t>
            </w:r>
          </w:hyperlink>
        </w:p>
        <w:p>
          <w:pPr>
            <w:pStyle w:val="TOC5"/>
            <w:numPr>
              <w:ilvl w:val="2"/>
              <w:numId w:val="3"/>
            </w:numPr>
            <w:tabs>
              <w:tab w:pos="1519" w:val="left" w:leader="none"/>
              <w:tab w:pos="1520" w:val="left" w:leader="none"/>
              <w:tab w:pos="9671" w:val="right" w:leader="dot"/>
            </w:tabs>
            <w:spacing w:line="240" w:lineRule="auto" w:before="1" w:after="0"/>
            <w:ind w:left="1520" w:right="0" w:hanging="720"/>
            <w:jc w:val="left"/>
            <w:rPr>
              <w:i/>
            </w:rPr>
          </w:pPr>
          <w:hyperlink w:history="true" w:anchor="_TOC_250035">
            <w:r>
              <w:rPr>
                <w:i/>
              </w:rPr>
              <w:t>Motor</w:t>
            </w:r>
            <w:r>
              <w:rPr>
                <w:i/>
                <w:spacing w:val="-2"/>
              </w:rPr>
              <w:t> </w:t>
            </w:r>
            <w:r>
              <w:rPr>
                <w:i/>
              </w:rPr>
              <w:t>Vehicle Traffic</w:t>
              <w:tab/>
              <w:t>49</w:t>
            </w:r>
          </w:hyperlink>
        </w:p>
        <w:p>
          <w:pPr>
            <w:pStyle w:val="TOC5"/>
            <w:numPr>
              <w:ilvl w:val="2"/>
              <w:numId w:val="3"/>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34">
            <w:r>
              <w:rPr>
                <w:i/>
              </w:rPr>
              <w:t>Bicycle</w:t>
            </w:r>
            <w:r>
              <w:rPr>
                <w:i/>
                <w:spacing w:val="-1"/>
              </w:rPr>
              <w:t> </w:t>
            </w:r>
            <w:r>
              <w:rPr>
                <w:i/>
              </w:rPr>
              <w:t>Traffic (STRAVA)</w:t>
              <w:tab/>
              <w:t>49</w:t>
            </w:r>
          </w:hyperlink>
        </w:p>
        <w:p>
          <w:pPr>
            <w:pStyle w:val="TOC2"/>
            <w:numPr>
              <w:ilvl w:val="1"/>
              <w:numId w:val="3"/>
            </w:numPr>
            <w:tabs>
              <w:tab w:pos="1279" w:val="left" w:leader="none"/>
              <w:tab w:pos="1280" w:val="left" w:leader="none"/>
              <w:tab w:pos="9670" w:val="right" w:leader="dot"/>
            </w:tabs>
            <w:spacing w:line="240" w:lineRule="auto" w:before="0" w:after="0"/>
            <w:ind w:left="1280" w:right="0" w:hanging="720"/>
            <w:jc w:val="left"/>
          </w:pPr>
          <w:hyperlink w:history="true" w:anchor="_TOC_250033">
            <w:r>
              <w:rPr/>
              <w:t>CRASH</w:t>
            </w:r>
            <w:r>
              <w:rPr>
                <w:spacing w:val="-14"/>
              </w:rPr>
              <w:t> </w:t>
            </w:r>
            <w:r>
              <w:rPr/>
              <w:t>DATA</w:t>
              <w:tab/>
              <w:t>49</w:t>
            </w:r>
          </w:hyperlink>
        </w:p>
        <w:p>
          <w:pPr>
            <w:pStyle w:val="TOC1"/>
            <w:numPr>
              <w:ilvl w:val="1"/>
              <w:numId w:val="4"/>
            </w:numPr>
            <w:tabs>
              <w:tab w:pos="1039" w:val="left" w:leader="none"/>
              <w:tab w:pos="1040" w:val="left" w:leader="none"/>
              <w:tab w:pos="9670" w:val="right" w:leader="dot"/>
            </w:tabs>
            <w:spacing w:line="240" w:lineRule="auto" w:before="123" w:after="0"/>
            <w:ind w:left="1040" w:right="0" w:hanging="720"/>
            <w:jc w:val="left"/>
          </w:pPr>
          <w:hyperlink w:history="true" w:anchor="_TOC_250032">
            <w:r>
              <w:rPr/>
              <w:t>METHODOLOGY</w:t>
              <w:tab/>
              <w:t>53</w:t>
            </w:r>
          </w:hyperlink>
        </w:p>
        <w:p>
          <w:pPr>
            <w:pStyle w:val="TOC2"/>
            <w:numPr>
              <w:ilvl w:val="1"/>
              <w:numId w:val="4"/>
            </w:numPr>
            <w:tabs>
              <w:tab w:pos="1279" w:val="left" w:leader="none"/>
              <w:tab w:pos="1280" w:val="left" w:leader="none"/>
              <w:tab w:pos="9670" w:val="right" w:leader="dot"/>
            </w:tabs>
            <w:spacing w:line="240" w:lineRule="auto" w:before="117" w:after="0"/>
            <w:ind w:left="1280" w:right="0" w:hanging="720"/>
            <w:jc w:val="left"/>
          </w:pPr>
          <w:hyperlink w:history="true" w:anchor="_TOC_250031">
            <w:r>
              <w:rPr/>
              <w:t>LOGISTIC</w:t>
            </w:r>
            <w:r>
              <w:rPr>
                <w:spacing w:val="-13"/>
              </w:rPr>
              <w:t> </w:t>
            </w:r>
            <w:r>
              <w:rPr/>
              <w:t>REGRESSION</w:t>
            </w:r>
            <w:r>
              <w:rPr>
                <w:spacing w:val="-13"/>
              </w:rPr>
              <w:t> </w:t>
            </w:r>
            <w:r>
              <w:rPr/>
              <w:t>MODEL</w:t>
              <w:tab/>
              <w:t>53</w:t>
            </w:r>
          </w:hyperlink>
        </w:p>
        <w:p>
          <w:pPr>
            <w:pStyle w:val="TOC5"/>
            <w:numPr>
              <w:ilvl w:val="2"/>
              <w:numId w:val="4"/>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30">
            <w:r>
              <w:rPr>
                <w:i/>
              </w:rPr>
              <w:t>Coefficients</w:t>
              <w:tab/>
              <w:t>54</w:t>
            </w:r>
          </w:hyperlink>
        </w:p>
        <w:p>
          <w:pPr>
            <w:pStyle w:val="TOC5"/>
            <w:numPr>
              <w:ilvl w:val="2"/>
              <w:numId w:val="4"/>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29">
            <w:r>
              <w:rPr>
                <w:i/>
              </w:rPr>
              <w:t>Model Building - Variable</w:t>
            </w:r>
            <w:r>
              <w:rPr>
                <w:i/>
                <w:spacing w:val="-4"/>
              </w:rPr>
              <w:t> </w:t>
            </w:r>
            <w:r>
              <w:rPr>
                <w:i/>
              </w:rPr>
              <w:t>Selection Process</w:t>
              <w:tab/>
              <w:t>54</w:t>
            </w:r>
          </w:hyperlink>
        </w:p>
        <w:p>
          <w:pPr>
            <w:pStyle w:val="TOC5"/>
            <w:numPr>
              <w:ilvl w:val="2"/>
              <w:numId w:val="4"/>
            </w:numPr>
            <w:tabs>
              <w:tab w:pos="1519" w:val="left" w:leader="none"/>
              <w:tab w:pos="1520" w:val="left" w:leader="none"/>
              <w:tab w:pos="9671" w:val="right" w:leader="dot"/>
            </w:tabs>
            <w:spacing w:line="240" w:lineRule="auto" w:before="1" w:after="0"/>
            <w:ind w:left="1520" w:right="0" w:hanging="720"/>
            <w:jc w:val="left"/>
            <w:rPr>
              <w:i/>
            </w:rPr>
          </w:pPr>
          <w:hyperlink w:history="true" w:anchor="_TOC_250028">
            <w:r>
              <w:rPr>
                <w:i/>
              </w:rPr>
              <w:t>Interpreting Model</w:t>
            </w:r>
            <w:r>
              <w:rPr>
                <w:i/>
                <w:spacing w:val="-2"/>
              </w:rPr>
              <w:t> </w:t>
            </w:r>
            <w:r>
              <w:rPr>
                <w:i/>
              </w:rPr>
              <w:t>Outputs</w:t>
              <w:tab/>
              <w:t>54</w:t>
            </w:r>
          </w:hyperlink>
        </w:p>
        <w:p>
          <w:pPr>
            <w:pStyle w:val="TOC2"/>
            <w:numPr>
              <w:ilvl w:val="1"/>
              <w:numId w:val="4"/>
            </w:numPr>
            <w:tabs>
              <w:tab w:pos="1279" w:val="left" w:leader="none"/>
              <w:tab w:pos="1280" w:val="left" w:leader="none"/>
              <w:tab w:pos="9670" w:val="right" w:leader="dot"/>
            </w:tabs>
            <w:spacing w:line="240" w:lineRule="auto" w:before="0" w:after="0"/>
            <w:ind w:left="1280" w:right="0" w:hanging="720"/>
            <w:jc w:val="left"/>
          </w:pPr>
          <w:hyperlink w:history="true" w:anchor="_TOC_250027">
            <w:r>
              <w:rPr/>
              <w:t>MODELS</w:t>
              <w:tab/>
              <w:t>56</w:t>
            </w:r>
          </w:hyperlink>
        </w:p>
        <w:p>
          <w:pPr>
            <w:pStyle w:val="TOC5"/>
            <w:numPr>
              <w:ilvl w:val="2"/>
              <w:numId w:val="4"/>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26">
            <w:r>
              <w:rPr>
                <w:i/>
              </w:rPr>
              <w:t>Crash</w:t>
            </w:r>
            <w:r>
              <w:rPr>
                <w:i/>
                <w:spacing w:val="-2"/>
              </w:rPr>
              <w:t> </w:t>
            </w:r>
            <w:r>
              <w:rPr>
                <w:i/>
              </w:rPr>
              <w:t>Occurrence</w:t>
              <w:tab/>
              <w:t>56</w:t>
            </w:r>
          </w:hyperlink>
        </w:p>
        <w:p>
          <w:pPr>
            <w:pStyle w:val="TOC5"/>
            <w:numPr>
              <w:ilvl w:val="2"/>
              <w:numId w:val="4"/>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25">
            <w:r>
              <w:rPr>
                <w:i/>
              </w:rPr>
              <w:t>Crash</w:t>
            </w:r>
            <w:r>
              <w:rPr>
                <w:i/>
                <w:spacing w:val="-2"/>
              </w:rPr>
              <w:t> </w:t>
            </w:r>
            <w:r>
              <w:rPr>
                <w:i/>
              </w:rPr>
              <w:t>Severity</w:t>
              <w:tab/>
              <w:t>57</w:t>
            </w:r>
          </w:hyperlink>
        </w:p>
        <w:p>
          <w:pPr>
            <w:pStyle w:val="TOC1"/>
            <w:numPr>
              <w:ilvl w:val="1"/>
              <w:numId w:val="5"/>
            </w:numPr>
            <w:tabs>
              <w:tab w:pos="1039" w:val="left" w:leader="none"/>
              <w:tab w:pos="1040" w:val="left" w:leader="none"/>
              <w:tab w:pos="9670" w:val="right" w:leader="dot"/>
            </w:tabs>
            <w:spacing w:line="240" w:lineRule="auto" w:before="123" w:after="0"/>
            <w:ind w:left="1040" w:right="0" w:hanging="720"/>
            <w:jc w:val="left"/>
          </w:pPr>
          <w:hyperlink w:history="true" w:anchor="_TOC_250024">
            <w:r>
              <w:rPr/>
              <w:t>MODELING</w:t>
            </w:r>
            <w:r>
              <w:rPr>
                <w:spacing w:val="-1"/>
              </w:rPr>
              <w:t> </w:t>
            </w:r>
            <w:r>
              <w:rPr/>
              <w:t>RESULTS</w:t>
              <w:tab/>
              <w:t>59</w:t>
            </w:r>
          </w:hyperlink>
        </w:p>
        <w:p>
          <w:pPr>
            <w:pStyle w:val="TOC2"/>
            <w:numPr>
              <w:ilvl w:val="1"/>
              <w:numId w:val="5"/>
            </w:numPr>
            <w:tabs>
              <w:tab w:pos="1279" w:val="left" w:leader="none"/>
              <w:tab w:pos="1280" w:val="left" w:leader="none"/>
              <w:tab w:pos="9670" w:val="right" w:leader="dot"/>
            </w:tabs>
            <w:spacing w:line="240" w:lineRule="auto" w:before="118" w:after="0"/>
            <w:ind w:left="1280" w:right="0" w:hanging="720"/>
            <w:jc w:val="left"/>
          </w:pPr>
          <w:hyperlink w:history="true" w:anchor="_TOC_250023">
            <w:r>
              <w:rPr/>
              <w:t>PEDESTRIAN</w:t>
            </w:r>
            <w:r>
              <w:rPr>
                <w:spacing w:val="-14"/>
              </w:rPr>
              <w:t> </w:t>
            </w:r>
            <w:r>
              <w:rPr/>
              <w:t>MODELS</w:t>
              <w:tab/>
              <w:t>59</w:t>
            </w:r>
          </w:hyperlink>
        </w:p>
        <w:p>
          <w:pPr>
            <w:pStyle w:val="TOC5"/>
            <w:numPr>
              <w:ilvl w:val="2"/>
              <w:numId w:val="5"/>
            </w:numPr>
            <w:tabs>
              <w:tab w:pos="1519" w:val="left" w:leader="none"/>
              <w:tab w:pos="1520" w:val="left" w:leader="none"/>
              <w:tab w:pos="9671" w:val="right" w:leader="dot"/>
            </w:tabs>
            <w:spacing w:line="240" w:lineRule="auto" w:before="0" w:after="20"/>
            <w:ind w:left="1520" w:right="0" w:hanging="720"/>
            <w:jc w:val="left"/>
            <w:rPr>
              <w:i/>
            </w:rPr>
          </w:pPr>
          <w:hyperlink w:history="true" w:anchor="_TOC_250022">
            <w:r>
              <w:rPr>
                <w:i/>
              </w:rPr>
              <w:t>Crash</w:t>
            </w:r>
            <w:r>
              <w:rPr>
                <w:i/>
                <w:spacing w:val="-2"/>
              </w:rPr>
              <w:t> </w:t>
            </w:r>
            <w:r>
              <w:rPr>
                <w:i/>
              </w:rPr>
              <w:t>Occurrence</w:t>
              <w:tab/>
              <w:t>59</w:t>
            </w:r>
          </w:hyperlink>
        </w:p>
        <w:p>
          <w:pPr>
            <w:pStyle w:val="TOC5"/>
            <w:numPr>
              <w:ilvl w:val="2"/>
              <w:numId w:val="5"/>
            </w:numPr>
            <w:tabs>
              <w:tab w:pos="1519" w:val="left" w:leader="none"/>
              <w:tab w:pos="1520" w:val="left" w:leader="none"/>
              <w:tab w:pos="9671" w:val="right" w:leader="dot"/>
            </w:tabs>
            <w:spacing w:line="240" w:lineRule="auto" w:before="77" w:after="0"/>
            <w:ind w:left="1520" w:right="0" w:hanging="720"/>
            <w:jc w:val="left"/>
            <w:rPr>
              <w:i/>
            </w:rPr>
          </w:pPr>
          <w:hyperlink w:history="true" w:anchor="_TOC_250021">
            <w:r>
              <w:rPr>
                <w:i/>
              </w:rPr>
              <w:t>Crash</w:t>
            </w:r>
            <w:r>
              <w:rPr>
                <w:i/>
                <w:spacing w:val="-2"/>
              </w:rPr>
              <w:t> </w:t>
            </w:r>
            <w:r>
              <w:rPr>
                <w:i/>
              </w:rPr>
              <w:t>Severity</w:t>
              <w:tab/>
              <w:t>61</w:t>
            </w:r>
          </w:hyperlink>
        </w:p>
        <w:p>
          <w:pPr>
            <w:pStyle w:val="TOC2"/>
            <w:numPr>
              <w:ilvl w:val="1"/>
              <w:numId w:val="5"/>
            </w:numPr>
            <w:tabs>
              <w:tab w:pos="1279" w:val="left" w:leader="none"/>
              <w:tab w:pos="1280" w:val="left" w:leader="none"/>
              <w:tab w:pos="9670" w:val="right" w:leader="dot"/>
            </w:tabs>
            <w:spacing w:line="240" w:lineRule="auto" w:before="0" w:after="0"/>
            <w:ind w:left="1280" w:right="0" w:hanging="720"/>
            <w:jc w:val="left"/>
          </w:pPr>
          <w:hyperlink w:history="true" w:anchor="_TOC_250020">
            <w:r>
              <w:rPr/>
              <w:t>BICYCLE</w:t>
            </w:r>
            <w:r>
              <w:rPr>
                <w:spacing w:val="-14"/>
              </w:rPr>
              <w:t> </w:t>
            </w:r>
            <w:r>
              <w:rPr/>
              <w:t>MODELS</w:t>
              <w:tab/>
              <w:t>62</w:t>
            </w:r>
          </w:hyperlink>
        </w:p>
        <w:p>
          <w:pPr>
            <w:pStyle w:val="TOC5"/>
            <w:numPr>
              <w:ilvl w:val="2"/>
              <w:numId w:val="5"/>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19">
            <w:r>
              <w:rPr>
                <w:i/>
              </w:rPr>
              <w:t>Crash</w:t>
            </w:r>
            <w:r>
              <w:rPr>
                <w:i/>
                <w:spacing w:val="-2"/>
              </w:rPr>
              <w:t> </w:t>
            </w:r>
            <w:r>
              <w:rPr>
                <w:i/>
              </w:rPr>
              <w:t>Occurrence</w:t>
              <w:tab/>
              <w:t>62</w:t>
            </w:r>
          </w:hyperlink>
        </w:p>
        <w:p>
          <w:pPr>
            <w:pStyle w:val="TOC5"/>
            <w:numPr>
              <w:ilvl w:val="2"/>
              <w:numId w:val="5"/>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18">
            <w:r>
              <w:rPr>
                <w:i/>
              </w:rPr>
              <w:t>Crash</w:t>
            </w:r>
            <w:r>
              <w:rPr>
                <w:i/>
                <w:spacing w:val="-2"/>
              </w:rPr>
              <w:t> </w:t>
            </w:r>
            <w:r>
              <w:rPr>
                <w:i/>
              </w:rPr>
              <w:t>Severity</w:t>
              <w:tab/>
              <w:t>64</w:t>
            </w:r>
          </w:hyperlink>
        </w:p>
        <w:p>
          <w:pPr>
            <w:pStyle w:val="TOC2"/>
            <w:numPr>
              <w:ilvl w:val="1"/>
              <w:numId w:val="5"/>
            </w:numPr>
            <w:tabs>
              <w:tab w:pos="1279" w:val="left" w:leader="none"/>
              <w:tab w:pos="1280" w:val="left" w:leader="none"/>
              <w:tab w:pos="9670" w:val="right" w:leader="dot"/>
            </w:tabs>
            <w:spacing w:line="240" w:lineRule="auto" w:before="0" w:after="0"/>
            <w:ind w:left="1280" w:right="0" w:hanging="720"/>
            <w:jc w:val="left"/>
          </w:pPr>
          <w:hyperlink w:history="true" w:anchor="_TOC_250017">
            <w:r>
              <w:rPr/>
              <w:t>SUMMARY</w:t>
              <w:tab/>
              <w:t>65</w:t>
            </w:r>
          </w:hyperlink>
        </w:p>
        <w:p>
          <w:pPr>
            <w:pStyle w:val="TOC1"/>
            <w:numPr>
              <w:ilvl w:val="1"/>
              <w:numId w:val="6"/>
            </w:numPr>
            <w:tabs>
              <w:tab w:pos="1039" w:val="left" w:leader="none"/>
              <w:tab w:pos="1040" w:val="left" w:leader="none"/>
              <w:tab w:pos="9670" w:val="right" w:leader="dot"/>
            </w:tabs>
            <w:spacing w:line="240" w:lineRule="auto" w:before="123" w:after="0"/>
            <w:ind w:left="1040" w:right="0" w:hanging="720"/>
            <w:jc w:val="left"/>
          </w:pPr>
          <w:hyperlink w:history="true" w:anchor="_TOC_250016">
            <w:r>
              <w:rPr/>
              <w:t>RISK-SCORING</w:t>
            </w:r>
            <w:r>
              <w:rPr>
                <w:spacing w:val="-1"/>
              </w:rPr>
              <w:t> </w:t>
            </w:r>
            <w:r>
              <w:rPr/>
              <w:t>TOOL</w:t>
              <w:tab/>
              <w:t>69</w:t>
            </w:r>
          </w:hyperlink>
        </w:p>
        <w:p>
          <w:pPr>
            <w:pStyle w:val="TOC2"/>
            <w:numPr>
              <w:ilvl w:val="1"/>
              <w:numId w:val="6"/>
            </w:numPr>
            <w:tabs>
              <w:tab w:pos="1279" w:val="left" w:leader="none"/>
              <w:tab w:pos="1280" w:val="left" w:leader="none"/>
              <w:tab w:pos="9670" w:val="right" w:leader="dot"/>
            </w:tabs>
            <w:spacing w:line="240" w:lineRule="auto" w:before="117" w:after="0"/>
            <w:ind w:left="1280" w:right="0" w:hanging="720"/>
            <w:jc w:val="left"/>
          </w:pPr>
          <w:hyperlink w:history="true" w:anchor="_TOC_250015">
            <w:r>
              <w:rPr/>
              <w:t>METHOD TO DEVELOP</w:t>
            </w:r>
            <w:r>
              <w:rPr>
                <w:spacing w:val="-40"/>
              </w:rPr>
              <w:t> </w:t>
            </w:r>
            <w:r>
              <w:rPr/>
              <w:t>RISK</w:t>
            </w:r>
            <w:r>
              <w:rPr>
                <w:spacing w:val="-13"/>
              </w:rPr>
              <w:t> </w:t>
            </w:r>
            <w:r>
              <w:rPr/>
              <w:t>SCORE</w:t>
              <w:tab/>
              <w:t>69</w:t>
            </w:r>
          </w:hyperlink>
        </w:p>
        <w:p>
          <w:pPr>
            <w:pStyle w:val="TOC2"/>
            <w:numPr>
              <w:ilvl w:val="1"/>
              <w:numId w:val="6"/>
            </w:numPr>
            <w:tabs>
              <w:tab w:pos="1279" w:val="left" w:leader="none"/>
              <w:tab w:pos="1280" w:val="left" w:leader="none"/>
              <w:tab w:pos="9670" w:val="right" w:leader="dot"/>
            </w:tabs>
            <w:spacing w:line="240" w:lineRule="auto" w:before="0" w:after="0"/>
            <w:ind w:left="1280" w:right="0" w:hanging="720"/>
            <w:jc w:val="left"/>
          </w:pPr>
          <w:hyperlink w:history="true" w:anchor="_TOC_250014">
            <w:r>
              <w:rPr/>
              <w:t>PEDESTRIAN</w:t>
            </w:r>
            <w:r>
              <w:rPr>
                <w:spacing w:val="-14"/>
              </w:rPr>
              <w:t> </w:t>
            </w:r>
            <w:r>
              <w:rPr/>
              <w:t>RISK</w:t>
            </w:r>
            <w:r>
              <w:rPr>
                <w:spacing w:val="-13"/>
              </w:rPr>
              <w:t> </w:t>
            </w:r>
            <w:r>
              <w:rPr/>
              <w:t>SCORE</w:t>
              <w:tab/>
              <w:t>71</w:t>
            </w:r>
          </w:hyperlink>
        </w:p>
        <w:p>
          <w:pPr>
            <w:pStyle w:val="TOC5"/>
            <w:numPr>
              <w:ilvl w:val="2"/>
              <w:numId w:val="6"/>
            </w:numPr>
            <w:tabs>
              <w:tab w:pos="1519" w:val="left" w:leader="none"/>
              <w:tab w:pos="1520" w:val="left" w:leader="none"/>
              <w:tab w:pos="9671" w:val="right" w:leader="dot"/>
            </w:tabs>
            <w:spacing w:line="240" w:lineRule="auto" w:before="1" w:after="0"/>
            <w:ind w:left="1520" w:right="0" w:hanging="720"/>
            <w:jc w:val="left"/>
            <w:rPr>
              <w:i/>
            </w:rPr>
          </w:pPr>
          <w:hyperlink w:history="true" w:anchor="_TOC_250013">
            <w:r>
              <w:rPr>
                <w:i/>
              </w:rPr>
              <w:t>Segment</w:t>
            </w:r>
            <w:r>
              <w:rPr>
                <w:i/>
                <w:spacing w:val="-2"/>
              </w:rPr>
              <w:t> </w:t>
            </w:r>
            <w:r>
              <w:rPr>
                <w:i/>
              </w:rPr>
              <w:t>Risk</w:t>
            </w:r>
            <w:r>
              <w:rPr>
                <w:i/>
                <w:spacing w:val="-1"/>
              </w:rPr>
              <w:t> </w:t>
            </w:r>
            <w:r>
              <w:rPr>
                <w:i/>
              </w:rPr>
              <w:t>Score</w:t>
              <w:tab/>
              <w:t>71</w:t>
            </w:r>
          </w:hyperlink>
        </w:p>
        <w:p>
          <w:pPr>
            <w:pStyle w:val="TOC5"/>
            <w:numPr>
              <w:ilvl w:val="2"/>
              <w:numId w:val="6"/>
            </w:numPr>
            <w:tabs>
              <w:tab w:pos="1519" w:val="left" w:leader="none"/>
              <w:tab w:pos="1520" w:val="left" w:leader="none"/>
              <w:tab w:pos="9671" w:val="right" w:leader="dot"/>
            </w:tabs>
            <w:spacing w:line="230" w:lineRule="exact" w:before="0" w:after="0"/>
            <w:ind w:left="1520" w:right="0" w:hanging="720"/>
            <w:jc w:val="left"/>
            <w:rPr>
              <w:i/>
            </w:rPr>
          </w:pPr>
          <w:hyperlink w:history="true" w:anchor="_TOC_250012">
            <w:r>
              <w:rPr>
                <w:i/>
              </w:rPr>
              <w:t>Intersection</w:t>
            </w:r>
            <w:r>
              <w:rPr>
                <w:i/>
                <w:spacing w:val="-2"/>
              </w:rPr>
              <w:t> </w:t>
            </w:r>
            <w:r>
              <w:rPr>
                <w:i/>
              </w:rPr>
              <w:t>Risk Score</w:t>
              <w:tab/>
              <w:t>72</w:t>
            </w:r>
          </w:hyperlink>
        </w:p>
        <w:p>
          <w:pPr>
            <w:pStyle w:val="TOC2"/>
            <w:numPr>
              <w:ilvl w:val="1"/>
              <w:numId w:val="6"/>
            </w:numPr>
            <w:tabs>
              <w:tab w:pos="1279" w:val="left" w:leader="none"/>
              <w:tab w:pos="1280" w:val="left" w:leader="none"/>
              <w:tab w:pos="9670" w:val="right" w:leader="dot"/>
            </w:tabs>
            <w:spacing w:line="276" w:lineRule="exact" w:before="0" w:after="0"/>
            <w:ind w:left="1280" w:right="0" w:hanging="720"/>
            <w:jc w:val="left"/>
          </w:pPr>
          <w:hyperlink w:history="true" w:anchor="_TOC_250011">
            <w:r>
              <w:rPr/>
              <w:t>BICYCLE</w:t>
            </w:r>
            <w:r>
              <w:rPr>
                <w:spacing w:val="-14"/>
              </w:rPr>
              <w:t> </w:t>
            </w:r>
            <w:r>
              <w:rPr/>
              <w:t>RISK</w:t>
            </w:r>
            <w:r>
              <w:rPr>
                <w:spacing w:val="-13"/>
              </w:rPr>
              <w:t> </w:t>
            </w:r>
            <w:r>
              <w:rPr/>
              <w:t>SCORE</w:t>
              <w:tab/>
              <w:t>73</w:t>
            </w:r>
          </w:hyperlink>
        </w:p>
        <w:p>
          <w:pPr>
            <w:pStyle w:val="TOC5"/>
            <w:numPr>
              <w:ilvl w:val="2"/>
              <w:numId w:val="6"/>
            </w:numPr>
            <w:tabs>
              <w:tab w:pos="1519" w:val="left" w:leader="none"/>
              <w:tab w:pos="1520" w:val="left" w:leader="none"/>
              <w:tab w:pos="9671" w:val="right" w:leader="dot"/>
            </w:tabs>
            <w:spacing w:line="240" w:lineRule="auto" w:before="0" w:after="0"/>
            <w:ind w:left="1520" w:right="0" w:hanging="720"/>
            <w:jc w:val="left"/>
            <w:rPr>
              <w:i/>
            </w:rPr>
          </w:pPr>
          <w:hyperlink w:history="true" w:anchor="_TOC_250010">
            <w:r>
              <w:rPr>
                <w:i/>
              </w:rPr>
              <w:t>Segment</w:t>
            </w:r>
            <w:r>
              <w:rPr>
                <w:i/>
                <w:spacing w:val="-2"/>
              </w:rPr>
              <w:t> </w:t>
            </w:r>
            <w:r>
              <w:rPr>
                <w:i/>
              </w:rPr>
              <w:t>Risk</w:t>
            </w:r>
            <w:r>
              <w:rPr>
                <w:i/>
                <w:spacing w:val="-1"/>
              </w:rPr>
              <w:t> </w:t>
            </w:r>
            <w:r>
              <w:rPr>
                <w:i/>
              </w:rPr>
              <w:t>Score</w:t>
              <w:tab/>
              <w:t>73</w:t>
            </w:r>
          </w:hyperlink>
        </w:p>
        <w:p>
          <w:pPr>
            <w:pStyle w:val="TOC5"/>
            <w:numPr>
              <w:ilvl w:val="2"/>
              <w:numId w:val="6"/>
            </w:numPr>
            <w:tabs>
              <w:tab w:pos="1519" w:val="left" w:leader="none"/>
              <w:tab w:pos="1520" w:val="left" w:leader="none"/>
              <w:tab w:pos="9671" w:val="right" w:leader="dot"/>
            </w:tabs>
            <w:spacing w:line="230" w:lineRule="exact" w:before="1" w:after="0"/>
            <w:ind w:left="1520" w:right="0" w:hanging="720"/>
            <w:jc w:val="left"/>
            <w:rPr>
              <w:i/>
            </w:rPr>
          </w:pPr>
          <w:hyperlink w:history="true" w:anchor="_TOC_250009">
            <w:r>
              <w:rPr>
                <w:i/>
              </w:rPr>
              <w:t>Intersection</w:t>
            </w:r>
            <w:r>
              <w:rPr>
                <w:i/>
                <w:spacing w:val="-2"/>
              </w:rPr>
              <w:t> </w:t>
            </w:r>
            <w:r>
              <w:rPr>
                <w:i/>
              </w:rPr>
              <w:t>Risk Score</w:t>
              <w:tab/>
              <w:t>74</w:t>
            </w:r>
          </w:hyperlink>
        </w:p>
        <w:p>
          <w:pPr>
            <w:pStyle w:val="TOC2"/>
            <w:numPr>
              <w:ilvl w:val="1"/>
              <w:numId w:val="6"/>
            </w:numPr>
            <w:tabs>
              <w:tab w:pos="1279" w:val="left" w:leader="none"/>
              <w:tab w:pos="1280" w:val="left" w:leader="none"/>
              <w:tab w:pos="9670" w:val="right" w:leader="dot"/>
            </w:tabs>
            <w:spacing w:line="276" w:lineRule="exact" w:before="0" w:after="0"/>
            <w:ind w:left="1280" w:right="0" w:hanging="720"/>
            <w:jc w:val="left"/>
          </w:pPr>
          <w:hyperlink w:history="true" w:anchor="_TOC_250008">
            <w:r>
              <w:rPr/>
              <w:t>RISK-SCORE</w:t>
            </w:r>
            <w:r>
              <w:rPr>
                <w:spacing w:val="-14"/>
              </w:rPr>
              <w:t> </w:t>
            </w:r>
            <w:r>
              <w:rPr/>
              <w:t>DISTRIBUTION</w:t>
              <w:tab/>
              <w:t>75</w:t>
            </w:r>
          </w:hyperlink>
        </w:p>
        <w:p>
          <w:pPr>
            <w:pStyle w:val="TOC2"/>
            <w:numPr>
              <w:ilvl w:val="1"/>
              <w:numId w:val="6"/>
            </w:numPr>
            <w:tabs>
              <w:tab w:pos="1279" w:val="left" w:leader="none"/>
              <w:tab w:pos="1280" w:val="left" w:leader="none"/>
              <w:tab w:pos="9670" w:val="right" w:leader="dot"/>
            </w:tabs>
            <w:spacing w:line="240" w:lineRule="auto" w:before="0" w:after="0"/>
            <w:ind w:left="1280" w:right="0" w:hanging="720"/>
            <w:jc w:val="left"/>
          </w:pPr>
          <w:hyperlink w:history="true" w:anchor="_TOC_250007">
            <w:r>
              <w:rPr/>
              <w:t>SUMMARY</w:t>
              <w:tab/>
              <w:t>76</w:t>
            </w:r>
          </w:hyperlink>
        </w:p>
        <w:p>
          <w:pPr>
            <w:pStyle w:val="TOC1"/>
            <w:numPr>
              <w:ilvl w:val="1"/>
              <w:numId w:val="7"/>
            </w:numPr>
            <w:tabs>
              <w:tab w:pos="1039" w:val="left" w:leader="none"/>
              <w:tab w:pos="1040" w:val="left" w:leader="none"/>
              <w:tab w:pos="9670" w:val="right" w:leader="dot"/>
            </w:tabs>
            <w:spacing w:line="240" w:lineRule="auto" w:before="122" w:after="0"/>
            <w:ind w:left="1040" w:right="0" w:hanging="720"/>
            <w:jc w:val="left"/>
          </w:pPr>
          <w:hyperlink w:history="true" w:anchor="_TOC_250006">
            <w:r>
              <w:rPr/>
              <w:t>SAMPLE</w:t>
            </w:r>
            <w:r>
              <w:rPr>
                <w:spacing w:val="-1"/>
              </w:rPr>
              <w:t> </w:t>
            </w:r>
            <w:r>
              <w:rPr/>
              <w:t>APPLICATIONS</w:t>
              <w:tab/>
              <w:t>77</w:t>
            </w:r>
          </w:hyperlink>
        </w:p>
        <w:p>
          <w:pPr>
            <w:pStyle w:val="TOC2"/>
            <w:numPr>
              <w:ilvl w:val="1"/>
              <w:numId w:val="7"/>
            </w:numPr>
            <w:tabs>
              <w:tab w:pos="1279" w:val="left" w:leader="none"/>
              <w:tab w:pos="1280" w:val="left" w:leader="none"/>
              <w:tab w:pos="9670" w:val="right" w:leader="dot"/>
            </w:tabs>
            <w:spacing w:line="240" w:lineRule="auto" w:before="118" w:after="0"/>
            <w:ind w:left="1280" w:right="0" w:hanging="720"/>
            <w:jc w:val="left"/>
          </w:pPr>
          <w:hyperlink w:history="true" w:anchor="_TOC_250005">
            <w:r>
              <w:rPr/>
              <w:t>INTERSECTION</w:t>
            </w:r>
            <w:r>
              <w:rPr>
                <w:spacing w:val="-14"/>
              </w:rPr>
              <w:t> </w:t>
            </w:r>
            <w:r>
              <w:rPr/>
              <w:t>PROJECTS</w:t>
              <w:tab/>
              <w:t>77</w:t>
            </w:r>
          </w:hyperlink>
        </w:p>
        <w:p>
          <w:pPr>
            <w:pStyle w:val="TOC2"/>
            <w:numPr>
              <w:ilvl w:val="1"/>
              <w:numId w:val="7"/>
            </w:numPr>
            <w:tabs>
              <w:tab w:pos="1279" w:val="left" w:leader="none"/>
              <w:tab w:pos="1280" w:val="left" w:leader="none"/>
              <w:tab w:pos="9670" w:val="right" w:leader="dot"/>
            </w:tabs>
            <w:spacing w:line="240" w:lineRule="auto" w:before="0" w:after="0"/>
            <w:ind w:left="1280" w:right="0" w:hanging="720"/>
            <w:jc w:val="left"/>
          </w:pPr>
          <w:hyperlink w:history="true" w:anchor="_TOC_250004">
            <w:r>
              <w:rPr/>
              <w:t>SEGMENT</w:t>
            </w:r>
            <w:r>
              <w:rPr>
                <w:spacing w:val="-12"/>
              </w:rPr>
              <w:t> </w:t>
            </w:r>
            <w:r>
              <w:rPr/>
              <w:t>PROJECTS</w:t>
              <w:tab/>
              <w:t>79</w:t>
            </w:r>
          </w:hyperlink>
        </w:p>
        <w:p>
          <w:pPr>
            <w:pStyle w:val="TOC2"/>
            <w:numPr>
              <w:ilvl w:val="1"/>
              <w:numId w:val="7"/>
            </w:numPr>
            <w:tabs>
              <w:tab w:pos="1279" w:val="left" w:leader="none"/>
              <w:tab w:pos="1280" w:val="left" w:leader="none"/>
              <w:tab w:pos="9670" w:val="right" w:leader="dot"/>
            </w:tabs>
            <w:spacing w:line="240" w:lineRule="auto" w:before="0" w:after="0"/>
            <w:ind w:left="1280" w:right="0" w:hanging="720"/>
            <w:jc w:val="left"/>
          </w:pPr>
          <w:hyperlink w:history="true" w:anchor="_TOC_250003">
            <w:r>
              <w:rPr/>
              <w:t>SUMMARY</w:t>
              <w:tab/>
              <w:t>81</w:t>
            </w:r>
          </w:hyperlink>
        </w:p>
        <w:p>
          <w:pPr>
            <w:pStyle w:val="TOC1"/>
            <w:numPr>
              <w:ilvl w:val="1"/>
              <w:numId w:val="8"/>
            </w:numPr>
            <w:tabs>
              <w:tab w:pos="1039" w:val="left" w:leader="none"/>
              <w:tab w:pos="1040" w:val="left" w:leader="none"/>
              <w:tab w:pos="9670" w:val="right" w:leader="dot"/>
            </w:tabs>
            <w:spacing w:line="240" w:lineRule="auto" w:before="122" w:after="0"/>
            <w:ind w:left="1040" w:right="0" w:hanging="720"/>
            <w:jc w:val="left"/>
          </w:pPr>
          <w:hyperlink w:history="true" w:anchor="_TOC_250002">
            <w:r>
              <w:rPr/>
              <w:t>CONCLUSIONS</w:t>
              <w:tab/>
              <w:t>83</w:t>
            </w:r>
          </w:hyperlink>
        </w:p>
        <w:p>
          <w:pPr>
            <w:pStyle w:val="TOC2"/>
            <w:numPr>
              <w:ilvl w:val="1"/>
              <w:numId w:val="8"/>
            </w:numPr>
            <w:tabs>
              <w:tab w:pos="1279" w:val="left" w:leader="none"/>
              <w:tab w:pos="1280" w:val="left" w:leader="none"/>
              <w:tab w:pos="9670" w:val="right" w:leader="dot"/>
            </w:tabs>
            <w:spacing w:line="240" w:lineRule="auto" w:before="118" w:after="0"/>
            <w:ind w:left="1280" w:right="0" w:hanging="720"/>
            <w:jc w:val="left"/>
          </w:pPr>
          <w:hyperlink w:history="true" w:anchor="_TOC_250001">
            <w:r>
              <w:rPr/>
              <w:t>FUTURE</w:t>
            </w:r>
            <w:r>
              <w:rPr>
                <w:spacing w:val="-12"/>
              </w:rPr>
              <w:t> </w:t>
            </w:r>
            <w:r>
              <w:rPr/>
              <w:t>WORK</w:t>
              <w:tab/>
              <w:t>84</w:t>
            </w:r>
          </w:hyperlink>
        </w:p>
        <w:p>
          <w:pPr>
            <w:pStyle w:val="TOC1"/>
            <w:tabs>
              <w:tab w:pos="1039" w:val="left" w:leader="none"/>
              <w:tab w:pos="9670" w:val="right" w:leader="dot"/>
            </w:tabs>
            <w:ind w:left="320" w:firstLine="0"/>
          </w:pPr>
          <w:hyperlink w:history="true" w:anchor="_TOC_250000">
            <w:r>
              <w:rPr/>
              <w:t>10.0</w:t>
              <w:tab/>
              <w:t>REFERENCES</w:t>
              <w:tab/>
              <w:t>85</w:t>
            </w:r>
          </w:hyperlink>
        </w:p>
      </w:sdtContent>
    </w:sdt>
    <w:p>
      <w:pPr>
        <w:spacing w:after="0"/>
        <w:sectPr>
          <w:type w:val="continuous"/>
          <w:pgSz w:w="12240" w:h="15840"/>
          <w:pgMar w:top="1359" w:bottom="1425" w:left="1120" w:right="0"/>
        </w:sectPr>
      </w:pPr>
    </w:p>
    <w:p>
      <w:pPr>
        <w:pStyle w:val="Heading4"/>
      </w:pPr>
      <w:r>
        <w:rPr/>
        <w:t>APPENDIX A</w:t>
      </w:r>
    </w:p>
    <w:p>
      <w:pPr>
        <w:spacing w:after="0"/>
        <w:sectPr>
          <w:type w:val="continuous"/>
          <w:pgSz w:w="12240" w:h="15840"/>
          <w:pgMar w:top="1360" w:bottom="980" w:left="1120" w:right="0"/>
        </w:sectPr>
      </w:pPr>
    </w:p>
    <w:p>
      <w:pPr>
        <w:spacing w:line="320" w:lineRule="exact" w:before="60"/>
        <w:ind w:left="484" w:right="1606" w:firstLine="0"/>
        <w:jc w:val="center"/>
        <w:rPr>
          <w:b/>
          <w:sz w:val="28"/>
        </w:rPr>
      </w:pPr>
      <w:r>
        <w:rPr>
          <w:b/>
          <w:sz w:val="28"/>
        </w:rPr>
        <w:t>LIST OF TABLES</w:t>
      </w:r>
    </w:p>
    <w:p>
      <w:pPr>
        <w:tabs>
          <w:tab w:pos="9570" w:val="left" w:leader="dot"/>
        </w:tabs>
        <w:spacing w:line="228" w:lineRule="exact" w:before="0"/>
        <w:ind w:left="320" w:right="0" w:firstLine="0"/>
        <w:jc w:val="left"/>
        <w:rPr>
          <w:sz w:val="20"/>
        </w:rPr>
      </w:pPr>
      <w:r>
        <w:rPr>
          <w:sz w:val="20"/>
        </w:rPr>
        <w:t>Table 2.1:  Ped ISI Model and</w:t>
      </w:r>
      <w:r>
        <w:rPr>
          <w:spacing w:val="-17"/>
          <w:sz w:val="20"/>
        </w:rPr>
        <w:t> </w:t>
      </w:r>
      <w:r>
        <w:rPr>
          <w:sz w:val="20"/>
        </w:rPr>
        <w:t>Variable</w:t>
      </w:r>
      <w:r>
        <w:rPr>
          <w:spacing w:val="-3"/>
          <w:sz w:val="20"/>
        </w:rPr>
        <w:t> </w:t>
      </w:r>
      <w:r>
        <w:rPr>
          <w:sz w:val="20"/>
        </w:rPr>
        <w:t>Descriptions</w:t>
        <w:tab/>
        <w:t>8</w:t>
      </w:r>
    </w:p>
    <w:p>
      <w:pPr>
        <w:tabs>
          <w:tab w:pos="9570" w:val="left" w:leader="dot"/>
        </w:tabs>
        <w:spacing w:before="0"/>
        <w:ind w:left="320" w:right="0" w:firstLine="0"/>
        <w:jc w:val="left"/>
        <w:rPr>
          <w:sz w:val="20"/>
        </w:rPr>
      </w:pPr>
      <w:r>
        <w:rPr>
          <w:sz w:val="20"/>
        </w:rPr>
        <w:t>Table 2.2:  Bike ISI Model and</w:t>
      </w:r>
      <w:r>
        <w:rPr>
          <w:spacing w:val="-17"/>
          <w:sz w:val="20"/>
        </w:rPr>
        <w:t> </w:t>
      </w:r>
      <w:r>
        <w:rPr>
          <w:sz w:val="20"/>
        </w:rPr>
        <w:t>Variable</w:t>
      </w:r>
      <w:r>
        <w:rPr>
          <w:spacing w:val="-2"/>
          <w:sz w:val="20"/>
        </w:rPr>
        <w:t> </w:t>
      </w:r>
      <w:r>
        <w:rPr>
          <w:sz w:val="20"/>
        </w:rPr>
        <w:t>Descriptions</w:t>
        <w:tab/>
        <w:t>9</w:t>
      </w:r>
    </w:p>
    <w:p>
      <w:pPr>
        <w:tabs>
          <w:tab w:pos="9469" w:val="left" w:leader="dot"/>
        </w:tabs>
        <w:spacing w:before="1"/>
        <w:ind w:left="799" w:right="1446" w:hanging="480"/>
        <w:jc w:val="left"/>
        <w:rPr>
          <w:sz w:val="20"/>
        </w:rPr>
      </w:pPr>
      <w:r>
        <w:rPr>
          <w:sz w:val="20"/>
        </w:rPr>
        <w:t>Table 2.3:: Criteria for Level of Traffic Stress in Mixed Traffic from Low Stress Bicycling and Network Connectivity (Mekuria et</w:t>
      </w:r>
      <w:r>
        <w:rPr>
          <w:spacing w:val="-9"/>
          <w:sz w:val="20"/>
        </w:rPr>
        <w:t> </w:t>
      </w:r>
      <w:r>
        <w:rPr>
          <w:sz w:val="20"/>
        </w:rPr>
        <w:t>al.,</w:t>
      </w:r>
      <w:r>
        <w:rPr>
          <w:spacing w:val="-4"/>
          <w:sz w:val="20"/>
        </w:rPr>
        <w:t> </w:t>
      </w:r>
      <w:r>
        <w:rPr>
          <w:sz w:val="20"/>
        </w:rPr>
        <w:t>2013)</w:t>
        <w:tab/>
      </w:r>
      <w:r>
        <w:rPr>
          <w:spacing w:val="-8"/>
          <w:sz w:val="20"/>
        </w:rPr>
        <w:t>12</w:t>
      </w:r>
    </w:p>
    <w:p>
      <w:pPr>
        <w:tabs>
          <w:tab w:pos="9469" w:val="left" w:leader="dot"/>
        </w:tabs>
        <w:spacing w:line="230" w:lineRule="exact" w:before="0"/>
        <w:ind w:left="320" w:right="0" w:firstLine="0"/>
        <w:jc w:val="left"/>
        <w:rPr>
          <w:sz w:val="20"/>
        </w:rPr>
      </w:pPr>
      <w:r>
        <w:rPr>
          <w:sz w:val="20"/>
        </w:rPr>
        <w:t>Table 2.4: Summary of Identified Potential Risk Factors for</w:t>
      </w:r>
      <w:r>
        <w:rPr>
          <w:spacing w:val="-29"/>
          <w:sz w:val="20"/>
        </w:rPr>
        <w:t> </w:t>
      </w:r>
      <w:r>
        <w:rPr>
          <w:sz w:val="20"/>
        </w:rPr>
        <w:t>Bicycle</w:t>
      </w:r>
      <w:r>
        <w:rPr>
          <w:spacing w:val="-3"/>
          <w:sz w:val="20"/>
        </w:rPr>
        <w:t> </w:t>
      </w:r>
      <w:r>
        <w:rPr>
          <w:sz w:val="20"/>
        </w:rPr>
        <w:t>Crashes</w:t>
        <w:tab/>
        <w:t>29</w:t>
      </w:r>
    </w:p>
    <w:p>
      <w:pPr>
        <w:tabs>
          <w:tab w:pos="9469" w:val="left" w:leader="dot"/>
        </w:tabs>
        <w:spacing w:line="230" w:lineRule="exact" w:before="0"/>
        <w:ind w:left="320" w:right="0" w:firstLine="0"/>
        <w:jc w:val="left"/>
        <w:rPr>
          <w:sz w:val="20"/>
        </w:rPr>
      </w:pPr>
      <w:r>
        <w:rPr>
          <w:sz w:val="20"/>
        </w:rPr>
        <w:t>Table 2.5: Summary of Identified Potential Risk Factors for</w:t>
      </w:r>
      <w:r>
        <w:rPr>
          <w:spacing w:val="-29"/>
          <w:sz w:val="20"/>
        </w:rPr>
        <w:t> </w:t>
      </w:r>
      <w:r>
        <w:rPr>
          <w:sz w:val="20"/>
        </w:rPr>
        <w:t>Pedestrian</w:t>
      </w:r>
      <w:r>
        <w:rPr>
          <w:spacing w:val="-1"/>
          <w:sz w:val="20"/>
        </w:rPr>
        <w:t> </w:t>
      </w:r>
      <w:r>
        <w:rPr>
          <w:sz w:val="20"/>
        </w:rPr>
        <w:t>Crashes</w:t>
        <w:tab/>
        <w:t>30</w:t>
      </w:r>
    </w:p>
    <w:p>
      <w:pPr>
        <w:tabs>
          <w:tab w:pos="9469" w:val="left" w:leader="dot"/>
        </w:tabs>
        <w:spacing w:line="230" w:lineRule="exact" w:before="0"/>
        <w:ind w:left="320" w:right="0" w:firstLine="0"/>
        <w:jc w:val="left"/>
        <w:rPr>
          <w:sz w:val="20"/>
        </w:rPr>
      </w:pPr>
      <w:r>
        <w:rPr>
          <w:sz w:val="20"/>
        </w:rPr>
        <w:t>Table 3.1: Summary of Potential Segments by ODOT</w:t>
      </w:r>
      <w:r>
        <w:rPr>
          <w:spacing w:val="-24"/>
          <w:sz w:val="20"/>
        </w:rPr>
        <w:t> </w:t>
      </w:r>
      <w:r>
        <w:rPr>
          <w:sz w:val="20"/>
        </w:rPr>
        <w:t>Region,</w:t>
      </w:r>
      <w:r>
        <w:rPr>
          <w:spacing w:val="-3"/>
          <w:sz w:val="20"/>
        </w:rPr>
        <w:t> </w:t>
      </w:r>
      <w:r>
        <w:rPr>
          <w:sz w:val="20"/>
        </w:rPr>
        <w:t>Miles</w:t>
        <w:tab/>
        <w:t>33</w:t>
      </w:r>
    </w:p>
    <w:p>
      <w:pPr>
        <w:tabs>
          <w:tab w:pos="9469" w:val="left" w:leader="dot"/>
        </w:tabs>
        <w:spacing w:before="1"/>
        <w:ind w:left="320" w:right="0" w:firstLine="0"/>
        <w:jc w:val="left"/>
        <w:rPr>
          <w:sz w:val="20"/>
        </w:rPr>
      </w:pPr>
      <w:r>
        <w:rPr>
          <w:sz w:val="20"/>
        </w:rPr>
        <w:t>Table 3.2: Summary of Potential Segments by ODOT Region, Number</w:t>
      </w:r>
      <w:r>
        <w:rPr>
          <w:spacing w:val="-30"/>
          <w:sz w:val="20"/>
        </w:rPr>
        <w:t> </w:t>
      </w:r>
      <w:r>
        <w:rPr>
          <w:sz w:val="20"/>
        </w:rPr>
        <w:t>of</w:t>
      </w:r>
      <w:r>
        <w:rPr>
          <w:spacing w:val="-4"/>
          <w:sz w:val="20"/>
        </w:rPr>
        <w:t> </w:t>
      </w:r>
      <w:r>
        <w:rPr>
          <w:sz w:val="20"/>
        </w:rPr>
        <w:t>Segments</w:t>
        <w:tab/>
        <w:t>33</w:t>
      </w:r>
    </w:p>
    <w:p>
      <w:pPr>
        <w:tabs>
          <w:tab w:pos="9470" w:val="left" w:leader="dot"/>
        </w:tabs>
        <w:spacing w:line="230" w:lineRule="exact" w:before="0"/>
        <w:ind w:left="320" w:right="0" w:firstLine="0"/>
        <w:jc w:val="left"/>
        <w:rPr>
          <w:sz w:val="20"/>
        </w:rPr>
      </w:pPr>
      <w:r>
        <w:rPr>
          <w:sz w:val="20"/>
        </w:rPr>
        <w:t>Table 3.3: Maximum, Minimum and Average Length (Mile)</w:t>
      </w:r>
      <w:r>
        <w:rPr>
          <w:spacing w:val="-24"/>
          <w:sz w:val="20"/>
        </w:rPr>
        <w:t> </w:t>
      </w:r>
      <w:r>
        <w:rPr>
          <w:sz w:val="20"/>
        </w:rPr>
        <w:t>of</w:t>
      </w:r>
      <w:r>
        <w:rPr>
          <w:spacing w:val="-3"/>
          <w:sz w:val="20"/>
        </w:rPr>
        <w:t> </w:t>
      </w:r>
      <w:r>
        <w:rPr>
          <w:sz w:val="20"/>
        </w:rPr>
        <w:t>Segments</w:t>
        <w:tab/>
        <w:t>33</w:t>
      </w:r>
    </w:p>
    <w:p>
      <w:pPr>
        <w:tabs>
          <w:tab w:pos="9469" w:val="left" w:leader="dot"/>
        </w:tabs>
        <w:spacing w:line="230" w:lineRule="exact" w:before="0"/>
        <w:ind w:left="320" w:right="0" w:firstLine="0"/>
        <w:jc w:val="left"/>
        <w:rPr>
          <w:sz w:val="20"/>
        </w:rPr>
      </w:pPr>
      <w:r>
        <w:rPr>
          <w:sz w:val="20"/>
        </w:rPr>
        <w:t>Table 3.4:  Segment</w:t>
      </w:r>
      <w:r>
        <w:rPr>
          <w:spacing w:val="-11"/>
          <w:sz w:val="20"/>
        </w:rPr>
        <w:t> </w:t>
      </w:r>
      <w:r>
        <w:rPr>
          <w:sz w:val="20"/>
        </w:rPr>
        <w:t>Data</w:t>
      </w:r>
      <w:r>
        <w:rPr>
          <w:spacing w:val="-2"/>
          <w:sz w:val="20"/>
        </w:rPr>
        <w:t> </w:t>
      </w:r>
      <w:r>
        <w:rPr>
          <w:sz w:val="20"/>
        </w:rPr>
        <w:t>Elements</w:t>
        <w:tab/>
        <w:t>35</w:t>
      </w:r>
    </w:p>
    <w:p>
      <w:pPr>
        <w:tabs>
          <w:tab w:pos="9469" w:val="left" w:leader="dot"/>
        </w:tabs>
        <w:spacing w:line="230" w:lineRule="exact" w:before="0"/>
        <w:ind w:left="320" w:right="0" w:firstLine="0"/>
        <w:jc w:val="left"/>
        <w:rPr>
          <w:sz w:val="20"/>
        </w:rPr>
      </w:pPr>
      <w:r>
        <w:rPr>
          <w:sz w:val="20"/>
        </w:rPr>
        <w:t>Table 3.5:  Segment Crossing Opportunity</w:t>
      </w:r>
      <w:r>
        <w:rPr>
          <w:spacing w:val="-21"/>
          <w:sz w:val="20"/>
        </w:rPr>
        <w:t> </w:t>
      </w:r>
      <w:r>
        <w:rPr>
          <w:sz w:val="20"/>
        </w:rPr>
        <w:t>Classification</w:t>
      </w:r>
      <w:r>
        <w:rPr>
          <w:spacing w:val="-4"/>
          <w:sz w:val="20"/>
        </w:rPr>
        <w:t> </w:t>
      </w:r>
      <w:r>
        <w:rPr>
          <w:sz w:val="20"/>
        </w:rPr>
        <w:t>Scheme</w:t>
        <w:tab/>
        <w:t>36</w:t>
      </w:r>
    </w:p>
    <w:p>
      <w:pPr>
        <w:tabs>
          <w:tab w:pos="9469" w:val="left" w:leader="dot"/>
        </w:tabs>
        <w:spacing w:line="230" w:lineRule="exact" w:before="0"/>
        <w:ind w:left="320" w:right="0" w:firstLine="0"/>
        <w:jc w:val="left"/>
        <w:rPr>
          <w:sz w:val="20"/>
        </w:rPr>
      </w:pPr>
      <w:r>
        <w:rPr>
          <w:sz w:val="20"/>
        </w:rPr>
        <w:t>Table 3.6: Intersection</w:t>
      </w:r>
      <w:r>
        <w:rPr>
          <w:spacing w:val="-10"/>
          <w:sz w:val="20"/>
        </w:rPr>
        <w:t> </w:t>
      </w:r>
      <w:r>
        <w:rPr>
          <w:sz w:val="20"/>
        </w:rPr>
        <w:t>Data</w:t>
      </w:r>
      <w:r>
        <w:rPr>
          <w:spacing w:val="-4"/>
          <w:sz w:val="20"/>
        </w:rPr>
        <w:t> </w:t>
      </w:r>
      <w:r>
        <w:rPr>
          <w:sz w:val="20"/>
        </w:rPr>
        <w:t>Elements</w:t>
        <w:tab/>
        <w:t>37</w:t>
      </w:r>
    </w:p>
    <w:p>
      <w:pPr>
        <w:tabs>
          <w:tab w:pos="9469" w:val="left" w:leader="dot"/>
        </w:tabs>
        <w:spacing w:before="1"/>
        <w:ind w:left="320" w:right="0" w:firstLine="0"/>
        <w:jc w:val="left"/>
        <w:rPr>
          <w:sz w:val="20"/>
        </w:rPr>
      </w:pPr>
      <w:r>
        <w:rPr>
          <w:sz w:val="20"/>
        </w:rPr>
        <w:t>Table 3.7: Land and Built</w:t>
      </w:r>
      <w:r>
        <w:rPr>
          <w:spacing w:val="-15"/>
          <w:sz w:val="20"/>
        </w:rPr>
        <w:t> </w:t>
      </w:r>
      <w:r>
        <w:rPr>
          <w:sz w:val="20"/>
        </w:rPr>
        <w:t>Environment</w:t>
      </w:r>
      <w:r>
        <w:rPr>
          <w:spacing w:val="-3"/>
          <w:sz w:val="20"/>
        </w:rPr>
        <w:t> </w:t>
      </w:r>
      <w:r>
        <w:rPr>
          <w:sz w:val="20"/>
        </w:rPr>
        <w:t>Data</w:t>
        <w:tab/>
        <w:t>37</w:t>
      </w:r>
    </w:p>
    <w:p>
      <w:pPr>
        <w:tabs>
          <w:tab w:pos="9469" w:val="left" w:leader="dot"/>
        </w:tabs>
        <w:spacing w:line="230" w:lineRule="exact" w:before="0"/>
        <w:ind w:left="320" w:right="0" w:firstLine="0"/>
        <w:jc w:val="left"/>
        <w:rPr>
          <w:sz w:val="20"/>
        </w:rPr>
      </w:pPr>
      <w:r>
        <w:rPr>
          <w:sz w:val="20"/>
        </w:rPr>
        <w:t>Table 4.1: Summary of Categorical Geometric Variables</w:t>
      </w:r>
      <w:r>
        <w:rPr>
          <w:spacing w:val="-26"/>
          <w:sz w:val="20"/>
        </w:rPr>
        <w:t> </w:t>
      </w:r>
      <w:r>
        <w:rPr>
          <w:sz w:val="20"/>
        </w:rPr>
        <w:t>of</w:t>
      </w:r>
      <w:r>
        <w:rPr>
          <w:spacing w:val="-4"/>
          <w:sz w:val="20"/>
        </w:rPr>
        <w:t> </w:t>
      </w:r>
      <w:r>
        <w:rPr>
          <w:sz w:val="20"/>
        </w:rPr>
        <w:t>Segments</w:t>
        <w:tab/>
        <w:t>44</w:t>
      </w:r>
    </w:p>
    <w:p>
      <w:pPr>
        <w:tabs>
          <w:tab w:pos="9469" w:val="left" w:leader="dot"/>
        </w:tabs>
        <w:spacing w:line="230" w:lineRule="exact" w:before="0"/>
        <w:ind w:left="320" w:right="0" w:firstLine="0"/>
        <w:jc w:val="left"/>
        <w:rPr>
          <w:sz w:val="20"/>
        </w:rPr>
      </w:pPr>
      <w:r>
        <w:rPr>
          <w:sz w:val="20"/>
        </w:rPr>
        <w:t>Table 4.2: Summary of Continuous Geometric Variables</w:t>
      </w:r>
      <w:r>
        <w:rPr>
          <w:spacing w:val="-24"/>
          <w:sz w:val="20"/>
        </w:rPr>
        <w:t> </w:t>
      </w:r>
      <w:r>
        <w:rPr>
          <w:sz w:val="20"/>
        </w:rPr>
        <w:t>of</w:t>
      </w:r>
      <w:r>
        <w:rPr>
          <w:spacing w:val="-4"/>
          <w:sz w:val="20"/>
        </w:rPr>
        <w:t> </w:t>
      </w:r>
      <w:r>
        <w:rPr>
          <w:sz w:val="20"/>
        </w:rPr>
        <w:t>Segments</w:t>
        <w:tab/>
        <w:t>44</w:t>
      </w:r>
    </w:p>
    <w:p>
      <w:pPr>
        <w:tabs>
          <w:tab w:pos="9469" w:val="left" w:leader="dot"/>
        </w:tabs>
        <w:spacing w:before="1"/>
        <w:ind w:left="320" w:right="0" w:firstLine="0"/>
        <w:jc w:val="left"/>
        <w:rPr>
          <w:sz w:val="20"/>
        </w:rPr>
      </w:pPr>
      <w:r>
        <w:rPr>
          <w:sz w:val="20"/>
        </w:rPr>
        <w:t>Table 4.3: Summary of Categorical Geometric Variables</w:t>
      </w:r>
      <w:r>
        <w:rPr>
          <w:spacing w:val="-26"/>
          <w:sz w:val="20"/>
        </w:rPr>
        <w:t> </w:t>
      </w:r>
      <w:r>
        <w:rPr>
          <w:sz w:val="20"/>
        </w:rPr>
        <w:t>of</w:t>
      </w:r>
      <w:r>
        <w:rPr>
          <w:spacing w:val="-4"/>
          <w:sz w:val="20"/>
        </w:rPr>
        <w:t> </w:t>
      </w:r>
      <w:r>
        <w:rPr>
          <w:sz w:val="20"/>
        </w:rPr>
        <w:t>Intersections</w:t>
        <w:tab/>
        <w:t>46</w:t>
      </w:r>
    </w:p>
    <w:p>
      <w:pPr>
        <w:tabs>
          <w:tab w:pos="9469" w:val="left" w:leader="dot"/>
        </w:tabs>
        <w:spacing w:line="230" w:lineRule="exact" w:before="0"/>
        <w:ind w:left="320" w:right="0" w:firstLine="0"/>
        <w:jc w:val="left"/>
        <w:rPr>
          <w:sz w:val="20"/>
        </w:rPr>
      </w:pPr>
      <w:r>
        <w:rPr>
          <w:sz w:val="20"/>
        </w:rPr>
        <w:t>Table 4.4: Summary of Continuous Geometric Variables</w:t>
      </w:r>
      <w:r>
        <w:rPr>
          <w:spacing w:val="-24"/>
          <w:sz w:val="20"/>
        </w:rPr>
        <w:t> </w:t>
      </w:r>
      <w:r>
        <w:rPr>
          <w:sz w:val="20"/>
        </w:rPr>
        <w:t>of</w:t>
      </w:r>
      <w:r>
        <w:rPr>
          <w:spacing w:val="-5"/>
          <w:sz w:val="20"/>
        </w:rPr>
        <w:t> </w:t>
      </w:r>
      <w:r>
        <w:rPr>
          <w:sz w:val="20"/>
        </w:rPr>
        <w:t>Intersection</w:t>
        <w:tab/>
        <w:t>47</w:t>
      </w:r>
    </w:p>
    <w:p>
      <w:pPr>
        <w:tabs>
          <w:tab w:pos="9469" w:val="left" w:leader="dot"/>
        </w:tabs>
        <w:spacing w:line="230" w:lineRule="exact" w:before="0"/>
        <w:ind w:left="320" w:right="0" w:firstLine="0"/>
        <w:jc w:val="left"/>
        <w:rPr>
          <w:sz w:val="20"/>
        </w:rPr>
      </w:pPr>
      <w:r>
        <w:rPr>
          <w:sz w:val="20"/>
        </w:rPr>
        <w:t>Table 4.5: Summary of Continuous</w:t>
      </w:r>
      <w:r>
        <w:rPr>
          <w:spacing w:val="-16"/>
          <w:sz w:val="20"/>
        </w:rPr>
        <w:t> </w:t>
      </w:r>
      <w:r>
        <w:rPr>
          <w:sz w:val="20"/>
        </w:rPr>
        <w:t>Land-Use</w:t>
      </w:r>
      <w:r>
        <w:rPr>
          <w:spacing w:val="-4"/>
          <w:sz w:val="20"/>
        </w:rPr>
        <w:t> </w:t>
      </w:r>
      <w:r>
        <w:rPr>
          <w:sz w:val="20"/>
        </w:rPr>
        <w:t>Variables</w:t>
        <w:tab/>
        <w:t>48</w:t>
      </w:r>
    </w:p>
    <w:p>
      <w:pPr>
        <w:tabs>
          <w:tab w:pos="9469" w:val="left" w:leader="dot"/>
        </w:tabs>
        <w:spacing w:before="1"/>
        <w:ind w:left="320" w:right="0" w:firstLine="0"/>
        <w:jc w:val="left"/>
        <w:rPr>
          <w:sz w:val="20"/>
        </w:rPr>
      </w:pPr>
      <w:r>
        <w:rPr>
          <w:sz w:val="20"/>
        </w:rPr>
        <w:t>Table 4.6: Summary of Categorical</w:t>
      </w:r>
      <w:r>
        <w:rPr>
          <w:spacing w:val="-20"/>
          <w:sz w:val="20"/>
        </w:rPr>
        <w:t> </w:t>
      </w:r>
      <w:r>
        <w:rPr>
          <w:sz w:val="20"/>
        </w:rPr>
        <w:t>Land-Use</w:t>
      </w:r>
      <w:r>
        <w:rPr>
          <w:spacing w:val="-3"/>
          <w:sz w:val="20"/>
        </w:rPr>
        <w:t> </w:t>
      </w:r>
      <w:r>
        <w:rPr>
          <w:sz w:val="20"/>
        </w:rPr>
        <w:t>Variables</w:t>
        <w:tab/>
        <w:t>48</w:t>
      </w:r>
    </w:p>
    <w:p>
      <w:pPr>
        <w:tabs>
          <w:tab w:pos="9469" w:val="left" w:leader="dot"/>
        </w:tabs>
        <w:spacing w:line="230" w:lineRule="exact" w:before="0"/>
        <w:ind w:left="320" w:right="0" w:firstLine="0"/>
        <w:jc w:val="left"/>
        <w:rPr>
          <w:sz w:val="20"/>
        </w:rPr>
      </w:pPr>
      <w:r>
        <w:rPr>
          <w:sz w:val="20"/>
        </w:rPr>
        <w:t>Table 4.7: Summary</w:t>
      </w:r>
      <w:r>
        <w:rPr>
          <w:spacing w:val="-8"/>
          <w:sz w:val="20"/>
        </w:rPr>
        <w:t> </w:t>
      </w:r>
      <w:r>
        <w:rPr>
          <w:sz w:val="20"/>
        </w:rPr>
        <w:t>of</w:t>
      </w:r>
      <w:r>
        <w:rPr>
          <w:spacing w:val="-2"/>
          <w:sz w:val="20"/>
        </w:rPr>
        <w:t> </w:t>
      </w:r>
      <w:r>
        <w:rPr>
          <w:sz w:val="20"/>
        </w:rPr>
        <w:t>AADT</w:t>
        <w:tab/>
        <w:t>49</w:t>
      </w:r>
    </w:p>
    <w:p>
      <w:pPr>
        <w:tabs>
          <w:tab w:pos="9469" w:val="left" w:leader="dot"/>
        </w:tabs>
        <w:spacing w:line="230" w:lineRule="exact" w:before="0"/>
        <w:ind w:left="320" w:right="0" w:firstLine="0"/>
        <w:jc w:val="left"/>
        <w:rPr>
          <w:sz w:val="20"/>
        </w:rPr>
      </w:pPr>
      <w:r>
        <w:rPr>
          <w:sz w:val="20"/>
        </w:rPr>
        <w:t>Table 4.8: Summary of Bike</w:t>
      </w:r>
      <w:r>
        <w:rPr>
          <w:spacing w:val="-13"/>
          <w:sz w:val="20"/>
        </w:rPr>
        <w:t> </w:t>
      </w:r>
      <w:r>
        <w:rPr>
          <w:sz w:val="20"/>
        </w:rPr>
        <w:t>Volume</w:t>
      </w:r>
      <w:r>
        <w:rPr>
          <w:spacing w:val="-2"/>
          <w:sz w:val="20"/>
        </w:rPr>
        <w:t> </w:t>
      </w:r>
      <w:r>
        <w:rPr>
          <w:sz w:val="20"/>
        </w:rPr>
        <w:t>Data</w:t>
        <w:tab/>
        <w:t>49</w:t>
      </w:r>
    </w:p>
    <w:p>
      <w:pPr>
        <w:tabs>
          <w:tab w:pos="9469" w:val="left" w:leader="dot"/>
        </w:tabs>
        <w:spacing w:before="0"/>
        <w:ind w:left="320" w:right="0" w:firstLine="0"/>
        <w:jc w:val="left"/>
        <w:rPr>
          <w:sz w:val="20"/>
        </w:rPr>
      </w:pPr>
      <w:r>
        <w:rPr>
          <w:sz w:val="20"/>
        </w:rPr>
        <w:t>Table 5.1: Link Functions of Standard Linear and</w:t>
      </w:r>
      <w:r>
        <w:rPr>
          <w:spacing w:val="-21"/>
          <w:sz w:val="20"/>
        </w:rPr>
        <w:t> </w:t>
      </w:r>
      <w:r>
        <w:rPr>
          <w:sz w:val="20"/>
        </w:rPr>
        <w:t>Logistic</w:t>
      </w:r>
      <w:r>
        <w:rPr>
          <w:spacing w:val="-3"/>
          <w:sz w:val="20"/>
        </w:rPr>
        <w:t> </w:t>
      </w:r>
      <w:r>
        <w:rPr>
          <w:sz w:val="20"/>
        </w:rPr>
        <w:t>Model</w:t>
        <w:tab/>
        <w:t>55</w:t>
      </w:r>
    </w:p>
    <w:p>
      <w:pPr>
        <w:tabs>
          <w:tab w:pos="9469" w:val="left" w:leader="dot"/>
        </w:tabs>
        <w:spacing w:line="230" w:lineRule="exact" w:before="1"/>
        <w:ind w:left="320" w:right="0" w:firstLine="0"/>
        <w:jc w:val="left"/>
        <w:rPr>
          <w:sz w:val="20"/>
        </w:rPr>
      </w:pPr>
      <w:r>
        <w:rPr>
          <w:sz w:val="20"/>
        </w:rPr>
        <w:t>Table 6.1: Model 1: Pedestrian Segment Crash Occurrence</w:t>
      </w:r>
      <w:r>
        <w:rPr>
          <w:spacing w:val="-25"/>
          <w:sz w:val="20"/>
        </w:rPr>
        <w:t> </w:t>
      </w:r>
      <w:r>
        <w:rPr>
          <w:sz w:val="20"/>
        </w:rPr>
        <w:t>Model</w:t>
      </w:r>
      <w:r>
        <w:rPr>
          <w:spacing w:val="-3"/>
          <w:sz w:val="20"/>
        </w:rPr>
        <w:t> </w:t>
      </w:r>
      <w:r>
        <w:rPr>
          <w:sz w:val="20"/>
        </w:rPr>
        <w:t>Results</w:t>
        <w:tab/>
        <w:t>59</w:t>
      </w:r>
    </w:p>
    <w:p>
      <w:pPr>
        <w:tabs>
          <w:tab w:pos="9469" w:val="left" w:leader="dot"/>
        </w:tabs>
        <w:spacing w:line="230" w:lineRule="exact" w:before="0"/>
        <w:ind w:left="320" w:right="0" w:firstLine="0"/>
        <w:jc w:val="left"/>
        <w:rPr>
          <w:sz w:val="20"/>
        </w:rPr>
      </w:pPr>
      <w:r>
        <w:rPr>
          <w:sz w:val="20"/>
        </w:rPr>
        <w:t>Table 6.2:  Model 2: Pedestrian Intersection Crash Occurrence</w:t>
      </w:r>
      <w:r>
        <w:rPr>
          <w:spacing w:val="-27"/>
          <w:sz w:val="20"/>
        </w:rPr>
        <w:t> </w:t>
      </w:r>
      <w:r>
        <w:rPr>
          <w:sz w:val="20"/>
        </w:rPr>
        <w:t>Model</w:t>
      </w:r>
      <w:r>
        <w:rPr>
          <w:spacing w:val="-4"/>
          <w:sz w:val="20"/>
        </w:rPr>
        <w:t> </w:t>
      </w:r>
      <w:r>
        <w:rPr>
          <w:sz w:val="20"/>
        </w:rPr>
        <w:t>Results</w:t>
        <w:tab/>
        <w:t>61</w:t>
      </w:r>
    </w:p>
    <w:p>
      <w:pPr>
        <w:tabs>
          <w:tab w:pos="9469" w:val="left" w:leader="dot"/>
        </w:tabs>
        <w:spacing w:before="0"/>
        <w:ind w:left="320" w:right="0" w:firstLine="0"/>
        <w:jc w:val="left"/>
        <w:rPr>
          <w:sz w:val="20"/>
        </w:rPr>
      </w:pPr>
      <w:r>
        <w:rPr>
          <w:sz w:val="20"/>
        </w:rPr>
        <w:t>Table 6.3: Model 3: Pedestrian Segment Crash Severity</w:t>
      </w:r>
      <w:r>
        <w:rPr>
          <w:spacing w:val="-24"/>
          <w:sz w:val="20"/>
        </w:rPr>
        <w:t> </w:t>
      </w:r>
      <w:r>
        <w:rPr>
          <w:sz w:val="20"/>
        </w:rPr>
        <w:t>Model</w:t>
      </w:r>
      <w:r>
        <w:rPr>
          <w:spacing w:val="-4"/>
          <w:sz w:val="20"/>
        </w:rPr>
        <w:t> </w:t>
      </w:r>
      <w:r>
        <w:rPr>
          <w:sz w:val="20"/>
        </w:rPr>
        <w:t>Results</w:t>
        <w:tab/>
        <w:t>62</w:t>
      </w:r>
    </w:p>
    <w:p>
      <w:pPr>
        <w:tabs>
          <w:tab w:pos="9469" w:val="left" w:leader="dot"/>
        </w:tabs>
        <w:spacing w:line="230" w:lineRule="exact" w:before="1"/>
        <w:ind w:left="320" w:right="0" w:firstLine="0"/>
        <w:jc w:val="left"/>
        <w:rPr>
          <w:sz w:val="20"/>
        </w:rPr>
      </w:pPr>
      <w:r>
        <w:rPr>
          <w:sz w:val="20"/>
        </w:rPr>
        <w:t>Table 6.4: Model 4: Pedestrian Intersection Crash Severity</w:t>
      </w:r>
      <w:r>
        <w:rPr>
          <w:spacing w:val="-27"/>
          <w:sz w:val="20"/>
        </w:rPr>
        <w:t> </w:t>
      </w:r>
      <w:r>
        <w:rPr>
          <w:sz w:val="20"/>
        </w:rPr>
        <w:t>Model</w:t>
      </w:r>
      <w:r>
        <w:rPr>
          <w:spacing w:val="-4"/>
          <w:sz w:val="20"/>
        </w:rPr>
        <w:t> </w:t>
      </w:r>
      <w:r>
        <w:rPr>
          <w:sz w:val="20"/>
        </w:rPr>
        <w:t>Results</w:t>
        <w:tab/>
        <w:t>62</w:t>
      </w:r>
    </w:p>
    <w:p>
      <w:pPr>
        <w:tabs>
          <w:tab w:pos="9469" w:val="left" w:leader="dot"/>
        </w:tabs>
        <w:spacing w:line="230" w:lineRule="exact" w:before="0"/>
        <w:ind w:left="320" w:right="0" w:firstLine="0"/>
        <w:jc w:val="left"/>
        <w:rPr>
          <w:sz w:val="20"/>
        </w:rPr>
      </w:pPr>
      <w:r>
        <w:rPr>
          <w:sz w:val="20"/>
        </w:rPr>
        <w:t>Table 6.5: Model 5: Bicycle Segment Crash Occurrence</w:t>
      </w:r>
      <w:r>
        <w:rPr>
          <w:spacing w:val="-26"/>
          <w:sz w:val="20"/>
        </w:rPr>
        <w:t> </w:t>
      </w:r>
      <w:r>
        <w:rPr>
          <w:sz w:val="20"/>
        </w:rPr>
        <w:t>Model</w:t>
      </w:r>
      <w:r>
        <w:rPr>
          <w:spacing w:val="-3"/>
          <w:sz w:val="20"/>
        </w:rPr>
        <w:t> </w:t>
      </w:r>
      <w:r>
        <w:rPr>
          <w:sz w:val="20"/>
        </w:rPr>
        <w:t>Results</w:t>
        <w:tab/>
        <w:t>63</w:t>
      </w:r>
    </w:p>
    <w:p>
      <w:pPr>
        <w:tabs>
          <w:tab w:pos="9469" w:val="left" w:leader="dot"/>
        </w:tabs>
        <w:spacing w:before="0"/>
        <w:ind w:left="320" w:right="0" w:firstLine="0"/>
        <w:jc w:val="left"/>
        <w:rPr>
          <w:sz w:val="20"/>
        </w:rPr>
      </w:pPr>
      <w:r>
        <w:rPr>
          <w:sz w:val="20"/>
        </w:rPr>
        <w:t>Table 6.6: Model 6: Bicycle Intersection Crash Occurrence Model</w:t>
      </w:r>
      <w:r>
        <w:rPr>
          <w:spacing w:val="-31"/>
          <w:sz w:val="20"/>
        </w:rPr>
        <w:t> </w:t>
      </w:r>
      <w:r>
        <w:rPr>
          <w:sz w:val="20"/>
        </w:rPr>
        <w:t>Results</w:t>
      </w:r>
      <w:r>
        <w:rPr>
          <w:spacing w:val="-3"/>
          <w:sz w:val="20"/>
        </w:rPr>
        <w:t> </w:t>
      </w:r>
      <w:r>
        <w:rPr>
          <w:sz w:val="20"/>
        </w:rPr>
        <w:t>Table</w:t>
        <w:tab/>
        <w:t>63</w:t>
      </w:r>
    </w:p>
    <w:p>
      <w:pPr>
        <w:tabs>
          <w:tab w:pos="9469" w:val="left" w:leader="dot"/>
        </w:tabs>
        <w:spacing w:line="230" w:lineRule="exact" w:before="0"/>
        <w:ind w:left="320" w:right="0" w:firstLine="0"/>
        <w:jc w:val="left"/>
        <w:rPr>
          <w:sz w:val="20"/>
        </w:rPr>
      </w:pPr>
      <w:r>
        <w:rPr>
          <w:sz w:val="20"/>
        </w:rPr>
        <w:t>Table 6.7: Model 7: Bicycle Segment Crash Severity</w:t>
      </w:r>
      <w:r>
        <w:rPr>
          <w:spacing w:val="-23"/>
          <w:sz w:val="20"/>
        </w:rPr>
        <w:t> </w:t>
      </w:r>
      <w:r>
        <w:rPr>
          <w:sz w:val="20"/>
        </w:rPr>
        <w:t>Model</w:t>
      </w:r>
      <w:r>
        <w:rPr>
          <w:spacing w:val="-3"/>
          <w:sz w:val="20"/>
        </w:rPr>
        <w:t> </w:t>
      </w:r>
      <w:r>
        <w:rPr>
          <w:sz w:val="20"/>
        </w:rPr>
        <w:t>Results</w:t>
        <w:tab/>
        <w:t>65</w:t>
      </w:r>
    </w:p>
    <w:p>
      <w:pPr>
        <w:tabs>
          <w:tab w:pos="9469" w:val="left" w:leader="dot"/>
        </w:tabs>
        <w:spacing w:line="230" w:lineRule="exact" w:before="0"/>
        <w:ind w:left="320" w:right="0" w:firstLine="0"/>
        <w:jc w:val="left"/>
        <w:rPr>
          <w:sz w:val="20"/>
        </w:rPr>
      </w:pPr>
      <w:r>
        <w:rPr>
          <w:sz w:val="20"/>
        </w:rPr>
        <w:t>Table 6.8: Model 8: Bicycle Intersection Crash Severity</w:t>
      </w:r>
      <w:r>
        <w:rPr>
          <w:spacing w:val="-23"/>
          <w:sz w:val="20"/>
        </w:rPr>
        <w:t> </w:t>
      </w:r>
      <w:r>
        <w:rPr>
          <w:sz w:val="20"/>
        </w:rPr>
        <w:t>Model</w:t>
      </w:r>
      <w:r>
        <w:rPr>
          <w:spacing w:val="-4"/>
          <w:sz w:val="20"/>
        </w:rPr>
        <w:t> </w:t>
      </w:r>
      <w:r>
        <w:rPr>
          <w:sz w:val="20"/>
        </w:rPr>
        <w:t>Results</w:t>
        <w:tab/>
        <w:t>65</w:t>
      </w:r>
    </w:p>
    <w:p>
      <w:pPr>
        <w:tabs>
          <w:tab w:pos="9469" w:val="left" w:leader="dot"/>
        </w:tabs>
        <w:spacing w:line="230" w:lineRule="exact" w:before="1"/>
        <w:ind w:left="320" w:right="0" w:firstLine="0"/>
        <w:jc w:val="left"/>
        <w:rPr>
          <w:sz w:val="20"/>
        </w:rPr>
      </w:pPr>
      <w:r>
        <w:rPr>
          <w:sz w:val="20"/>
        </w:rPr>
        <w:t>Table 6.9: Summary of Significant Variables in the</w:t>
      </w:r>
      <w:r>
        <w:rPr>
          <w:spacing w:val="-26"/>
          <w:sz w:val="20"/>
        </w:rPr>
        <w:t> </w:t>
      </w:r>
      <w:r>
        <w:rPr>
          <w:sz w:val="20"/>
        </w:rPr>
        <w:t>Pedestrian</w:t>
      </w:r>
      <w:r>
        <w:rPr>
          <w:spacing w:val="-2"/>
          <w:sz w:val="20"/>
        </w:rPr>
        <w:t> </w:t>
      </w:r>
      <w:r>
        <w:rPr>
          <w:sz w:val="20"/>
        </w:rPr>
        <w:t>Models</w:t>
        <w:tab/>
        <w:t>66</w:t>
      </w:r>
    </w:p>
    <w:p>
      <w:pPr>
        <w:tabs>
          <w:tab w:pos="9469" w:val="left" w:leader="dot"/>
        </w:tabs>
        <w:spacing w:line="230" w:lineRule="exact" w:before="0"/>
        <w:ind w:left="320" w:right="0" w:firstLine="0"/>
        <w:jc w:val="left"/>
        <w:rPr>
          <w:sz w:val="20"/>
        </w:rPr>
      </w:pPr>
      <w:r>
        <w:rPr>
          <w:sz w:val="20"/>
        </w:rPr>
        <w:t>Table 6.10: Summary of Significant Variables in the</w:t>
      </w:r>
      <w:r>
        <w:rPr>
          <w:spacing w:val="-23"/>
          <w:sz w:val="20"/>
        </w:rPr>
        <w:t> </w:t>
      </w:r>
      <w:r>
        <w:rPr>
          <w:sz w:val="20"/>
        </w:rPr>
        <w:t>Bicycle</w:t>
      </w:r>
      <w:r>
        <w:rPr>
          <w:spacing w:val="-2"/>
          <w:sz w:val="20"/>
        </w:rPr>
        <w:t> </w:t>
      </w:r>
      <w:r>
        <w:rPr>
          <w:sz w:val="20"/>
        </w:rPr>
        <w:t>Models</w:t>
        <w:tab/>
        <w:t>67</w:t>
      </w:r>
    </w:p>
    <w:p>
      <w:pPr>
        <w:tabs>
          <w:tab w:pos="9469" w:val="left" w:leader="dot"/>
        </w:tabs>
        <w:spacing w:before="0"/>
        <w:ind w:left="320" w:right="0" w:firstLine="0"/>
        <w:jc w:val="left"/>
        <w:rPr>
          <w:sz w:val="20"/>
        </w:rPr>
      </w:pPr>
      <w:r>
        <w:rPr>
          <w:sz w:val="20"/>
        </w:rPr>
        <w:t>Table 7.1: Sample Calculation of Risk Score</w:t>
      </w:r>
      <w:r>
        <w:rPr>
          <w:spacing w:val="-17"/>
          <w:sz w:val="20"/>
        </w:rPr>
        <w:t> </w:t>
      </w:r>
      <w:r>
        <w:rPr>
          <w:sz w:val="20"/>
        </w:rPr>
        <w:t>by</w:t>
      </w:r>
      <w:r>
        <w:rPr>
          <w:spacing w:val="-3"/>
          <w:sz w:val="20"/>
        </w:rPr>
        <w:t> </w:t>
      </w:r>
      <w:r>
        <w:rPr>
          <w:sz w:val="20"/>
        </w:rPr>
        <w:t>Level</w:t>
        <w:tab/>
        <w:t>71</w:t>
      </w:r>
    </w:p>
    <w:p>
      <w:pPr>
        <w:tabs>
          <w:tab w:pos="9469" w:val="left" w:leader="dot"/>
        </w:tabs>
        <w:spacing w:line="230" w:lineRule="exact" w:before="1"/>
        <w:ind w:left="320" w:right="0" w:firstLine="0"/>
        <w:jc w:val="left"/>
        <w:rPr>
          <w:sz w:val="20"/>
        </w:rPr>
      </w:pPr>
      <w:r>
        <w:rPr>
          <w:sz w:val="20"/>
        </w:rPr>
        <w:t>Table 7.2: Pedestrian Segment</w:t>
      </w:r>
      <w:r>
        <w:rPr>
          <w:spacing w:val="-11"/>
          <w:sz w:val="20"/>
        </w:rPr>
        <w:t> </w:t>
      </w:r>
      <w:r>
        <w:rPr>
          <w:sz w:val="20"/>
        </w:rPr>
        <w:t>Risk</w:t>
      </w:r>
      <w:r>
        <w:rPr>
          <w:spacing w:val="-1"/>
          <w:sz w:val="20"/>
        </w:rPr>
        <w:t> </w:t>
      </w:r>
      <w:r>
        <w:rPr>
          <w:sz w:val="20"/>
        </w:rPr>
        <w:t>Scores</w:t>
        <w:tab/>
        <w:t>72</w:t>
      </w:r>
    </w:p>
    <w:p>
      <w:pPr>
        <w:tabs>
          <w:tab w:pos="9469" w:val="left" w:leader="dot"/>
        </w:tabs>
        <w:spacing w:line="230" w:lineRule="exact" w:before="0"/>
        <w:ind w:left="320" w:right="0" w:firstLine="0"/>
        <w:jc w:val="left"/>
        <w:rPr>
          <w:sz w:val="20"/>
        </w:rPr>
      </w:pPr>
      <w:r>
        <w:rPr>
          <w:sz w:val="20"/>
        </w:rPr>
        <w:t>Table 7.3: Pedestrian Intersection</w:t>
      </w:r>
      <w:r>
        <w:rPr>
          <w:spacing w:val="-13"/>
          <w:sz w:val="20"/>
        </w:rPr>
        <w:t> </w:t>
      </w:r>
      <w:r>
        <w:rPr>
          <w:sz w:val="20"/>
        </w:rPr>
        <w:t>Risk</w:t>
      </w:r>
      <w:r>
        <w:rPr>
          <w:spacing w:val="-4"/>
          <w:sz w:val="20"/>
        </w:rPr>
        <w:t> </w:t>
      </w:r>
      <w:r>
        <w:rPr>
          <w:sz w:val="20"/>
        </w:rPr>
        <w:t>Scores</w:t>
        <w:tab/>
        <w:t>73</w:t>
      </w:r>
    </w:p>
    <w:p>
      <w:pPr>
        <w:tabs>
          <w:tab w:pos="9469" w:val="left" w:leader="dot"/>
        </w:tabs>
        <w:spacing w:before="0"/>
        <w:ind w:left="320" w:right="0" w:firstLine="0"/>
        <w:jc w:val="left"/>
        <w:rPr>
          <w:sz w:val="20"/>
        </w:rPr>
      </w:pPr>
      <w:r>
        <w:rPr>
          <w:sz w:val="20"/>
        </w:rPr>
        <w:t>Table 7.4: Bicycle Segment</w:t>
      </w:r>
      <w:r>
        <w:rPr>
          <w:spacing w:val="-11"/>
          <w:sz w:val="20"/>
        </w:rPr>
        <w:t> </w:t>
      </w:r>
      <w:r>
        <w:rPr>
          <w:sz w:val="20"/>
        </w:rPr>
        <w:t>Risk</w:t>
      </w:r>
      <w:r>
        <w:rPr>
          <w:spacing w:val="-2"/>
          <w:sz w:val="20"/>
        </w:rPr>
        <w:t> </w:t>
      </w:r>
      <w:r>
        <w:rPr>
          <w:sz w:val="20"/>
        </w:rPr>
        <w:t>Scores</w:t>
        <w:tab/>
        <w:t>74</w:t>
      </w:r>
    </w:p>
    <w:p>
      <w:pPr>
        <w:tabs>
          <w:tab w:pos="9469" w:val="left" w:leader="dot"/>
        </w:tabs>
        <w:spacing w:line="230" w:lineRule="exact" w:before="1"/>
        <w:ind w:left="320" w:right="0" w:firstLine="0"/>
        <w:jc w:val="left"/>
        <w:rPr>
          <w:sz w:val="20"/>
        </w:rPr>
      </w:pPr>
      <w:r>
        <w:rPr>
          <w:sz w:val="20"/>
        </w:rPr>
        <w:t>Table 7.5: Bicycle Intersection</w:t>
      </w:r>
      <w:r>
        <w:rPr>
          <w:spacing w:val="-11"/>
          <w:sz w:val="20"/>
        </w:rPr>
        <w:t> </w:t>
      </w:r>
      <w:r>
        <w:rPr>
          <w:sz w:val="20"/>
        </w:rPr>
        <w:t>Risk</w:t>
      </w:r>
      <w:r>
        <w:rPr>
          <w:spacing w:val="-3"/>
          <w:sz w:val="20"/>
        </w:rPr>
        <w:t> </w:t>
      </w:r>
      <w:r>
        <w:rPr>
          <w:sz w:val="20"/>
        </w:rPr>
        <w:t>Scores</w:t>
        <w:tab/>
        <w:t>75</w:t>
      </w:r>
    </w:p>
    <w:p>
      <w:pPr>
        <w:tabs>
          <w:tab w:pos="9469" w:val="left" w:leader="dot"/>
        </w:tabs>
        <w:spacing w:line="230" w:lineRule="exact" w:before="0"/>
        <w:ind w:left="320" w:right="0" w:firstLine="0"/>
        <w:jc w:val="left"/>
        <w:rPr>
          <w:sz w:val="20"/>
        </w:rPr>
      </w:pPr>
      <w:r>
        <w:rPr>
          <w:sz w:val="20"/>
        </w:rPr>
        <w:t>Table 7.6:</w:t>
      </w:r>
      <w:r>
        <w:rPr>
          <w:spacing w:val="-7"/>
          <w:sz w:val="20"/>
        </w:rPr>
        <w:t> </w:t>
      </w:r>
      <w:r>
        <w:rPr>
          <w:sz w:val="20"/>
        </w:rPr>
        <w:t>Risk-Score</w:t>
      </w:r>
      <w:r>
        <w:rPr>
          <w:spacing w:val="-3"/>
          <w:sz w:val="20"/>
        </w:rPr>
        <w:t> </w:t>
      </w:r>
      <w:r>
        <w:rPr>
          <w:sz w:val="20"/>
        </w:rPr>
        <w:t>Distribution</w:t>
        <w:tab/>
        <w:t>75</w:t>
      </w:r>
    </w:p>
    <w:p>
      <w:pPr>
        <w:tabs>
          <w:tab w:pos="9469" w:val="left" w:leader="dot"/>
        </w:tabs>
        <w:spacing w:before="0"/>
        <w:ind w:left="320" w:right="0" w:firstLine="0"/>
        <w:jc w:val="left"/>
        <w:rPr>
          <w:sz w:val="20"/>
        </w:rPr>
      </w:pPr>
      <w:r>
        <w:rPr>
          <w:sz w:val="20"/>
        </w:rPr>
        <w:t>Table 8.1: Validation List of Pedestrian Intersection</w:t>
      </w:r>
      <w:r>
        <w:rPr>
          <w:spacing w:val="-23"/>
          <w:sz w:val="20"/>
        </w:rPr>
        <w:t> </w:t>
      </w:r>
      <w:r>
        <w:rPr>
          <w:sz w:val="20"/>
        </w:rPr>
        <w:t>Risk</w:t>
      </w:r>
      <w:r>
        <w:rPr>
          <w:spacing w:val="-3"/>
          <w:sz w:val="20"/>
        </w:rPr>
        <w:t> </w:t>
      </w:r>
      <w:r>
        <w:rPr>
          <w:sz w:val="20"/>
        </w:rPr>
        <w:t>Score</w:t>
        <w:tab/>
        <w:t>77</w:t>
      </w:r>
    </w:p>
    <w:p>
      <w:pPr>
        <w:tabs>
          <w:tab w:pos="9469" w:val="left" w:leader="dot"/>
        </w:tabs>
        <w:spacing w:line="230" w:lineRule="exact" w:before="0"/>
        <w:ind w:left="320" w:right="0" w:firstLine="0"/>
        <w:jc w:val="left"/>
        <w:rPr>
          <w:sz w:val="20"/>
        </w:rPr>
      </w:pPr>
      <w:r>
        <w:rPr>
          <w:sz w:val="20"/>
        </w:rPr>
        <w:t>Table 8.2: Detailed Information of Intersection River Road @ Sam</w:t>
      </w:r>
      <w:r>
        <w:rPr>
          <w:spacing w:val="-27"/>
          <w:sz w:val="20"/>
        </w:rPr>
        <w:t> </w:t>
      </w:r>
      <w:r>
        <w:rPr>
          <w:sz w:val="20"/>
        </w:rPr>
        <w:t>Orcutt</w:t>
      </w:r>
      <w:r>
        <w:rPr>
          <w:spacing w:val="-3"/>
          <w:sz w:val="20"/>
        </w:rPr>
        <w:t> </w:t>
      </w:r>
      <w:r>
        <w:rPr>
          <w:sz w:val="20"/>
        </w:rPr>
        <w:t>Way</w:t>
        <w:tab/>
        <w:t>78</w:t>
      </w:r>
    </w:p>
    <w:p>
      <w:pPr>
        <w:tabs>
          <w:tab w:pos="9469" w:val="left" w:leader="dot"/>
        </w:tabs>
        <w:spacing w:line="230" w:lineRule="exact" w:before="0"/>
        <w:ind w:left="320" w:right="0" w:firstLine="0"/>
        <w:jc w:val="left"/>
        <w:rPr>
          <w:sz w:val="20"/>
        </w:rPr>
      </w:pPr>
      <w:r>
        <w:rPr>
          <w:sz w:val="20"/>
        </w:rPr>
        <w:t>Table 8.3: Risk Scores of Five Pedestrian</w:t>
      </w:r>
      <w:r>
        <w:rPr>
          <w:spacing w:val="-22"/>
          <w:sz w:val="20"/>
        </w:rPr>
        <w:t> </w:t>
      </w:r>
      <w:r>
        <w:rPr>
          <w:sz w:val="20"/>
        </w:rPr>
        <w:t>Intersection</w:t>
      </w:r>
      <w:r>
        <w:rPr>
          <w:spacing w:val="-3"/>
          <w:sz w:val="20"/>
        </w:rPr>
        <w:t> </w:t>
      </w:r>
      <w:r>
        <w:rPr>
          <w:sz w:val="20"/>
        </w:rPr>
        <w:t>Projects</w:t>
        <w:tab/>
        <w:t>78</w:t>
      </w:r>
    </w:p>
    <w:p>
      <w:pPr>
        <w:tabs>
          <w:tab w:pos="9469" w:val="left" w:leader="dot"/>
        </w:tabs>
        <w:spacing w:before="1"/>
        <w:ind w:left="320" w:right="0" w:firstLine="0"/>
        <w:jc w:val="left"/>
        <w:rPr>
          <w:sz w:val="20"/>
        </w:rPr>
      </w:pPr>
      <w:r>
        <w:rPr>
          <w:sz w:val="20"/>
        </w:rPr>
        <w:t>Table 8.4: Risk Scores of Five Intersection Projects</w:t>
      </w:r>
      <w:r>
        <w:rPr>
          <w:spacing w:val="-24"/>
          <w:sz w:val="20"/>
        </w:rPr>
        <w:t> </w:t>
      </w:r>
      <w:r>
        <w:rPr>
          <w:sz w:val="20"/>
        </w:rPr>
        <w:t>for</w:t>
      </w:r>
      <w:r>
        <w:rPr>
          <w:spacing w:val="-3"/>
          <w:sz w:val="20"/>
        </w:rPr>
        <w:t> </w:t>
      </w:r>
      <w:r>
        <w:rPr>
          <w:sz w:val="20"/>
        </w:rPr>
        <w:t>Bicycles</w:t>
        <w:tab/>
        <w:t>79</w:t>
      </w:r>
    </w:p>
    <w:p>
      <w:pPr>
        <w:tabs>
          <w:tab w:pos="9469" w:val="left" w:leader="dot"/>
        </w:tabs>
        <w:spacing w:line="230" w:lineRule="exact" w:before="0"/>
        <w:ind w:left="320" w:right="0" w:firstLine="0"/>
        <w:jc w:val="left"/>
        <w:rPr>
          <w:sz w:val="20"/>
        </w:rPr>
      </w:pPr>
      <w:r>
        <w:rPr>
          <w:sz w:val="20"/>
        </w:rPr>
        <w:t>Table 8.5: Segment Project for Pedestrian Segment</w:t>
      </w:r>
      <w:r>
        <w:rPr>
          <w:spacing w:val="-28"/>
          <w:sz w:val="20"/>
        </w:rPr>
        <w:t> </w:t>
      </w:r>
      <w:r>
        <w:rPr>
          <w:sz w:val="20"/>
        </w:rPr>
        <w:t>Risk-Score</w:t>
      </w:r>
      <w:r>
        <w:rPr>
          <w:spacing w:val="-3"/>
          <w:sz w:val="20"/>
        </w:rPr>
        <w:t> </w:t>
      </w:r>
      <w:r>
        <w:rPr>
          <w:sz w:val="20"/>
        </w:rPr>
        <w:t>Validation</w:t>
        <w:tab/>
        <w:t>79</w:t>
      </w:r>
    </w:p>
    <w:p>
      <w:pPr>
        <w:tabs>
          <w:tab w:pos="9469" w:val="left" w:leader="dot"/>
        </w:tabs>
        <w:spacing w:line="230" w:lineRule="exact" w:before="0"/>
        <w:ind w:left="320" w:right="0" w:firstLine="0"/>
        <w:jc w:val="left"/>
        <w:rPr>
          <w:sz w:val="20"/>
        </w:rPr>
      </w:pPr>
      <w:r>
        <w:rPr>
          <w:sz w:val="20"/>
        </w:rPr>
        <w:t>Table 8.6: Risk Scores of Validation Pedestrian</w:t>
      </w:r>
      <w:r>
        <w:rPr>
          <w:spacing w:val="-21"/>
          <w:sz w:val="20"/>
        </w:rPr>
        <w:t> </w:t>
      </w:r>
      <w:r>
        <w:rPr>
          <w:sz w:val="20"/>
        </w:rPr>
        <w:t>Segment</w:t>
      </w:r>
      <w:r>
        <w:rPr>
          <w:spacing w:val="-4"/>
          <w:sz w:val="20"/>
        </w:rPr>
        <w:t> </w:t>
      </w:r>
      <w:r>
        <w:rPr>
          <w:sz w:val="20"/>
        </w:rPr>
        <w:t>Projects</w:t>
        <w:tab/>
        <w:t>81</w:t>
      </w:r>
    </w:p>
    <w:p>
      <w:pPr>
        <w:tabs>
          <w:tab w:pos="9469" w:val="left" w:leader="dot"/>
        </w:tabs>
        <w:spacing w:before="1"/>
        <w:ind w:left="320" w:right="0" w:firstLine="0"/>
        <w:jc w:val="left"/>
        <w:rPr>
          <w:sz w:val="20"/>
        </w:rPr>
      </w:pPr>
      <w:r>
        <w:rPr>
          <w:sz w:val="20"/>
        </w:rPr>
        <w:t>Table 8.7: Risk Scores for Validation Segment</w:t>
      </w:r>
      <w:r>
        <w:rPr>
          <w:spacing w:val="-22"/>
          <w:sz w:val="20"/>
        </w:rPr>
        <w:t> </w:t>
      </w:r>
      <w:r>
        <w:rPr>
          <w:sz w:val="20"/>
        </w:rPr>
        <w:t>for</w:t>
      </w:r>
      <w:r>
        <w:rPr>
          <w:spacing w:val="-3"/>
          <w:sz w:val="20"/>
        </w:rPr>
        <w:t> </w:t>
      </w:r>
      <w:r>
        <w:rPr>
          <w:sz w:val="20"/>
        </w:rPr>
        <w:t>Bicycles</w:t>
        <w:tab/>
        <w:t>81</w:t>
      </w:r>
    </w:p>
    <w:p>
      <w:pPr>
        <w:spacing w:after="0"/>
        <w:jc w:val="left"/>
        <w:rPr>
          <w:sz w:val="20"/>
        </w:rPr>
        <w:sectPr>
          <w:pgSz w:w="12240" w:h="15840"/>
          <w:pgMar w:header="0" w:footer="709" w:top="1380" w:bottom="980" w:left="1120" w:right="0"/>
        </w:sectPr>
      </w:pPr>
    </w:p>
    <w:p>
      <w:pPr>
        <w:pStyle w:val="Heading3"/>
        <w:spacing w:line="320" w:lineRule="exact" w:before="60"/>
        <w:ind w:left="487" w:right="1606" w:firstLine="0"/>
        <w:jc w:val="center"/>
      </w:pPr>
      <w:r>
        <w:rPr/>
        <w:t>LIST OF FIGURES</w:t>
      </w:r>
    </w:p>
    <w:p>
      <w:pPr>
        <w:tabs>
          <w:tab w:pos="9570" w:val="left" w:leader="dot"/>
        </w:tabs>
        <w:spacing w:line="228" w:lineRule="exact" w:before="0"/>
        <w:ind w:left="320" w:right="0" w:firstLine="0"/>
        <w:jc w:val="left"/>
        <w:rPr>
          <w:sz w:val="20"/>
        </w:rPr>
      </w:pPr>
      <w:hyperlink w:history="true" w:anchor="_bookmark0">
        <w:r>
          <w:rPr>
            <w:sz w:val="20"/>
          </w:rPr>
          <w:t>Figure 1.1: Risk Matrix, Darker Shading Indicates Higher Risk</w:t>
        </w:r>
        <w:r>
          <w:rPr>
            <w:spacing w:val="-26"/>
            <w:sz w:val="20"/>
          </w:rPr>
          <w:t> </w:t>
        </w:r>
        <w:r>
          <w:rPr>
            <w:sz w:val="20"/>
          </w:rPr>
          <w:t>(</w:t>
        </w:r>
        <w:r>
          <w:rPr>
            <w:i/>
            <w:sz w:val="20"/>
          </w:rPr>
          <w:t>Berdica,</w:t>
        </w:r>
        <w:r>
          <w:rPr>
            <w:i/>
            <w:spacing w:val="-3"/>
            <w:sz w:val="20"/>
          </w:rPr>
          <w:t> </w:t>
        </w:r>
        <w:r>
          <w:rPr>
            <w:i/>
            <w:sz w:val="20"/>
          </w:rPr>
          <w:t>2002</w:t>
        </w:r>
        <w:r>
          <w:rPr>
            <w:sz w:val="20"/>
          </w:rPr>
          <w:t>)</w:t>
          <w:tab/>
          <w:t>1</w:t>
        </w:r>
      </w:hyperlink>
    </w:p>
    <w:p>
      <w:pPr>
        <w:tabs>
          <w:tab w:pos="9570" w:val="left" w:leader="dot"/>
        </w:tabs>
        <w:spacing w:before="0"/>
        <w:ind w:left="320" w:right="0" w:firstLine="0"/>
        <w:jc w:val="left"/>
        <w:rPr>
          <w:sz w:val="20"/>
        </w:rPr>
      </w:pPr>
      <w:hyperlink w:history="true" w:anchor="_bookmark1">
        <w:r>
          <w:rPr>
            <w:sz w:val="20"/>
          </w:rPr>
          <w:t>Figure 2.1: Systemic</w:t>
        </w:r>
        <w:r>
          <w:rPr>
            <w:spacing w:val="-8"/>
            <w:sz w:val="20"/>
          </w:rPr>
          <w:t> </w:t>
        </w:r>
        <w:r>
          <w:rPr>
            <w:sz w:val="20"/>
          </w:rPr>
          <w:t>Safety</w:t>
        </w:r>
        <w:r>
          <w:rPr>
            <w:spacing w:val="-3"/>
            <w:sz w:val="20"/>
          </w:rPr>
          <w:t> </w:t>
        </w:r>
        <w:r>
          <w:rPr>
            <w:sz w:val="20"/>
          </w:rPr>
          <w:t>Approach</w:t>
          <w:tab/>
          <w:t>4</w:t>
        </w:r>
      </w:hyperlink>
    </w:p>
    <w:p>
      <w:pPr>
        <w:tabs>
          <w:tab w:pos="9570" w:val="left" w:leader="dot"/>
        </w:tabs>
        <w:spacing w:line="230" w:lineRule="exact" w:before="1"/>
        <w:ind w:left="320" w:right="0" w:firstLine="0"/>
        <w:jc w:val="left"/>
        <w:rPr>
          <w:sz w:val="20"/>
        </w:rPr>
      </w:pPr>
      <w:hyperlink w:history="true" w:anchor="_bookmark2">
        <w:r>
          <w:rPr>
            <w:sz w:val="20"/>
          </w:rPr>
          <w:t>Figure</w:t>
        </w:r>
        <w:r>
          <w:rPr>
            <w:spacing w:val="-4"/>
            <w:sz w:val="20"/>
          </w:rPr>
          <w:t> </w:t>
        </w:r>
        <w:r>
          <w:rPr>
            <w:sz w:val="20"/>
          </w:rPr>
          <w:t>2.2:</w:t>
        </w:r>
        <w:r>
          <w:rPr>
            <w:spacing w:val="-3"/>
            <w:sz w:val="20"/>
          </w:rPr>
          <w:t> </w:t>
        </w:r>
        <w:r>
          <w:rPr>
            <w:sz w:val="20"/>
          </w:rPr>
          <w:t>Example</w:t>
        </w:r>
        <w:r>
          <w:rPr>
            <w:spacing w:val="-2"/>
            <w:sz w:val="20"/>
          </w:rPr>
          <w:t> </w:t>
        </w:r>
        <w:r>
          <w:rPr>
            <w:sz w:val="20"/>
          </w:rPr>
          <w:t>of</w:t>
        </w:r>
        <w:r>
          <w:rPr>
            <w:spacing w:val="-3"/>
            <w:sz w:val="20"/>
          </w:rPr>
          <w:t> </w:t>
        </w:r>
        <w:r>
          <w:rPr>
            <w:sz w:val="20"/>
          </w:rPr>
          <w:t>NYSDOT:</w:t>
        </w:r>
        <w:r>
          <w:rPr>
            <w:spacing w:val="-4"/>
            <w:sz w:val="20"/>
          </w:rPr>
          <w:t> </w:t>
        </w:r>
        <w:r>
          <w:rPr>
            <w:sz w:val="20"/>
          </w:rPr>
          <w:t>Curve</w:t>
        </w:r>
        <w:r>
          <w:rPr>
            <w:spacing w:val="-3"/>
            <w:sz w:val="20"/>
          </w:rPr>
          <w:t> </w:t>
        </w:r>
        <w:r>
          <w:rPr>
            <w:sz w:val="20"/>
          </w:rPr>
          <w:t>Radii</w:t>
        </w:r>
        <w:r>
          <w:rPr>
            <w:spacing w:val="-3"/>
            <w:sz w:val="20"/>
          </w:rPr>
          <w:t> </w:t>
        </w:r>
        <w:r>
          <w:rPr>
            <w:sz w:val="20"/>
          </w:rPr>
          <w:t>as</w:t>
        </w:r>
        <w:r>
          <w:rPr>
            <w:spacing w:val="-2"/>
            <w:sz w:val="20"/>
          </w:rPr>
          <w:t> </w:t>
        </w:r>
        <w:r>
          <w:rPr>
            <w:sz w:val="20"/>
          </w:rPr>
          <w:t>a</w:t>
        </w:r>
        <w:r>
          <w:rPr>
            <w:spacing w:val="-2"/>
            <w:sz w:val="20"/>
          </w:rPr>
          <w:t> </w:t>
        </w:r>
        <w:r>
          <w:rPr>
            <w:sz w:val="20"/>
          </w:rPr>
          <w:t>Risk-Factor</w:t>
        </w:r>
        <w:r>
          <w:rPr>
            <w:spacing w:val="-3"/>
            <w:sz w:val="20"/>
          </w:rPr>
          <w:t> </w:t>
        </w:r>
        <w:r>
          <w:rPr>
            <w:sz w:val="20"/>
          </w:rPr>
          <w:t>Evaluation</w:t>
        </w:r>
        <w:r>
          <w:rPr>
            <w:spacing w:val="-3"/>
            <w:sz w:val="20"/>
          </w:rPr>
          <w:t> </w:t>
        </w:r>
        <w:r>
          <w:rPr>
            <w:sz w:val="20"/>
          </w:rPr>
          <w:t>for</w:t>
        </w:r>
        <w:r>
          <w:rPr>
            <w:spacing w:val="-3"/>
            <w:sz w:val="20"/>
          </w:rPr>
          <w:t> </w:t>
        </w:r>
        <w:r>
          <w:rPr>
            <w:sz w:val="20"/>
          </w:rPr>
          <w:t>Rural</w:t>
        </w:r>
        <w:r>
          <w:rPr>
            <w:spacing w:val="-3"/>
            <w:sz w:val="20"/>
          </w:rPr>
          <w:t> </w:t>
        </w:r>
        <w:r>
          <w:rPr>
            <w:sz w:val="20"/>
          </w:rPr>
          <w:t>Undivided</w:t>
        </w:r>
        <w:r>
          <w:rPr>
            <w:spacing w:val="-3"/>
            <w:sz w:val="20"/>
          </w:rPr>
          <w:t> </w:t>
        </w:r>
        <w:r>
          <w:rPr>
            <w:sz w:val="20"/>
          </w:rPr>
          <w:t>Highways</w:t>
          <w:tab/>
          <w:t>5</w:t>
        </w:r>
      </w:hyperlink>
    </w:p>
    <w:p>
      <w:pPr>
        <w:tabs>
          <w:tab w:pos="9570" w:val="left" w:leader="dot"/>
        </w:tabs>
        <w:spacing w:line="230" w:lineRule="exact" w:before="0"/>
        <w:ind w:left="320" w:right="0" w:firstLine="0"/>
        <w:jc w:val="left"/>
        <w:rPr>
          <w:sz w:val="20"/>
        </w:rPr>
      </w:pPr>
      <w:hyperlink w:history="true" w:anchor="_bookmark3">
        <w:r>
          <w:rPr>
            <w:sz w:val="20"/>
          </w:rPr>
          <w:t>Figure 2.3: Preliminary Relative Risk Scores and Star-Rating Criteria for Head-On</w:t>
        </w:r>
        <w:r>
          <w:rPr>
            <w:spacing w:val="-35"/>
            <w:sz w:val="20"/>
          </w:rPr>
          <w:t> </w:t>
        </w:r>
        <w:r>
          <w:rPr>
            <w:sz w:val="20"/>
          </w:rPr>
          <w:t>Crashes</w:t>
        </w:r>
        <w:r>
          <w:rPr>
            <w:spacing w:val="-4"/>
            <w:sz w:val="20"/>
          </w:rPr>
          <w:t> </w:t>
        </w:r>
        <w:r>
          <w:rPr>
            <w:sz w:val="20"/>
          </w:rPr>
          <w:t>(USRAP)</w:t>
          <w:tab/>
          <w:t>6</w:t>
        </w:r>
      </w:hyperlink>
    </w:p>
    <w:p>
      <w:pPr>
        <w:tabs>
          <w:tab w:pos="9570" w:val="left" w:leader="dot"/>
        </w:tabs>
        <w:spacing w:before="0"/>
        <w:ind w:left="320" w:right="0" w:firstLine="0"/>
        <w:jc w:val="left"/>
        <w:rPr>
          <w:sz w:val="20"/>
        </w:rPr>
      </w:pPr>
      <w:hyperlink w:history="true" w:anchor="_bookmark4">
        <w:r>
          <w:rPr>
            <w:sz w:val="20"/>
          </w:rPr>
          <w:t>Figure 2.4: Star-Rating Map for Southeast Iowa Using USRAP</w:t>
        </w:r>
        <w:r>
          <w:rPr>
            <w:spacing w:val="-23"/>
            <w:sz w:val="20"/>
          </w:rPr>
          <w:t> </w:t>
        </w:r>
        <w:r>
          <w:rPr>
            <w:sz w:val="20"/>
          </w:rPr>
          <w:t>RPS</w:t>
        </w:r>
        <w:r>
          <w:rPr>
            <w:spacing w:val="-2"/>
            <w:sz w:val="20"/>
          </w:rPr>
          <w:t> </w:t>
        </w:r>
        <w:r>
          <w:rPr>
            <w:sz w:val="20"/>
          </w:rPr>
          <w:t>Criteria</w:t>
          <w:tab/>
          <w:t>6</w:t>
        </w:r>
      </w:hyperlink>
    </w:p>
    <w:p>
      <w:pPr>
        <w:tabs>
          <w:tab w:pos="9469" w:val="left" w:leader="dot"/>
        </w:tabs>
        <w:spacing w:line="230" w:lineRule="exact" w:before="1"/>
        <w:ind w:left="320" w:right="0" w:firstLine="0"/>
        <w:jc w:val="left"/>
        <w:rPr>
          <w:sz w:val="20"/>
        </w:rPr>
      </w:pPr>
      <w:hyperlink w:history="true" w:anchor="_bookmark8">
        <w:r>
          <w:rPr>
            <w:sz w:val="20"/>
          </w:rPr>
          <w:t>Figure 2.5: Combined Overall Safety Project Prioritization for</w:t>
        </w:r>
        <w:r>
          <w:rPr>
            <w:spacing w:val="-27"/>
            <w:sz w:val="20"/>
          </w:rPr>
          <w:t> </w:t>
        </w:r>
        <w:r>
          <w:rPr>
            <w:sz w:val="20"/>
          </w:rPr>
          <w:t>Gastonia,</w:t>
        </w:r>
        <w:r>
          <w:rPr>
            <w:spacing w:val="-3"/>
            <w:sz w:val="20"/>
          </w:rPr>
          <w:t> </w:t>
        </w:r>
        <w:r>
          <w:rPr>
            <w:sz w:val="20"/>
          </w:rPr>
          <w:t>N.C.</w:t>
          <w:tab/>
          <w:t>10</w:t>
        </w:r>
      </w:hyperlink>
    </w:p>
    <w:p>
      <w:pPr>
        <w:tabs>
          <w:tab w:pos="9469" w:val="left" w:leader="dot"/>
        </w:tabs>
        <w:spacing w:line="230" w:lineRule="exact" w:before="0"/>
        <w:ind w:left="320" w:right="0" w:firstLine="0"/>
        <w:jc w:val="left"/>
        <w:rPr>
          <w:sz w:val="20"/>
        </w:rPr>
      </w:pPr>
      <w:hyperlink w:history="true" w:anchor="_bookmark9">
        <w:r>
          <w:rPr>
            <w:sz w:val="20"/>
          </w:rPr>
          <w:t>Figure 2.6: Salem Low-Stress</w:t>
        </w:r>
        <w:r>
          <w:rPr>
            <w:spacing w:val="-13"/>
            <w:sz w:val="20"/>
          </w:rPr>
          <w:t> </w:t>
        </w:r>
        <w:r>
          <w:rPr>
            <w:sz w:val="20"/>
          </w:rPr>
          <w:t>Bicycle</w:t>
        </w:r>
        <w:r>
          <w:rPr>
            <w:spacing w:val="-2"/>
            <w:sz w:val="20"/>
          </w:rPr>
          <w:t> </w:t>
        </w:r>
        <w:r>
          <w:rPr>
            <w:sz w:val="20"/>
          </w:rPr>
          <w:t>Network</w:t>
          <w:tab/>
          <w:t>13</w:t>
        </w:r>
      </w:hyperlink>
    </w:p>
    <w:p>
      <w:pPr>
        <w:tabs>
          <w:tab w:pos="9469" w:val="left" w:leader="dot"/>
        </w:tabs>
        <w:spacing w:before="0"/>
        <w:ind w:left="799" w:right="1446" w:hanging="480"/>
        <w:jc w:val="left"/>
        <w:rPr>
          <w:sz w:val="20"/>
        </w:rPr>
      </w:pPr>
      <w:hyperlink w:history="true" w:anchor="_bookmark10">
        <w:r>
          <w:rPr>
            <w:sz w:val="20"/>
          </w:rPr>
          <w:t>Figure 2.7: Geospatial Correlation of Bicycle LTS (color coded) and Bicycle Crashes (circular dots), Analysis of</w:t>
        </w:r>
      </w:hyperlink>
      <w:r>
        <w:rPr>
          <w:sz w:val="20"/>
        </w:rPr>
        <w:t> </w:t>
      </w:r>
      <w:hyperlink w:history="true" w:anchor="_bookmark10">
        <w:r>
          <w:rPr>
            <w:sz w:val="20"/>
          </w:rPr>
          <w:t>New</w:t>
        </w:r>
        <w:r>
          <w:rPr>
            <w:spacing w:val="-3"/>
            <w:sz w:val="20"/>
          </w:rPr>
          <w:t> </w:t>
        </w:r>
        <w:r>
          <w:rPr>
            <w:sz w:val="20"/>
          </w:rPr>
          <w:t>Hampshire</w:t>
        </w:r>
        <w:r>
          <w:rPr>
            <w:spacing w:val="-1"/>
            <w:sz w:val="20"/>
          </w:rPr>
          <w:t> </w:t>
        </w:r>
        <w:r>
          <w:rPr>
            <w:sz w:val="20"/>
          </w:rPr>
          <w:t>Data</w:t>
          <w:tab/>
        </w:r>
        <w:r>
          <w:rPr>
            <w:spacing w:val="-8"/>
            <w:sz w:val="20"/>
          </w:rPr>
          <w:t>13</w:t>
        </w:r>
      </w:hyperlink>
    </w:p>
    <w:p>
      <w:pPr>
        <w:tabs>
          <w:tab w:pos="9469" w:val="left" w:leader="dot"/>
        </w:tabs>
        <w:spacing w:line="230" w:lineRule="exact" w:before="0"/>
        <w:ind w:left="320" w:right="0" w:firstLine="0"/>
        <w:jc w:val="left"/>
        <w:rPr>
          <w:sz w:val="20"/>
        </w:rPr>
      </w:pPr>
      <w:hyperlink w:history="true" w:anchor="_bookmark11">
        <w:r>
          <w:rPr>
            <w:sz w:val="20"/>
          </w:rPr>
          <w:t>Figure 3.1: Filtered Functionally Classified Roadways Clipped to</w:t>
        </w:r>
        <w:r>
          <w:rPr>
            <w:spacing w:val="-26"/>
            <w:sz w:val="20"/>
          </w:rPr>
          <w:t> </w:t>
        </w:r>
        <w:r>
          <w:rPr>
            <w:sz w:val="20"/>
          </w:rPr>
          <w:t>Urban</w:t>
        </w:r>
        <w:r>
          <w:rPr>
            <w:spacing w:val="-3"/>
            <w:sz w:val="20"/>
          </w:rPr>
          <w:t> </w:t>
        </w:r>
        <w:r>
          <w:rPr>
            <w:sz w:val="20"/>
          </w:rPr>
          <w:t>Areas</w:t>
          <w:tab/>
          <w:t>32</w:t>
        </w:r>
      </w:hyperlink>
    </w:p>
    <w:p>
      <w:pPr>
        <w:tabs>
          <w:tab w:pos="9469" w:val="left" w:leader="dot"/>
        </w:tabs>
        <w:spacing w:line="230" w:lineRule="exact" w:before="0"/>
        <w:ind w:left="320" w:right="0" w:firstLine="0"/>
        <w:jc w:val="left"/>
        <w:rPr>
          <w:sz w:val="20"/>
        </w:rPr>
      </w:pPr>
      <w:hyperlink w:history="true" w:anchor="_bookmark12">
        <w:r>
          <w:rPr>
            <w:sz w:val="20"/>
          </w:rPr>
          <w:t>Figure 3.2: Filtered Roadways with Pedestrian and Bicycle Crashes Shown, 2009-2013,</w:t>
        </w:r>
        <w:r>
          <w:rPr>
            <w:spacing w:val="-31"/>
            <w:sz w:val="20"/>
          </w:rPr>
          <w:t> </w:t>
        </w:r>
        <w:r>
          <w:rPr>
            <w:sz w:val="20"/>
          </w:rPr>
          <w:t>Bend</w:t>
        </w:r>
        <w:r>
          <w:rPr>
            <w:spacing w:val="-4"/>
            <w:sz w:val="20"/>
          </w:rPr>
          <w:t> </w:t>
        </w:r>
        <w:r>
          <w:rPr>
            <w:sz w:val="20"/>
          </w:rPr>
          <w:t>OR</w:t>
          <w:tab/>
          <w:t>33</w:t>
        </w:r>
      </w:hyperlink>
    </w:p>
    <w:p>
      <w:pPr>
        <w:tabs>
          <w:tab w:pos="9469" w:val="left" w:leader="dot"/>
        </w:tabs>
        <w:spacing w:line="230" w:lineRule="exact" w:before="0"/>
        <w:ind w:left="320" w:right="0" w:firstLine="0"/>
        <w:jc w:val="left"/>
        <w:rPr>
          <w:sz w:val="20"/>
        </w:rPr>
      </w:pPr>
      <w:hyperlink w:history="true" w:anchor="_bookmark19">
        <w:r>
          <w:rPr>
            <w:sz w:val="20"/>
          </w:rPr>
          <w:t>Figure 3.3: Neighborhood Concepts (Curran et</w:t>
        </w:r>
        <w:r>
          <w:rPr>
            <w:spacing w:val="-16"/>
            <w:sz w:val="20"/>
          </w:rPr>
          <w:t> </w:t>
        </w:r>
        <w:r>
          <w:rPr>
            <w:sz w:val="20"/>
          </w:rPr>
          <w:t>al.,</w:t>
        </w:r>
        <w:r>
          <w:rPr>
            <w:spacing w:val="-3"/>
            <w:sz w:val="20"/>
          </w:rPr>
          <w:t> </w:t>
        </w:r>
        <w:r>
          <w:rPr>
            <w:sz w:val="20"/>
          </w:rPr>
          <w:t>2014)</w:t>
          <w:tab/>
          <w:t>38</w:t>
        </w:r>
      </w:hyperlink>
    </w:p>
    <w:p>
      <w:pPr>
        <w:tabs>
          <w:tab w:pos="9469" w:val="left" w:leader="dot"/>
        </w:tabs>
        <w:spacing w:before="1"/>
        <w:ind w:left="320" w:right="0" w:firstLine="0"/>
        <w:jc w:val="left"/>
        <w:rPr>
          <w:sz w:val="20"/>
        </w:rPr>
      </w:pPr>
      <w:hyperlink w:history="true" w:anchor="_bookmark20">
        <w:r>
          <w:rPr>
            <w:sz w:val="20"/>
          </w:rPr>
          <w:t>Figure 3.4: Sample Images Showing GIS</w:t>
        </w:r>
        <w:r>
          <w:rPr>
            <w:spacing w:val="-17"/>
            <w:sz w:val="20"/>
          </w:rPr>
          <w:t> </w:t>
        </w:r>
        <w:r>
          <w:rPr>
            <w:sz w:val="20"/>
          </w:rPr>
          <w:t>Network</w:t>
        </w:r>
        <w:r>
          <w:rPr>
            <w:spacing w:val="-3"/>
            <w:sz w:val="20"/>
          </w:rPr>
          <w:t> </w:t>
        </w:r>
        <w:r>
          <w:rPr>
            <w:sz w:val="20"/>
          </w:rPr>
          <w:t>Information</w:t>
          <w:tab/>
          <w:t>39</w:t>
        </w:r>
      </w:hyperlink>
    </w:p>
    <w:p>
      <w:pPr>
        <w:tabs>
          <w:tab w:pos="9469" w:val="left" w:leader="dot"/>
        </w:tabs>
        <w:spacing w:before="0"/>
        <w:ind w:left="320" w:right="1446" w:firstLine="0"/>
        <w:jc w:val="left"/>
        <w:rPr>
          <w:sz w:val="20"/>
        </w:rPr>
      </w:pPr>
      <w:hyperlink w:history="true" w:anchor="_bookmark21">
        <w:r>
          <w:rPr>
            <w:sz w:val="20"/>
          </w:rPr>
          <w:t>Figure 3.5: STRAVA Cyclist Count in Oregon (left) and in Portland Metropolitan Area (right) (STRAVA, 2016b)40</w:t>
        </w:r>
      </w:hyperlink>
      <w:r>
        <w:rPr>
          <w:sz w:val="20"/>
        </w:rPr>
        <w:t> </w:t>
      </w:r>
      <w:hyperlink w:history="true" w:anchor="_bookmark22">
        <w:r>
          <w:rPr>
            <w:sz w:val="20"/>
          </w:rPr>
          <w:t>Figure 3.6: Multiple Bike Links on the Same Segment in Portland</w:t>
        </w:r>
        <w:r>
          <w:rPr>
            <w:spacing w:val="-26"/>
            <w:sz w:val="20"/>
          </w:rPr>
          <w:t> </w:t>
        </w:r>
        <w:r>
          <w:rPr>
            <w:sz w:val="20"/>
          </w:rPr>
          <w:t>Downtown</w:t>
        </w:r>
        <w:r>
          <w:rPr>
            <w:spacing w:val="-2"/>
            <w:sz w:val="20"/>
          </w:rPr>
          <w:t> </w:t>
        </w:r>
        <w:r>
          <w:rPr>
            <w:sz w:val="20"/>
          </w:rPr>
          <w:t>Area</w:t>
          <w:tab/>
        </w:r>
        <w:r>
          <w:rPr>
            <w:spacing w:val="-8"/>
            <w:sz w:val="20"/>
          </w:rPr>
          <w:t>41</w:t>
        </w:r>
      </w:hyperlink>
    </w:p>
    <w:p>
      <w:pPr>
        <w:tabs>
          <w:tab w:pos="9469" w:val="left" w:leader="dot"/>
        </w:tabs>
        <w:spacing w:line="230" w:lineRule="exact" w:before="0"/>
        <w:ind w:left="320" w:right="0" w:firstLine="0"/>
        <w:jc w:val="left"/>
        <w:rPr>
          <w:sz w:val="20"/>
        </w:rPr>
      </w:pPr>
      <w:hyperlink w:history="true" w:anchor="_bookmark23">
        <w:r>
          <w:rPr>
            <w:sz w:val="20"/>
          </w:rPr>
          <w:t>Figure 3.7: Intersection Crashes Counted within a 250-Foot</w:t>
        </w:r>
        <w:r>
          <w:rPr>
            <w:spacing w:val="-25"/>
            <w:sz w:val="20"/>
          </w:rPr>
          <w:t> </w:t>
        </w:r>
        <w:r>
          <w:rPr>
            <w:sz w:val="20"/>
          </w:rPr>
          <w:t>Buffer</w:t>
        </w:r>
        <w:r>
          <w:rPr>
            <w:spacing w:val="-3"/>
            <w:sz w:val="20"/>
          </w:rPr>
          <w:t> </w:t>
        </w:r>
        <w:r>
          <w:rPr>
            <w:sz w:val="20"/>
          </w:rPr>
          <w:t>Distance</w:t>
          <w:tab/>
          <w:t>42</w:t>
        </w:r>
      </w:hyperlink>
    </w:p>
    <w:p>
      <w:pPr>
        <w:tabs>
          <w:tab w:pos="9469" w:val="left" w:leader="dot"/>
        </w:tabs>
        <w:spacing w:line="230" w:lineRule="exact" w:before="1"/>
        <w:ind w:left="320" w:right="0" w:firstLine="0"/>
        <w:jc w:val="left"/>
        <w:rPr>
          <w:sz w:val="20"/>
        </w:rPr>
      </w:pPr>
      <w:hyperlink w:history="true" w:anchor="_bookmark26">
        <w:r>
          <w:rPr>
            <w:sz w:val="20"/>
          </w:rPr>
          <w:t>Figure 4.1: Summary of Segment Categorical Data in Each Category</w:t>
        </w:r>
        <w:r>
          <w:rPr>
            <w:spacing w:val="-31"/>
            <w:sz w:val="20"/>
          </w:rPr>
          <w:t> </w:t>
        </w:r>
        <w:r>
          <w:rPr>
            <w:sz w:val="20"/>
          </w:rPr>
          <w:t>(No,</w:t>
        </w:r>
        <w:r>
          <w:rPr>
            <w:spacing w:val="-3"/>
            <w:sz w:val="20"/>
          </w:rPr>
          <w:t> </w:t>
        </w:r>
        <w:r>
          <w:rPr>
            <w:sz w:val="20"/>
          </w:rPr>
          <w:t>Yes)</w:t>
          <w:tab/>
          <w:t>45</w:t>
        </w:r>
      </w:hyperlink>
    </w:p>
    <w:p>
      <w:pPr>
        <w:tabs>
          <w:tab w:pos="9469" w:val="left" w:leader="dot"/>
        </w:tabs>
        <w:spacing w:line="230" w:lineRule="exact" w:before="0"/>
        <w:ind w:left="320" w:right="0" w:firstLine="0"/>
        <w:jc w:val="left"/>
        <w:rPr>
          <w:sz w:val="20"/>
        </w:rPr>
      </w:pPr>
      <w:hyperlink w:history="true" w:anchor="_bookmark27">
        <w:r>
          <w:rPr>
            <w:sz w:val="20"/>
          </w:rPr>
          <w:t>Figure 4.2: Graphical Summary of Segment Categorical Data,</w:t>
        </w:r>
        <w:r>
          <w:rPr>
            <w:spacing w:val="-26"/>
            <w:sz w:val="20"/>
          </w:rPr>
          <w:t> </w:t>
        </w:r>
        <w:r>
          <w:rPr>
            <w:sz w:val="20"/>
          </w:rPr>
          <w:t>Part</w:t>
        </w:r>
        <w:r>
          <w:rPr>
            <w:spacing w:val="-4"/>
            <w:sz w:val="20"/>
          </w:rPr>
          <w:t> </w:t>
        </w:r>
        <w:r>
          <w:rPr>
            <w:sz w:val="20"/>
          </w:rPr>
          <w:t>2</w:t>
          <w:tab/>
          <w:t>45</w:t>
        </w:r>
      </w:hyperlink>
    </w:p>
    <w:p>
      <w:pPr>
        <w:tabs>
          <w:tab w:pos="9469" w:val="left" w:leader="dot"/>
        </w:tabs>
        <w:spacing w:before="0"/>
        <w:ind w:left="320" w:right="0" w:firstLine="0"/>
        <w:jc w:val="left"/>
        <w:rPr>
          <w:sz w:val="20"/>
        </w:rPr>
      </w:pPr>
      <w:hyperlink w:history="true" w:anchor="_bookmark30">
        <w:r>
          <w:rPr>
            <w:sz w:val="20"/>
          </w:rPr>
          <w:t>Figure 4.3: Summary of Intersection Categorical Data in Each Category</w:t>
        </w:r>
        <w:r>
          <w:rPr>
            <w:spacing w:val="-29"/>
            <w:sz w:val="20"/>
          </w:rPr>
          <w:t> </w:t>
        </w:r>
        <w:r>
          <w:rPr>
            <w:sz w:val="20"/>
          </w:rPr>
          <w:t>(No,</w:t>
        </w:r>
        <w:r>
          <w:rPr>
            <w:spacing w:val="-3"/>
            <w:sz w:val="20"/>
          </w:rPr>
          <w:t> </w:t>
        </w:r>
        <w:r>
          <w:rPr>
            <w:sz w:val="20"/>
          </w:rPr>
          <w:t>Yes)</w:t>
          <w:tab/>
          <w:t>47</w:t>
        </w:r>
      </w:hyperlink>
    </w:p>
    <w:p>
      <w:pPr>
        <w:tabs>
          <w:tab w:pos="9469" w:val="left" w:leader="dot"/>
        </w:tabs>
        <w:spacing w:line="230" w:lineRule="exact" w:before="1"/>
        <w:ind w:left="320" w:right="0" w:firstLine="0"/>
        <w:jc w:val="left"/>
        <w:rPr>
          <w:sz w:val="20"/>
        </w:rPr>
      </w:pPr>
      <w:hyperlink w:history="true" w:anchor="_bookmark31">
        <w:r>
          <w:rPr>
            <w:sz w:val="20"/>
          </w:rPr>
          <w:t>Figure 4.4: Summary of Intersection Categorical Data,</w:t>
        </w:r>
        <w:r>
          <w:rPr>
            <w:spacing w:val="-20"/>
            <w:sz w:val="20"/>
          </w:rPr>
          <w:t> </w:t>
        </w:r>
        <w:r>
          <w:rPr>
            <w:sz w:val="20"/>
          </w:rPr>
          <w:t>Part</w:t>
        </w:r>
        <w:r>
          <w:rPr>
            <w:spacing w:val="-4"/>
            <w:sz w:val="20"/>
          </w:rPr>
          <w:t> </w:t>
        </w:r>
        <w:r>
          <w:rPr>
            <w:sz w:val="20"/>
          </w:rPr>
          <w:t>2</w:t>
          <w:tab/>
          <w:t>47</w:t>
        </w:r>
      </w:hyperlink>
    </w:p>
    <w:p>
      <w:pPr>
        <w:tabs>
          <w:tab w:pos="9469" w:val="left" w:leader="dot"/>
        </w:tabs>
        <w:spacing w:line="230" w:lineRule="exact" w:before="0"/>
        <w:ind w:left="320" w:right="0" w:firstLine="0"/>
        <w:jc w:val="left"/>
        <w:rPr>
          <w:sz w:val="20"/>
        </w:rPr>
      </w:pPr>
      <w:hyperlink w:history="true" w:anchor="_bookmark34">
        <w:r>
          <w:rPr>
            <w:sz w:val="20"/>
          </w:rPr>
          <w:t>Figure 4.5: Number of Segments by</w:t>
        </w:r>
        <w:r>
          <w:rPr>
            <w:spacing w:val="-18"/>
            <w:sz w:val="20"/>
          </w:rPr>
          <w:t> </w:t>
        </w:r>
        <w:r>
          <w:rPr>
            <w:sz w:val="20"/>
          </w:rPr>
          <w:t>Crash Frequency</w:t>
          <w:tab/>
          <w:t>50</w:t>
        </w:r>
      </w:hyperlink>
    </w:p>
    <w:p>
      <w:pPr>
        <w:tabs>
          <w:tab w:pos="9469" w:val="left" w:leader="dot"/>
        </w:tabs>
        <w:spacing w:before="0"/>
        <w:ind w:left="320" w:right="0" w:firstLine="0"/>
        <w:jc w:val="left"/>
        <w:rPr>
          <w:sz w:val="20"/>
        </w:rPr>
      </w:pPr>
      <w:hyperlink w:history="true" w:anchor="_bookmark35">
        <w:r>
          <w:rPr>
            <w:sz w:val="20"/>
          </w:rPr>
          <w:t>Figure 4.6: Number of Intersections by</w:t>
        </w:r>
        <w:r>
          <w:rPr>
            <w:spacing w:val="-19"/>
            <w:sz w:val="20"/>
          </w:rPr>
          <w:t> </w:t>
        </w:r>
        <w:r>
          <w:rPr>
            <w:sz w:val="20"/>
          </w:rPr>
          <w:t>Crash</w:t>
        </w:r>
        <w:r>
          <w:rPr>
            <w:spacing w:val="-1"/>
            <w:sz w:val="20"/>
          </w:rPr>
          <w:t> </w:t>
        </w:r>
        <w:r>
          <w:rPr>
            <w:sz w:val="20"/>
          </w:rPr>
          <w:t>Frequency</w:t>
          <w:tab/>
          <w:t>50</w:t>
        </w:r>
      </w:hyperlink>
    </w:p>
    <w:p>
      <w:pPr>
        <w:tabs>
          <w:tab w:pos="9469" w:val="left" w:leader="dot"/>
        </w:tabs>
        <w:spacing w:line="230" w:lineRule="exact" w:before="0"/>
        <w:ind w:left="320" w:right="0" w:firstLine="0"/>
        <w:jc w:val="left"/>
        <w:rPr>
          <w:sz w:val="20"/>
        </w:rPr>
      </w:pPr>
      <w:hyperlink w:history="true" w:anchor="_bookmark37">
        <w:r>
          <w:rPr>
            <w:sz w:val="20"/>
          </w:rPr>
          <w:t>Figure 4.7: Segment Crash Severity Level Distribution,</w:t>
        </w:r>
        <w:r>
          <w:rPr>
            <w:spacing w:val="-22"/>
            <w:sz w:val="20"/>
          </w:rPr>
          <w:t> </w:t>
        </w:r>
        <w:r>
          <w:rPr>
            <w:sz w:val="20"/>
          </w:rPr>
          <w:t>Five</w:t>
        </w:r>
        <w:r>
          <w:rPr>
            <w:spacing w:val="-3"/>
            <w:sz w:val="20"/>
          </w:rPr>
          <w:t> </w:t>
        </w:r>
        <w:r>
          <w:rPr>
            <w:sz w:val="20"/>
          </w:rPr>
          <w:t>Years</w:t>
          <w:tab/>
          <w:t>51</w:t>
        </w:r>
      </w:hyperlink>
    </w:p>
    <w:p>
      <w:pPr>
        <w:tabs>
          <w:tab w:pos="9469" w:val="left" w:leader="dot"/>
        </w:tabs>
        <w:spacing w:line="230" w:lineRule="exact" w:before="0"/>
        <w:ind w:left="320" w:right="0" w:firstLine="0"/>
        <w:jc w:val="left"/>
        <w:rPr>
          <w:sz w:val="20"/>
        </w:rPr>
      </w:pPr>
      <w:hyperlink w:history="true" w:anchor="_bookmark38">
        <w:r>
          <w:rPr>
            <w:sz w:val="20"/>
          </w:rPr>
          <w:t>Figure 4.8: Intersection Crash Severity Level Distribution,</w:t>
        </w:r>
        <w:r>
          <w:rPr>
            <w:spacing w:val="-23"/>
            <w:sz w:val="20"/>
          </w:rPr>
          <w:t> </w:t>
        </w:r>
        <w:r>
          <w:rPr>
            <w:sz w:val="20"/>
          </w:rPr>
          <w:t>Five</w:t>
        </w:r>
        <w:r>
          <w:rPr>
            <w:spacing w:val="-4"/>
            <w:sz w:val="20"/>
          </w:rPr>
          <w:t> </w:t>
        </w:r>
        <w:r>
          <w:rPr>
            <w:sz w:val="20"/>
          </w:rPr>
          <w:t>Years</w:t>
          <w:tab/>
          <w:t>51</w:t>
        </w:r>
      </w:hyperlink>
    </w:p>
    <w:p>
      <w:pPr>
        <w:tabs>
          <w:tab w:pos="9469" w:val="left" w:leader="dot"/>
        </w:tabs>
        <w:spacing w:before="1"/>
        <w:ind w:left="320" w:right="0" w:firstLine="0"/>
        <w:jc w:val="left"/>
        <w:rPr>
          <w:sz w:val="20"/>
        </w:rPr>
      </w:pPr>
      <w:hyperlink w:history="true" w:anchor="_bookmark39">
        <w:r>
          <w:rPr>
            <w:sz w:val="20"/>
          </w:rPr>
          <w:t>Figure 5.1: Standard</w:t>
        </w:r>
        <w:r>
          <w:rPr>
            <w:spacing w:val="-8"/>
            <w:sz w:val="20"/>
          </w:rPr>
          <w:t> </w:t>
        </w:r>
        <w:r>
          <w:rPr>
            <w:sz w:val="20"/>
          </w:rPr>
          <w:t>Logistic</w:t>
        </w:r>
        <w:r>
          <w:rPr>
            <w:spacing w:val="-3"/>
            <w:sz w:val="20"/>
          </w:rPr>
          <w:t> </w:t>
        </w:r>
        <w:r>
          <w:rPr>
            <w:sz w:val="20"/>
          </w:rPr>
          <w:t>Regression</w:t>
          <w:tab/>
          <w:t>54</w:t>
        </w:r>
      </w:hyperlink>
    </w:p>
    <w:p>
      <w:pPr>
        <w:tabs>
          <w:tab w:pos="9469" w:val="left" w:leader="dot"/>
        </w:tabs>
        <w:spacing w:line="230" w:lineRule="exact" w:before="0"/>
        <w:ind w:left="320" w:right="0" w:firstLine="0"/>
        <w:jc w:val="left"/>
        <w:rPr>
          <w:sz w:val="20"/>
        </w:rPr>
      </w:pPr>
      <w:hyperlink w:history="true" w:anchor="_bookmark41">
        <w:r>
          <w:rPr>
            <w:sz w:val="20"/>
          </w:rPr>
          <w:t>Figure 5.2: Two Regroupings of</w:t>
        </w:r>
        <w:r>
          <w:rPr>
            <w:spacing w:val="-16"/>
            <w:sz w:val="20"/>
          </w:rPr>
          <w:t> </w:t>
        </w:r>
        <w:r>
          <w:rPr>
            <w:sz w:val="20"/>
          </w:rPr>
          <w:t>Crash</w:t>
        </w:r>
        <w:r>
          <w:rPr>
            <w:spacing w:val="-1"/>
            <w:sz w:val="20"/>
          </w:rPr>
          <w:t> </w:t>
        </w:r>
        <w:r>
          <w:rPr>
            <w:sz w:val="20"/>
          </w:rPr>
          <w:t>Severities</w:t>
          <w:tab/>
          <w:t>57</w:t>
        </w:r>
      </w:hyperlink>
    </w:p>
    <w:p>
      <w:pPr>
        <w:tabs>
          <w:tab w:pos="9469" w:val="left" w:leader="dot"/>
        </w:tabs>
        <w:spacing w:line="230" w:lineRule="exact" w:before="0"/>
        <w:ind w:left="320" w:right="0" w:firstLine="0"/>
        <w:jc w:val="left"/>
        <w:rPr>
          <w:sz w:val="20"/>
        </w:rPr>
      </w:pPr>
      <w:hyperlink w:history="true" w:anchor="_bookmark43">
        <w:r>
          <w:rPr>
            <w:sz w:val="20"/>
          </w:rPr>
          <w:t>Figure 6.1: Occurrence of Crashes on One-way Roads and</w:t>
        </w:r>
        <w:r>
          <w:rPr>
            <w:spacing w:val="-25"/>
            <w:sz w:val="20"/>
          </w:rPr>
          <w:t> </w:t>
        </w:r>
        <w:r>
          <w:rPr>
            <w:sz w:val="20"/>
          </w:rPr>
          <w:t>Two-way</w:t>
        </w:r>
        <w:r>
          <w:rPr>
            <w:spacing w:val="-3"/>
            <w:sz w:val="20"/>
          </w:rPr>
          <w:t> </w:t>
        </w:r>
        <w:r>
          <w:rPr>
            <w:sz w:val="20"/>
          </w:rPr>
          <w:t>Roads</w:t>
          <w:tab/>
          <w:t>60</w:t>
        </w:r>
      </w:hyperlink>
    </w:p>
    <w:p>
      <w:pPr>
        <w:tabs>
          <w:tab w:pos="9469" w:val="left" w:leader="dot"/>
        </w:tabs>
        <w:spacing w:before="1"/>
        <w:ind w:left="320" w:right="0" w:firstLine="0"/>
        <w:jc w:val="left"/>
        <w:rPr>
          <w:sz w:val="20"/>
        </w:rPr>
      </w:pPr>
      <w:hyperlink w:history="true" w:anchor="_bookmark58">
        <w:r>
          <w:rPr>
            <w:sz w:val="20"/>
          </w:rPr>
          <w:t>Figure 7.1: Intersection Crash Severity</w:t>
        </w:r>
        <w:r>
          <w:rPr>
            <w:spacing w:val="-18"/>
            <w:sz w:val="20"/>
          </w:rPr>
          <w:t> </w:t>
        </w:r>
        <w:r>
          <w:rPr>
            <w:sz w:val="20"/>
          </w:rPr>
          <w:t>Level</w:t>
        </w:r>
        <w:r>
          <w:rPr>
            <w:spacing w:val="-3"/>
            <w:sz w:val="20"/>
          </w:rPr>
          <w:t> </w:t>
        </w:r>
        <w:r>
          <w:rPr>
            <w:sz w:val="20"/>
          </w:rPr>
          <w:t>Distribution</w:t>
          <w:tab/>
          <w:t>76</w:t>
        </w:r>
      </w:hyperlink>
    </w:p>
    <w:p>
      <w:pPr>
        <w:tabs>
          <w:tab w:pos="9469" w:val="left" w:leader="dot"/>
        </w:tabs>
        <w:spacing w:line="230" w:lineRule="exact" w:before="0"/>
        <w:ind w:left="320" w:right="0" w:firstLine="0"/>
        <w:jc w:val="left"/>
        <w:rPr>
          <w:sz w:val="20"/>
        </w:rPr>
      </w:pPr>
      <w:hyperlink w:history="true" w:anchor="_bookmark61">
        <w:r>
          <w:rPr>
            <w:sz w:val="20"/>
          </w:rPr>
          <w:t>Figure 8.1: Calculated Risk Score of River Road @ Sam Orcutt Way with Excel</w:t>
        </w:r>
        <w:r>
          <w:rPr>
            <w:spacing w:val="-35"/>
            <w:sz w:val="20"/>
          </w:rPr>
          <w:t> </w:t>
        </w:r>
        <w:r>
          <w:rPr>
            <w:sz w:val="20"/>
          </w:rPr>
          <w:t>Risk-Scoring</w:t>
        </w:r>
        <w:r>
          <w:rPr>
            <w:spacing w:val="-1"/>
            <w:sz w:val="20"/>
          </w:rPr>
          <w:t> </w:t>
        </w:r>
        <w:r>
          <w:rPr>
            <w:sz w:val="20"/>
          </w:rPr>
          <w:t>Tool</w:t>
          <w:tab/>
          <w:t>78</w:t>
        </w:r>
      </w:hyperlink>
    </w:p>
    <w:p>
      <w:pPr>
        <w:spacing w:line="230" w:lineRule="exact" w:before="0"/>
        <w:ind w:left="320" w:right="0" w:firstLine="0"/>
        <w:jc w:val="left"/>
        <w:rPr>
          <w:sz w:val="20"/>
        </w:rPr>
      </w:pPr>
      <w:hyperlink w:history="true" w:anchor="_bookmark65">
        <w:r>
          <w:rPr>
            <w:sz w:val="20"/>
          </w:rPr>
          <w:t>Figure 8.2: Calculated Risk Score for Oatfield Road from Roethe Road to SE Thiessen Road with Excel Risk Tool</w:t>
        </w:r>
      </w:hyperlink>
    </w:p>
    <w:p>
      <w:pPr>
        <w:spacing w:before="1"/>
        <w:ind w:left="845" w:right="0" w:firstLine="0"/>
        <w:jc w:val="left"/>
        <w:rPr>
          <w:sz w:val="20"/>
        </w:rPr>
      </w:pPr>
      <w:hyperlink w:history="true" w:anchor="_bookmark65">
        <w:r>
          <w:rPr>
            <w:sz w:val="20"/>
          </w:rPr>
          <w:t>...........................................................................................................................................................................80</w:t>
        </w:r>
      </w:hyperlink>
    </w:p>
    <w:p>
      <w:pPr>
        <w:spacing w:after="0"/>
        <w:jc w:val="left"/>
        <w:rPr>
          <w:sz w:val="20"/>
        </w:rPr>
        <w:sectPr>
          <w:pgSz w:w="12240" w:h="15840"/>
          <w:pgMar w:header="0" w:footer="709" w:top="1380" w:bottom="980" w:left="1120" w:right="0"/>
        </w:sectPr>
      </w:pPr>
    </w:p>
    <w:p>
      <w:pPr>
        <w:pStyle w:val="BodyText"/>
        <w:spacing w:before="4"/>
        <w:rPr>
          <w:sz w:val="17"/>
        </w:rPr>
      </w:pPr>
    </w:p>
    <w:p>
      <w:pPr>
        <w:spacing w:after="0"/>
        <w:rPr>
          <w:sz w:val="17"/>
        </w:rPr>
        <w:sectPr>
          <w:pgSz w:w="12240" w:h="15840"/>
          <w:pgMar w:header="0" w:footer="709" w:top="1500" w:bottom="900" w:left="1120" w:right="0"/>
        </w:sectPr>
      </w:pPr>
    </w:p>
    <w:p>
      <w:pPr>
        <w:pStyle w:val="Heading2"/>
        <w:tabs>
          <w:tab w:pos="4079" w:val="left" w:leader="none"/>
        </w:tabs>
        <w:spacing w:before="215"/>
        <w:ind w:left="3359" w:firstLine="0"/>
      </w:pPr>
      <w:bookmarkStart w:name="_TOC_250066" w:id="1"/>
      <w:bookmarkStart w:name="1.0 INTRODUCTION" w:id="2"/>
      <w:r>
        <w:rPr>
          <w:b w:val="0"/>
        </w:rPr>
      </w:r>
      <w:bookmarkEnd w:id="1"/>
      <w:r>
        <w:rPr/>
        <w:t>1.0</w:t>
        <w:tab/>
        <w:t>INTRODUCTION</w:t>
      </w:r>
    </w:p>
    <w:p>
      <w:pPr>
        <w:pStyle w:val="BodyText"/>
        <w:spacing w:before="6"/>
        <w:rPr>
          <w:b/>
          <w:sz w:val="41"/>
        </w:rPr>
      </w:pPr>
    </w:p>
    <w:p>
      <w:pPr>
        <w:pStyle w:val="BodyText"/>
        <w:ind w:left="319" w:right="1440"/>
      </w:pPr>
      <w:r>
        <w:rPr/>
        <w:t>In 2013, there were 52 pedestrian and three bicyclist fatalities – approximately 17% of the total traffic fatalities in Oregon (Bergh and Griffin, 2013). There were an additional 814 pedestrians and 922 bicyclists injured in that same year. These fatalities and injuries are a concern for many communities in Oregon. To help mitigate the high social cost of these events, the Oregon Department of Transportation (ODOT) has identified pedestrian and bicycle crashes as a primary focus area for investing infrastructure funding. ODOT has appropriated approximately $4 million annually in the All Roads Transportation Safety Program (ARTS) to help address this key need. Selecting projects based only on crash performance is challenging because pedestrian and bicycle crashes are few. Predicting where these crashes will occur next is also a challenging task. An alternative to frequency-based selection is to develop a risk-based criteria and</w:t>
      </w:r>
      <w:r>
        <w:rPr>
          <w:spacing w:val="-12"/>
        </w:rPr>
        <w:t> </w:t>
      </w:r>
      <w:r>
        <w:rPr/>
        <w:t>method.</w:t>
      </w:r>
    </w:p>
    <w:p>
      <w:pPr>
        <w:pStyle w:val="BodyText"/>
        <w:spacing w:before="9"/>
        <w:rPr>
          <w:sz w:val="20"/>
        </w:rPr>
      </w:pPr>
    </w:p>
    <w:p>
      <w:pPr>
        <w:pStyle w:val="BodyText"/>
        <w:ind w:left="319" w:right="1550"/>
      </w:pPr>
      <w:r>
        <w:rPr/>
        <w:t>In a transportation context, risk is defined as a probability or threat of damage, injury, liability, loss, or any other negative occurrence that is caused by external or internal vulnerabilities, and that may be avoided through preemptive action. The amount of risk can be interpreted by the probability of the outcome and potential severity of the outcome if the event occurs. This can be presented as the risk matrix in Figure 1.1 (Berdica, 2002). For transportation and vulnerable road users, the probability is a function of exposure and consequence is a function of operating conditions (e.g., vehicle speeds and size). Risk scoring should include elements of exposure and expectations of the severity of the outcome.</w:t>
      </w:r>
    </w:p>
    <w:p>
      <w:pPr>
        <w:pStyle w:val="BodyText"/>
        <w:rPr>
          <w:sz w:val="20"/>
        </w:rPr>
      </w:pPr>
    </w:p>
    <w:p>
      <w:pPr>
        <w:pStyle w:val="BodyText"/>
        <w:spacing w:before="5"/>
        <w:rPr>
          <w:sz w:val="16"/>
        </w:rPr>
      </w:pPr>
      <w:r>
        <w:rPr/>
        <w:drawing>
          <wp:anchor distT="0" distB="0" distL="0" distR="0" allowOverlap="1" layoutInCell="1" locked="0" behindDoc="0" simplePos="0" relativeHeight="3">
            <wp:simplePos x="0" y="0"/>
            <wp:positionH relativeFrom="page">
              <wp:posOffset>2405958</wp:posOffset>
            </wp:positionH>
            <wp:positionV relativeFrom="paragraph">
              <wp:posOffset>145057</wp:posOffset>
            </wp:positionV>
            <wp:extent cx="2623491" cy="2623185"/>
            <wp:effectExtent l="0" t="0" r="0" b="0"/>
            <wp:wrapTopAndBottom/>
            <wp:docPr id="3" name="image3.png" descr=""/>
            <wp:cNvGraphicFramePr>
              <a:graphicFrameLocks noChangeAspect="1"/>
            </wp:cNvGraphicFramePr>
            <a:graphic>
              <a:graphicData uri="http://schemas.openxmlformats.org/drawingml/2006/picture">
                <pic:pic>
                  <pic:nvPicPr>
                    <pic:cNvPr id="4" name="image3.png"/>
                    <pic:cNvPicPr/>
                  </pic:nvPicPr>
                  <pic:blipFill>
                    <a:blip r:embed="rId12" cstate="print"/>
                    <a:stretch>
                      <a:fillRect/>
                    </a:stretch>
                  </pic:blipFill>
                  <pic:spPr>
                    <a:xfrm>
                      <a:off x="0" y="0"/>
                      <a:ext cx="2623491" cy="2623185"/>
                    </a:xfrm>
                    <a:prstGeom prst="rect">
                      <a:avLst/>
                    </a:prstGeom>
                  </pic:spPr>
                </pic:pic>
              </a:graphicData>
            </a:graphic>
          </wp:anchor>
        </w:drawing>
      </w:r>
    </w:p>
    <w:p>
      <w:pPr>
        <w:pStyle w:val="BodyText"/>
        <w:rPr>
          <w:sz w:val="27"/>
        </w:rPr>
      </w:pPr>
    </w:p>
    <w:p>
      <w:pPr>
        <w:spacing w:before="0"/>
        <w:ind w:left="1820" w:right="0" w:firstLine="0"/>
        <w:jc w:val="left"/>
        <w:rPr>
          <w:sz w:val="20"/>
        </w:rPr>
      </w:pPr>
      <w:bookmarkStart w:name="_bookmark0" w:id="3"/>
      <w:bookmarkEnd w:id="3"/>
      <w:r>
        <w:rPr/>
      </w:r>
      <w:r>
        <w:rPr>
          <w:sz w:val="20"/>
        </w:rPr>
        <w:t>Figure 1.1: Risk Matrix, Darker Shading Indicates Higher Risk (</w:t>
      </w:r>
      <w:r>
        <w:rPr>
          <w:i/>
          <w:sz w:val="20"/>
        </w:rPr>
        <w:t>Berdica, 2002</w:t>
      </w:r>
      <w:r>
        <w:rPr>
          <w:sz w:val="20"/>
        </w:rPr>
        <w:t>)</w:t>
      </w:r>
    </w:p>
    <w:p>
      <w:pPr>
        <w:pStyle w:val="BodyText"/>
        <w:rPr>
          <w:sz w:val="22"/>
        </w:rPr>
      </w:pPr>
    </w:p>
    <w:p>
      <w:pPr>
        <w:pStyle w:val="BodyText"/>
        <w:spacing w:before="9"/>
        <w:rPr>
          <w:sz w:val="19"/>
        </w:rPr>
      </w:pPr>
    </w:p>
    <w:p>
      <w:pPr>
        <w:pStyle w:val="BodyText"/>
        <w:ind w:left="320" w:right="1495"/>
      </w:pPr>
      <w:r>
        <w:rPr/>
        <w:t>Prior to this research project, Kittelson &amp; Associates, Inc. produced a systemic safety analysis of pedestrian and bicycle safety for ODOT (Bergh et al., 2013)</w:t>
      </w:r>
      <w:r>
        <w:rPr>
          <w:i/>
        </w:rPr>
        <w:t>. </w:t>
      </w:r>
      <w:r>
        <w:rPr/>
        <w:t>This thorough and detailed report analyzed pedestrian and bicycle crashes following a systemic safety planning approach. The objective of the plan was to “identify corridors with the most potential for reducing frequency and severity of pedestrian and bicycle crashes.” The report attempted to match effective safety</w:t>
      </w:r>
    </w:p>
    <w:p>
      <w:pPr>
        <w:spacing w:after="0"/>
        <w:sectPr>
          <w:footerReference w:type="default" r:id="rId11"/>
          <w:pgSz w:w="12240" w:h="15840"/>
          <w:pgMar w:footer="709" w:header="0" w:top="1500" w:bottom="900" w:left="1120" w:right="0"/>
          <w:pgNumType w:start="1"/>
        </w:sectPr>
      </w:pPr>
    </w:p>
    <w:p>
      <w:pPr>
        <w:pStyle w:val="BodyText"/>
        <w:spacing w:before="72"/>
        <w:ind w:left="319" w:right="1463"/>
      </w:pPr>
      <w:r>
        <w:rPr/>
        <w:t>countermeasures with potential locations for improvements by identifying key patterns of behavior and roadway conditions that create high-risk locations. The results of the plan were presented and discussed with stakeholders from around Oregon. Prioritized lists of corridors, both on state highways and non-state roads, were developed. A frequency-based and risk-based prioritization was developed. The quantification of risk factors and the magnitude of their influence was constrained by limited supplemental data that the project was able to collect. Thus, many of the risk scores were based on best judgment.</w:t>
      </w:r>
    </w:p>
    <w:p>
      <w:pPr>
        <w:pStyle w:val="BodyText"/>
        <w:spacing w:before="10"/>
        <w:rPr>
          <w:sz w:val="20"/>
        </w:rPr>
      </w:pPr>
    </w:p>
    <w:p>
      <w:pPr>
        <w:pStyle w:val="BodyText"/>
        <w:spacing w:before="1"/>
        <w:ind w:left="319" w:right="1430"/>
      </w:pPr>
      <w:r>
        <w:rPr/>
        <w:t>The objective of this research was to develop a risk-scoring method with weights derived from a data analysis. To accomplish this, the research assembled a robust dataset merging data elements collected on segments, at intersections. Selection of segments for data collection was random and no attempt was made to identify high-crash locations. Logistic models were developed and the results transformed to a simple tool. Application of the tool to actual ARTS projects was done to demonstrate the applicability.</w:t>
      </w:r>
    </w:p>
    <w:p>
      <w:pPr>
        <w:pStyle w:val="BodyText"/>
        <w:spacing w:before="10"/>
        <w:rPr>
          <w:sz w:val="20"/>
        </w:rPr>
      </w:pPr>
    </w:p>
    <w:p>
      <w:pPr>
        <w:pStyle w:val="BodyText"/>
        <w:ind w:left="319" w:right="1513"/>
      </w:pPr>
      <w:r>
        <w:rPr/>
        <w:t>This final report summarizes the research and is organized in six chapters. Chapter 2.0 presents a brief literature review. Chapter 3.0 describes the process used to identify the data collection methods used to assemble the data. Chapter 4.0 reviews the basic descriptive analysis of the data and the preparation of the modeling dataset. Chapter 5.0 then presents the modeling methodology, and Chapter 6.0 summarizes the findings. In Chapter 7.0, the conversion of the modeling results to a risk-scoring tool is presented, and sample applications are presented in Chapter 8.0. Finally, Chapter 9.0 summarizes the work and discusses the limitations and recommendations for future</w:t>
      </w:r>
      <w:r>
        <w:rPr>
          <w:spacing w:val="-1"/>
        </w:rPr>
        <w:t> </w:t>
      </w:r>
      <w:r>
        <w:rPr/>
        <w:t>work.</w:t>
      </w:r>
    </w:p>
    <w:p>
      <w:pPr>
        <w:spacing w:after="0"/>
        <w:sectPr>
          <w:pgSz w:w="12240" w:h="15840"/>
          <w:pgMar w:header="0" w:footer="709" w:top="920" w:bottom="980" w:left="1120" w:right="0"/>
        </w:sectPr>
      </w:pPr>
    </w:p>
    <w:p>
      <w:pPr>
        <w:pStyle w:val="Heading2"/>
        <w:numPr>
          <w:ilvl w:val="1"/>
          <w:numId w:val="9"/>
        </w:numPr>
        <w:tabs>
          <w:tab w:pos="3606" w:val="left" w:leader="none"/>
          <w:tab w:pos="3607" w:val="left" w:leader="none"/>
        </w:tabs>
        <w:spacing w:line="240" w:lineRule="auto" w:before="75" w:after="0"/>
        <w:ind w:left="3606" w:right="0" w:hanging="720"/>
        <w:jc w:val="left"/>
      </w:pPr>
      <w:bookmarkStart w:name="_TOC_250065" w:id="4"/>
      <w:bookmarkStart w:name="2.0 LITERATURE REVIEW" w:id="5"/>
      <w:r>
        <w:rPr>
          <w:b w:val="0"/>
        </w:rPr>
      </w:r>
      <w:bookmarkEnd w:id="5"/>
      <w:bookmarkStart w:name="2.0 LITERATURE REVIEW" w:id="6"/>
      <w:r>
        <w:rPr>
          <w:spacing w:val="-3"/>
        </w:rPr>
        <w:t>LITER</w:t>
      </w:r>
      <w:r>
        <w:rPr>
          <w:spacing w:val="-3"/>
        </w:rPr>
        <w:t>ATURE</w:t>
      </w:r>
      <w:r>
        <w:rPr>
          <w:spacing w:val="-1"/>
        </w:rPr>
        <w:t> </w:t>
      </w:r>
      <w:bookmarkEnd w:id="4"/>
      <w:r>
        <w:rPr/>
        <w:t>REVIEW</w:t>
      </w:r>
    </w:p>
    <w:p>
      <w:pPr>
        <w:pStyle w:val="BodyText"/>
        <w:spacing w:before="6"/>
        <w:rPr>
          <w:b/>
          <w:sz w:val="41"/>
        </w:rPr>
      </w:pPr>
    </w:p>
    <w:p>
      <w:pPr>
        <w:pStyle w:val="BodyText"/>
        <w:ind w:left="319" w:right="1604"/>
      </w:pPr>
      <w:r>
        <w:rPr/>
        <w:t>This literature review is organized into three sections. First, brief examples of risk-based approaches to network screening for highway safety are presented with examples of methods to prioritize or score non-motorized projects. The following sections provide a detailed review of the factors affecting bicycle and pedestrian safety.</w:t>
      </w:r>
    </w:p>
    <w:p>
      <w:pPr>
        <w:pStyle w:val="BodyText"/>
        <w:spacing w:before="2"/>
        <w:rPr>
          <w:sz w:val="21"/>
        </w:rPr>
      </w:pPr>
    </w:p>
    <w:p>
      <w:pPr>
        <w:pStyle w:val="Heading3"/>
        <w:numPr>
          <w:ilvl w:val="1"/>
          <w:numId w:val="9"/>
        </w:numPr>
        <w:tabs>
          <w:tab w:pos="1039" w:val="left" w:leader="none"/>
          <w:tab w:pos="1040" w:val="left" w:leader="none"/>
        </w:tabs>
        <w:spacing w:line="240" w:lineRule="auto" w:before="0" w:after="0"/>
        <w:ind w:left="1039" w:right="0" w:hanging="719"/>
        <w:jc w:val="left"/>
      </w:pPr>
      <w:bookmarkStart w:name="_TOC_250064" w:id="7"/>
      <w:bookmarkStart w:name="2.1 RISK-BASED METHODS FOR PRIORITIZING " w:id="8"/>
      <w:r>
        <w:rPr>
          <w:b w:val="0"/>
        </w:rPr>
      </w:r>
      <w:bookmarkEnd w:id="8"/>
      <w:bookmarkStart w:name="2.1 RISK-BASED METHODS FOR PRIORITIZING " w:id="9"/>
      <w:r>
        <w:rPr/>
        <w:t>R</w:t>
      </w:r>
      <w:r>
        <w:rPr/>
        <w:t>ISK-BASED METHODS FOR PRIORITIZING</w:t>
      </w:r>
      <w:r>
        <w:rPr>
          <w:spacing w:val="-3"/>
        </w:rPr>
        <w:t> </w:t>
      </w:r>
      <w:bookmarkEnd w:id="7"/>
      <w:r>
        <w:rPr/>
        <w:t>SAFETY</w:t>
      </w:r>
    </w:p>
    <w:p>
      <w:pPr>
        <w:pStyle w:val="BodyText"/>
        <w:spacing w:before="237"/>
        <w:ind w:left="320" w:right="1480"/>
      </w:pPr>
      <w:r>
        <w:rPr/>
        <w:t>Most network screening techniques that are used to identify high-crash locations are crash-based (AASHTO, 2010). The risk-based approaches that are the focus of this literature review (using the potential for crash outcomes combined with severity) are relatively rare in the crash screening methods (especially for motor vehicles). This is primarily due to fact that there are few reported bicycle or pedestrian crashes and there is insufficient exposure data to identify trouble spots. In this section, the systemic safety approach is presented, followed by a brief review of risk-based scoring methods for highways. Finally, since the perceptions of safety and actual safety can be distinctly different, safety prioritization measures for non-motorized safety that help include this factor are</w:t>
      </w:r>
      <w:r>
        <w:rPr>
          <w:spacing w:val="-2"/>
        </w:rPr>
        <w:t> </w:t>
      </w:r>
      <w:r>
        <w:rPr/>
        <w:t>presented.</w:t>
      </w:r>
    </w:p>
    <w:p>
      <w:pPr>
        <w:pStyle w:val="BodyText"/>
        <w:spacing w:before="2"/>
        <w:rPr>
          <w:sz w:val="21"/>
        </w:rPr>
      </w:pPr>
    </w:p>
    <w:p>
      <w:pPr>
        <w:pStyle w:val="Heading3"/>
        <w:numPr>
          <w:ilvl w:val="2"/>
          <w:numId w:val="9"/>
        </w:numPr>
        <w:tabs>
          <w:tab w:pos="1040" w:val="left" w:leader="none"/>
        </w:tabs>
        <w:spacing w:line="240" w:lineRule="auto" w:before="0" w:after="0"/>
        <w:ind w:left="1039" w:right="0" w:hanging="719"/>
        <w:jc w:val="left"/>
      </w:pPr>
      <w:bookmarkStart w:name="_TOC_250063" w:id="10"/>
      <w:bookmarkStart w:name="2.1.1 Systemic Safety Approach" w:id="11"/>
      <w:r>
        <w:rPr>
          <w:b w:val="0"/>
        </w:rPr>
      </w:r>
      <w:bookmarkEnd w:id="11"/>
      <w:bookmarkStart w:name="2.1.1 Systemic Safety Approach" w:id="12"/>
      <w:r>
        <w:rPr/>
        <w:t>Sys</w:t>
      </w:r>
      <w:r>
        <w:rPr/>
        <w:t>temic Safety</w:t>
      </w:r>
      <w:r>
        <w:rPr>
          <w:spacing w:val="-1"/>
        </w:rPr>
        <w:t> </w:t>
      </w:r>
      <w:bookmarkEnd w:id="10"/>
      <w:r>
        <w:rPr/>
        <w:t>Approach</w:t>
      </w:r>
    </w:p>
    <w:p>
      <w:pPr>
        <w:pStyle w:val="BodyText"/>
        <w:spacing w:before="236"/>
        <w:ind w:left="319" w:right="1540"/>
      </w:pPr>
      <w:r>
        <w:rPr/>
        <w:t>Recently, in recognition that many approaches to safety improvement were generally only reactive (i.e., identifying the locations with high crash frequency), the Federal Highway Administration (FHWA) has been promoting an approach to highways safety screening and countermeasure application that is termed “systemic safety.” The systemic safety approach, illustrated in </w:t>
      </w:r>
      <w:hyperlink w:history="true" w:anchor="_bookmark1">
        <w:r>
          <w:rPr/>
          <w:t>Figure 2.1</w:t>
        </w:r>
      </w:hyperlink>
      <w:r>
        <w:rPr/>
        <w:t> taken from </w:t>
      </w:r>
      <w:r>
        <w:rPr>
          <w:i/>
        </w:rPr>
        <w:t>Systemic Safety Project Selection Tool</w:t>
      </w:r>
      <w:r>
        <w:rPr/>
        <w:t>, can be described as a methodology to identify, diagnose and treat locations that are at high risk for crashes on a system-wide basis through a data-driven approach (Preston et al., 2013). The figure shows the three key elements for the overall program.</w:t>
      </w:r>
    </w:p>
    <w:p>
      <w:pPr>
        <w:spacing w:after="0"/>
        <w:sectPr>
          <w:pgSz w:w="12240" w:h="15840"/>
          <w:pgMar w:header="0" w:footer="709" w:top="1400" w:bottom="980" w:left="1120" w:right="0"/>
        </w:sectPr>
      </w:pPr>
    </w:p>
    <w:p>
      <w:pPr>
        <w:pStyle w:val="BodyText"/>
        <w:ind w:left="2210"/>
        <w:rPr>
          <w:sz w:val="20"/>
        </w:rPr>
      </w:pPr>
      <w:r>
        <w:rPr>
          <w:sz w:val="20"/>
        </w:rPr>
        <w:drawing>
          <wp:inline distT="0" distB="0" distL="0" distR="0">
            <wp:extent cx="3520440" cy="3520440"/>
            <wp:effectExtent l="0" t="0" r="0" b="0"/>
            <wp:docPr id="5" name="image4.png" descr="Figure 2 - Flow Chart - This figure displays the continuous cycle among three elements, each of which contain specific processes. Element 1 begins with Identity Focus Crash Types &amp; Risk Factors, which feeds into Screen &amp; Prioritize Candidate Locations, followed by Select Countermeasures, and Prioritize Projects. The last process of Element 1 feeds into the one process within Element 2, Identify Funding for Systemic Program &amp; Implement, which feeds into the sole process for Element 3, Perform Systemic Program Evaluation, which in turn feeds back into the first process of Element 1."/>
            <wp:cNvGraphicFramePr>
              <a:graphicFrameLocks noChangeAspect="1"/>
            </wp:cNvGraphicFramePr>
            <a:graphic>
              <a:graphicData uri="http://schemas.openxmlformats.org/drawingml/2006/picture">
                <pic:pic>
                  <pic:nvPicPr>
                    <pic:cNvPr id="6" name="image4.png"/>
                    <pic:cNvPicPr/>
                  </pic:nvPicPr>
                  <pic:blipFill>
                    <a:blip r:embed="rId13" cstate="print"/>
                    <a:stretch>
                      <a:fillRect/>
                    </a:stretch>
                  </pic:blipFill>
                  <pic:spPr>
                    <a:xfrm>
                      <a:off x="0" y="0"/>
                      <a:ext cx="3520440" cy="3520440"/>
                    </a:xfrm>
                    <a:prstGeom prst="rect">
                      <a:avLst/>
                    </a:prstGeom>
                  </pic:spPr>
                </pic:pic>
              </a:graphicData>
            </a:graphic>
          </wp:inline>
        </w:drawing>
      </w:r>
      <w:r>
        <w:rPr>
          <w:sz w:val="20"/>
        </w:rPr>
      </w:r>
    </w:p>
    <w:p>
      <w:pPr>
        <w:spacing w:before="149"/>
        <w:ind w:left="3468" w:right="0" w:firstLine="0"/>
        <w:jc w:val="left"/>
        <w:rPr>
          <w:sz w:val="20"/>
        </w:rPr>
      </w:pPr>
      <w:bookmarkStart w:name="_bookmark1" w:id="13"/>
      <w:bookmarkEnd w:id="13"/>
      <w:r>
        <w:rPr/>
      </w:r>
      <w:r>
        <w:rPr>
          <w:sz w:val="20"/>
        </w:rPr>
        <w:t>Figure 2.1: Systemic Safety Approach</w:t>
      </w:r>
    </w:p>
    <w:p>
      <w:pPr>
        <w:pStyle w:val="BodyText"/>
        <w:rPr>
          <w:sz w:val="22"/>
        </w:rPr>
      </w:pPr>
    </w:p>
    <w:p>
      <w:pPr>
        <w:pStyle w:val="BodyText"/>
        <w:spacing w:before="8"/>
        <w:rPr>
          <w:sz w:val="19"/>
        </w:rPr>
      </w:pPr>
    </w:p>
    <w:p>
      <w:pPr>
        <w:pStyle w:val="BodyText"/>
        <w:ind w:left="319" w:right="1573"/>
      </w:pPr>
      <w:r>
        <w:rPr/>
        <w:t>Within Element 1, the steps most relevant to this review are the steps to identify crash types and risk factors. After first finding the facility and crash type to focus on (usually using a crash-tree diagram that shows the percentage of crashes, both total and severe, in various categories of roads/intersections), a more detailed analysis can reveal some measurable characteristics of the facility that may be subject to treatment. For example, after first identifying rural, undivided, two-lane roadways as a focus area, the NYSDOT further compared crashes on curves by radii. As shown in </w:t>
      </w:r>
      <w:hyperlink w:history="true" w:anchor="_bookmark2">
        <w:r>
          <w:rPr/>
          <w:t>Figure 2.2</w:t>
        </w:r>
      </w:hyperlink>
      <w:r>
        <w:rPr/>
        <w:t>, they compared curve radii in four categories. When compared with all curves along the focus facility type, overrepresented features become clear. While only representing 7% of the curves reviewed, curves with a curve radius less than 300 feet accounted for 12% of severe crashes. Thus, curve radii less than 300 feet were identified as a risk factor.</w:t>
      </w:r>
    </w:p>
    <w:p>
      <w:pPr>
        <w:pStyle w:val="BodyText"/>
        <w:ind w:left="319" w:right="1644"/>
      </w:pPr>
      <w:r>
        <w:rPr/>
        <w:t>Through further analysis, the factors were assigned scores that could be combined in an overall risk analysis.</w:t>
      </w:r>
    </w:p>
    <w:p>
      <w:pPr>
        <w:pStyle w:val="BodyText"/>
        <w:spacing w:before="9"/>
        <w:rPr>
          <w:sz w:val="20"/>
        </w:rPr>
      </w:pPr>
    </w:p>
    <w:p>
      <w:pPr>
        <w:pStyle w:val="BodyText"/>
        <w:ind w:left="319" w:right="1523"/>
      </w:pPr>
      <w:r>
        <w:rPr/>
        <w:t>It should be noted that the prior work by Kittelson &amp; Associates, Inc. mentioned in the introduction section a similar approach to identify some of the risk factors for the pedestrian and bicycle crashes in Oregon.</w:t>
      </w:r>
    </w:p>
    <w:p>
      <w:pPr>
        <w:spacing w:after="0"/>
        <w:sectPr>
          <w:pgSz w:w="12240" w:h="15840"/>
          <w:pgMar w:header="0" w:footer="709" w:top="1000" w:bottom="980" w:left="1120" w:right="0"/>
        </w:sectPr>
      </w:pPr>
    </w:p>
    <w:p>
      <w:pPr>
        <w:pStyle w:val="BodyText"/>
        <w:ind w:left="2142"/>
        <w:rPr>
          <w:sz w:val="20"/>
        </w:rPr>
      </w:pPr>
      <w:r>
        <w:rPr>
          <w:sz w:val="20"/>
        </w:rPr>
        <w:drawing>
          <wp:inline distT="0" distB="0" distL="0" distR="0">
            <wp:extent cx="3758359" cy="2502027"/>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4" cstate="print"/>
                    <a:stretch>
                      <a:fillRect/>
                    </a:stretch>
                  </pic:blipFill>
                  <pic:spPr>
                    <a:xfrm>
                      <a:off x="0" y="0"/>
                      <a:ext cx="3758359" cy="2502027"/>
                    </a:xfrm>
                    <a:prstGeom prst="rect">
                      <a:avLst/>
                    </a:prstGeom>
                  </pic:spPr>
                </pic:pic>
              </a:graphicData>
            </a:graphic>
          </wp:inline>
        </w:drawing>
      </w:r>
      <w:r>
        <w:rPr>
          <w:sz w:val="20"/>
        </w:rPr>
      </w:r>
    </w:p>
    <w:p>
      <w:pPr>
        <w:pStyle w:val="BodyText"/>
        <w:rPr>
          <w:sz w:val="20"/>
        </w:rPr>
      </w:pPr>
    </w:p>
    <w:p>
      <w:pPr>
        <w:pStyle w:val="BodyText"/>
        <w:spacing w:before="5"/>
        <w:rPr>
          <w:sz w:val="19"/>
        </w:rPr>
      </w:pPr>
    </w:p>
    <w:p>
      <w:pPr>
        <w:spacing w:before="1"/>
        <w:ind w:left="702" w:right="0" w:firstLine="0"/>
        <w:jc w:val="left"/>
        <w:rPr>
          <w:sz w:val="20"/>
        </w:rPr>
      </w:pPr>
      <w:bookmarkStart w:name="_bookmark2" w:id="14"/>
      <w:bookmarkEnd w:id="14"/>
      <w:r>
        <w:rPr/>
      </w:r>
      <w:r>
        <w:rPr>
          <w:sz w:val="20"/>
        </w:rPr>
        <w:t>Figure 2.2: Example of NYSDOT: Curve Radii as a Risk-Factor Evaluation for Rural Undivided Highways</w:t>
      </w:r>
    </w:p>
    <w:p>
      <w:pPr>
        <w:pStyle w:val="BodyText"/>
        <w:rPr>
          <w:sz w:val="22"/>
        </w:rPr>
      </w:pPr>
    </w:p>
    <w:p>
      <w:pPr>
        <w:pStyle w:val="BodyText"/>
        <w:spacing w:before="10"/>
        <w:rPr>
          <w:sz w:val="19"/>
        </w:rPr>
      </w:pPr>
    </w:p>
    <w:p>
      <w:pPr>
        <w:pStyle w:val="Heading3"/>
        <w:numPr>
          <w:ilvl w:val="2"/>
          <w:numId w:val="9"/>
        </w:numPr>
        <w:tabs>
          <w:tab w:pos="1040" w:val="left" w:leader="none"/>
        </w:tabs>
        <w:spacing w:line="240" w:lineRule="auto" w:before="1" w:after="0"/>
        <w:ind w:left="1039" w:right="0" w:hanging="719"/>
        <w:jc w:val="left"/>
      </w:pPr>
      <w:bookmarkStart w:name="_TOC_250062" w:id="15"/>
      <w:bookmarkStart w:name="2.1.2 U.S. Road Assessment Program" w:id="16"/>
      <w:r>
        <w:rPr>
          <w:b w:val="0"/>
        </w:rPr>
      </w:r>
      <w:bookmarkEnd w:id="16"/>
      <w:bookmarkStart w:name="2.1.2 U.S. Road Assessment Program" w:id="17"/>
      <w:r>
        <w:rPr/>
        <w:t>U</w:t>
      </w:r>
      <w:r>
        <w:rPr/>
        <w:t>.S. Road Assessment</w:t>
      </w:r>
      <w:r>
        <w:rPr>
          <w:spacing w:val="-1"/>
        </w:rPr>
        <w:t> </w:t>
      </w:r>
      <w:bookmarkEnd w:id="15"/>
      <w:r>
        <w:rPr/>
        <w:t>Program</w:t>
      </w:r>
    </w:p>
    <w:p>
      <w:pPr>
        <w:pStyle w:val="BodyText"/>
        <w:spacing w:before="237"/>
        <w:ind w:left="319" w:right="1460"/>
      </w:pPr>
      <w:r>
        <w:rPr/>
        <w:t>The U.S. Road Assessment Program (USRAP) aims to provide a “systematic road assessment program in North America to inform motorists of the level of safety on the roads they travel.” (Harwood et al., 2008). The program builds on the success of the European Road Assessment Program (RAP), where the methods were developed. The RAP program categorizes roadways in a number of traditional ways (frequency and rate of fatal crashes, the difference from average rate performance), but also includes a method to develop a road protection score. The road protection score is calculated based on the potential for severe outcomes for head-on, run-off- the-road, and intersection crashes. The scoring is based on critical sub-factors, such as the width of the median for head-on crashes. For each of the crash types, there is a relative risk score calculated from a set of sub-factors that is clearly associated with the risk. The methodology prescribes that relative risk scores (converted to a simple index) are weighted together, with 15% for head-on crashes, 19% for run-off-the-road crashes and 66% for intersection crashes for the road segment under</w:t>
      </w:r>
      <w:r>
        <w:rPr>
          <w:spacing w:val="-1"/>
        </w:rPr>
        <w:t> </w:t>
      </w:r>
      <w:r>
        <w:rPr/>
        <w:t>consideration.</w:t>
      </w:r>
    </w:p>
    <w:p>
      <w:pPr>
        <w:pStyle w:val="BodyText"/>
        <w:spacing w:before="9"/>
        <w:rPr>
          <w:sz w:val="20"/>
        </w:rPr>
      </w:pPr>
    </w:p>
    <w:p>
      <w:pPr>
        <w:pStyle w:val="BodyText"/>
        <w:ind w:left="319" w:right="1486"/>
      </w:pPr>
      <w:r>
        <w:rPr/>
        <w:t>A sample of the weighting table for head-on crashes is shown in </w:t>
      </w:r>
      <w:hyperlink w:history="true" w:anchor="_bookmark1">
        <w:r>
          <w:rPr/>
          <w:t>Figure 2.1</w:t>
        </w:r>
      </w:hyperlink>
      <w:r>
        <w:rPr/>
        <w:t>. The figure shows that the posted speed and degree of separation of opposing vehicle lanes influence the relative risk assigned to a specific roadway segment. For example, for an undivided roadway with a posted speed of 70 mph, the relative risk score is 38. This is translated to a 1 on the star rating on a 1-4 scale, with 4 being the lowest risk. For the same road but with a posted speed of 35 mph, the score is 1- which translates to a star score of 1 (the lowest risk segments). A similar process is done for the other crash types; then an aggregated star score is computed. A sample of the process, shown in map form for state highways in southeastern Iowa, is shown in </w:t>
      </w:r>
      <w:hyperlink w:history="true" w:anchor="_bookmark5">
        <w:r>
          <w:rPr/>
          <w:t>Figure 2.4</w:t>
        </w:r>
      </w:hyperlink>
      <w:r>
        <w:rPr/>
        <w:t>. On the map, the higher risk 1-2 starred segments can be seen as the red and black segments. The method is an example of translating relative risk factors to an index to create a ranking of segments.</w:t>
      </w:r>
    </w:p>
    <w:p>
      <w:pPr>
        <w:spacing w:after="0"/>
        <w:sectPr>
          <w:pgSz w:w="12240" w:h="15840"/>
          <w:pgMar w:header="0" w:footer="709" w:top="1160" w:bottom="980" w:left="1120" w:right="0"/>
        </w:sectPr>
      </w:pPr>
    </w:p>
    <w:p>
      <w:pPr>
        <w:pStyle w:val="BodyText"/>
        <w:ind w:left="852"/>
        <w:rPr>
          <w:sz w:val="20"/>
        </w:rPr>
      </w:pPr>
      <w:bookmarkStart w:name="_bookmark5" w:id="18"/>
      <w:bookmarkEnd w:id="18"/>
      <w:r>
        <w:rPr/>
      </w:r>
      <w:r>
        <w:rPr>
          <w:sz w:val="20"/>
        </w:rPr>
        <w:drawing>
          <wp:inline distT="0" distB="0" distL="0" distR="0">
            <wp:extent cx="5137935" cy="2809875"/>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5" cstate="print"/>
                    <a:stretch>
                      <a:fillRect/>
                    </a:stretch>
                  </pic:blipFill>
                  <pic:spPr>
                    <a:xfrm>
                      <a:off x="0" y="0"/>
                      <a:ext cx="5137935" cy="2809875"/>
                    </a:xfrm>
                    <a:prstGeom prst="rect">
                      <a:avLst/>
                    </a:prstGeom>
                  </pic:spPr>
                </pic:pic>
              </a:graphicData>
            </a:graphic>
          </wp:inline>
        </w:drawing>
      </w:r>
      <w:r>
        <w:rPr>
          <w:sz w:val="20"/>
        </w:rPr>
      </w:r>
    </w:p>
    <w:p>
      <w:pPr>
        <w:pStyle w:val="BodyText"/>
        <w:rPr>
          <w:sz w:val="20"/>
        </w:rPr>
      </w:pPr>
    </w:p>
    <w:p>
      <w:pPr>
        <w:pStyle w:val="BodyText"/>
        <w:spacing w:before="9"/>
        <w:rPr>
          <w:sz w:val="18"/>
        </w:rPr>
      </w:pPr>
    </w:p>
    <w:p>
      <w:pPr>
        <w:spacing w:before="0"/>
        <w:ind w:left="487" w:right="1605" w:firstLine="0"/>
        <w:jc w:val="center"/>
        <w:rPr>
          <w:sz w:val="20"/>
        </w:rPr>
      </w:pPr>
      <w:bookmarkStart w:name="_bookmark3" w:id="19"/>
      <w:bookmarkEnd w:id="19"/>
      <w:r>
        <w:rPr/>
      </w:r>
      <w:r>
        <w:rPr>
          <w:sz w:val="20"/>
        </w:rPr>
        <w:t>Figure 2.3: Preliminary Relative Risk Scores and Star-Rating Criteria for Head-On Crashes (USRAP)</w:t>
      </w:r>
    </w:p>
    <w:p>
      <w:pPr>
        <w:pStyle w:val="BodyText"/>
        <w:rPr>
          <w:sz w:val="20"/>
        </w:rPr>
      </w:pPr>
    </w:p>
    <w:p>
      <w:pPr>
        <w:pStyle w:val="BodyText"/>
        <w:rPr>
          <w:sz w:val="20"/>
        </w:rPr>
      </w:pPr>
    </w:p>
    <w:p>
      <w:pPr>
        <w:pStyle w:val="BodyText"/>
        <w:spacing w:before="9"/>
        <w:rPr>
          <w:sz w:val="15"/>
        </w:rPr>
      </w:pPr>
      <w:r>
        <w:rPr/>
        <w:drawing>
          <wp:anchor distT="0" distB="0" distL="0" distR="0" allowOverlap="1" layoutInCell="1" locked="0" behindDoc="0" simplePos="0" relativeHeight="4">
            <wp:simplePos x="0" y="0"/>
            <wp:positionH relativeFrom="page">
              <wp:posOffset>1538152</wp:posOffset>
            </wp:positionH>
            <wp:positionV relativeFrom="paragraph">
              <wp:posOffset>140405</wp:posOffset>
            </wp:positionV>
            <wp:extent cx="4737726" cy="3562350"/>
            <wp:effectExtent l="0" t="0" r="0" b="0"/>
            <wp:wrapTopAndBottom/>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4737726" cy="3562350"/>
                    </a:xfrm>
                    <a:prstGeom prst="rect">
                      <a:avLst/>
                    </a:prstGeom>
                  </pic:spPr>
                </pic:pic>
              </a:graphicData>
            </a:graphic>
          </wp:anchor>
        </w:drawing>
      </w:r>
    </w:p>
    <w:p>
      <w:pPr>
        <w:pStyle w:val="BodyText"/>
        <w:rPr>
          <w:sz w:val="22"/>
        </w:rPr>
      </w:pPr>
    </w:p>
    <w:p>
      <w:pPr>
        <w:pStyle w:val="BodyText"/>
        <w:spacing w:before="5"/>
        <w:rPr>
          <w:sz w:val="28"/>
        </w:rPr>
      </w:pPr>
    </w:p>
    <w:p>
      <w:pPr>
        <w:spacing w:before="0"/>
        <w:ind w:left="487" w:right="1606" w:firstLine="0"/>
        <w:jc w:val="center"/>
        <w:rPr>
          <w:sz w:val="20"/>
        </w:rPr>
      </w:pPr>
      <w:bookmarkStart w:name="_bookmark4" w:id="20"/>
      <w:bookmarkEnd w:id="20"/>
      <w:r>
        <w:rPr/>
      </w:r>
      <w:r>
        <w:rPr>
          <w:sz w:val="20"/>
        </w:rPr>
        <w:t>Figure 2.4: Star-Rating Map for Southeast Iowa Using USRAP RPS Criteria</w:t>
      </w:r>
    </w:p>
    <w:p>
      <w:pPr>
        <w:spacing w:after="0"/>
        <w:jc w:val="center"/>
        <w:rPr>
          <w:sz w:val="20"/>
        </w:rPr>
        <w:sectPr>
          <w:pgSz w:w="12240" w:h="15840"/>
          <w:pgMar w:header="0" w:footer="709" w:top="1100" w:bottom="980" w:left="1120" w:right="0"/>
        </w:sectPr>
      </w:pPr>
    </w:p>
    <w:p>
      <w:pPr>
        <w:pStyle w:val="Heading3"/>
        <w:numPr>
          <w:ilvl w:val="2"/>
          <w:numId w:val="9"/>
        </w:numPr>
        <w:tabs>
          <w:tab w:pos="1040" w:val="left" w:leader="none"/>
        </w:tabs>
        <w:spacing w:line="240" w:lineRule="auto" w:before="76" w:after="0"/>
        <w:ind w:left="1039" w:right="0" w:hanging="719"/>
        <w:jc w:val="left"/>
      </w:pPr>
      <w:bookmarkStart w:name="_TOC_250061" w:id="21"/>
      <w:bookmarkStart w:name="2.1.3 Pedestrian and Bicyclist Intersect" w:id="22"/>
      <w:r>
        <w:rPr>
          <w:b w:val="0"/>
        </w:rPr>
      </w:r>
      <w:bookmarkEnd w:id="22"/>
      <w:bookmarkStart w:name="2.1.3 Pedestrian and Bicyclist Intersect" w:id="23"/>
      <w:r>
        <w:rPr/>
        <w:t>P</w:t>
      </w:r>
      <w:r>
        <w:rPr/>
        <w:t>edestrian and Bicyclist Intersection Safety</w:t>
      </w:r>
      <w:r>
        <w:rPr>
          <w:spacing w:val="-2"/>
        </w:rPr>
        <w:t> </w:t>
      </w:r>
      <w:bookmarkEnd w:id="21"/>
      <w:r>
        <w:rPr/>
        <w:t>Indices</w:t>
      </w:r>
    </w:p>
    <w:p>
      <w:pPr>
        <w:pStyle w:val="BodyText"/>
        <w:spacing w:before="236"/>
        <w:ind w:left="319" w:right="1452"/>
      </w:pPr>
      <w:r>
        <w:rPr/>
        <w:t>In 2006, the FHWA sponsored research to develop the Pedestrian and Bicycle Safety Indices (Ped ISI and Bike ISI). The purpose of the ISI was to allow engineers and planners to proactively identify intersection crossings and approach legs which should be the greatest priority for undergoing pedestrian and bicycle safety improvements (Carter et al., 2006). In the methodology, the Ped and Bike ISI score is an evaluation of each approach leg of an intersection rather than evaluating the intersection as a whole. For example, a four-leg intersection would have four possible pedestrian safety scores, one for each crossing, and 12 possible bicycle safety scores, three for each leg (through, right lane, left lane). The approach with higher scores indicates a greater priority for an in-depth safety assessment. This tool applies to intersections with the following</w:t>
      </w:r>
      <w:r>
        <w:rPr>
          <w:spacing w:val="-1"/>
        </w:rPr>
        <w:t> </w:t>
      </w:r>
      <w:r>
        <w:rPr/>
        <w:t>characteristics:</w:t>
      </w:r>
    </w:p>
    <w:p>
      <w:pPr>
        <w:pStyle w:val="BodyText"/>
        <w:spacing w:before="11"/>
        <w:rPr>
          <w:sz w:val="20"/>
        </w:rPr>
      </w:pPr>
    </w:p>
    <w:p>
      <w:pPr>
        <w:pStyle w:val="ListParagraph"/>
        <w:numPr>
          <w:ilvl w:val="3"/>
          <w:numId w:val="9"/>
        </w:numPr>
        <w:tabs>
          <w:tab w:pos="1039" w:val="left" w:leader="none"/>
          <w:tab w:pos="1040" w:val="left" w:leader="none"/>
        </w:tabs>
        <w:spacing w:line="240" w:lineRule="auto" w:before="0" w:after="0"/>
        <w:ind w:left="1040" w:right="0" w:hanging="360"/>
        <w:jc w:val="left"/>
        <w:rPr>
          <w:sz w:val="24"/>
        </w:rPr>
      </w:pPr>
      <w:r>
        <w:rPr>
          <w:sz w:val="24"/>
        </w:rPr>
        <w:t>Three- or four-leg</w:t>
      </w:r>
      <w:r>
        <w:rPr>
          <w:spacing w:val="-3"/>
          <w:sz w:val="24"/>
        </w:rPr>
        <w:t> </w:t>
      </w:r>
      <w:r>
        <w:rPr>
          <w:sz w:val="24"/>
        </w:rPr>
        <w:t>intersections</w:t>
      </w:r>
    </w:p>
    <w:p>
      <w:pPr>
        <w:pStyle w:val="ListParagraph"/>
        <w:numPr>
          <w:ilvl w:val="3"/>
          <w:numId w:val="9"/>
        </w:numPr>
        <w:tabs>
          <w:tab w:pos="1039" w:val="left" w:leader="none"/>
          <w:tab w:pos="1040" w:val="left" w:leader="none"/>
        </w:tabs>
        <w:spacing w:line="240" w:lineRule="auto" w:before="239" w:after="0"/>
        <w:ind w:left="1040" w:right="0" w:hanging="360"/>
        <w:jc w:val="left"/>
        <w:rPr>
          <w:sz w:val="24"/>
        </w:rPr>
      </w:pPr>
      <w:r>
        <w:rPr>
          <w:sz w:val="24"/>
        </w:rPr>
        <w:t>Signalized, two-way stop, and four-way</w:t>
      </w:r>
      <w:r>
        <w:rPr>
          <w:spacing w:val="-1"/>
          <w:sz w:val="24"/>
        </w:rPr>
        <w:t> </w:t>
      </w:r>
      <w:r>
        <w:rPr>
          <w:sz w:val="24"/>
        </w:rPr>
        <w:t>stop</w:t>
      </w:r>
    </w:p>
    <w:p>
      <w:pPr>
        <w:pStyle w:val="ListParagraph"/>
        <w:numPr>
          <w:ilvl w:val="3"/>
          <w:numId w:val="9"/>
        </w:numPr>
        <w:tabs>
          <w:tab w:pos="1039" w:val="left" w:leader="none"/>
          <w:tab w:pos="1040" w:val="left" w:leader="none"/>
        </w:tabs>
        <w:spacing w:line="240" w:lineRule="auto" w:before="240" w:after="0"/>
        <w:ind w:left="1040" w:right="0" w:hanging="360"/>
        <w:jc w:val="left"/>
        <w:rPr>
          <w:sz w:val="24"/>
        </w:rPr>
      </w:pPr>
      <w:r>
        <w:rPr>
          <w:sz w:val="24"/>
        </w:rPr>
        <w:t>Traffic volume from 600 to 5,000 vehicle per</w:t>
      </w:r>
      <w:r>
        <w:rPr>
          <w:spacing w:val="-2"/>
          <w:sz w:val="24"/>
        </w:rPr>
        <w:t> </w:t>
      </w:r>
      <w:r>
        <w:rPr>
          <w:sz w:val="24"/>
        </w:rPr>
        <w:t>day</w:t>
      </w:r>
    </w:p>
    <w:p>
      <w:pPr>
        <w:pStyle w:val="ListParagraph"/>
        <w:numPr>
          <w:ilvl w:val="3"/>
          <w:numId w:val="9"/>
        </w:numPr>
        <w:tabs>
          <w:tab w:pos="1039" w:val="left" w:leader="none"/>
          <w:tab w:pos="1040" w:val="left" w:leader="none"/>
        </w:tabs>
        <w:spacing w:line="240" w:lineRule="auto" w:before="239" w:after="0"/>
        <w:ind w:left="1040" w:right="0" w:hanging="360"/>
        <w:jc w:val="left"/>
        <w:rPr>
          <w:sz w:val="24"/>
        </w:rPr>
      </w:pPr>
      <w:r>
        <w:rPr>
          <w:sz w:val="24"/>
        </w:rPr>
        <w:t>One-way or two-way</w:t>
      </w:r>
      <w:r>
        <w:rPr>
          <w:spacing w:val="-1"/>
          <w:sz w:val="24"/>
        </w:rPr>
        <w:t> </w:t>
      </w:r>
      <w:r>
        <w:rPr>
          <w:sz w:val="24"/>
        </w:rPr>
        <w:t>roads</w:t>
      </w:r>
    </w:p>
    <w:p>
      <w:pPr>
        <w:pStyle w:val="ListParagraph"/>
        <w:numPr>
          <w:ilvl w:val="3"/>
          <w:numId w:val="9"/>
        </w:numPr>
        <w:tabs>
          <w:tab w:pos="1039" w:val="left" w:leader="none"/>
          <w:tab w:pos="1040" w:val="left" w:leader="none"/>
        </w:tabs>
        <w:spacing w:line="240" w:lineRule="auto" w:before="238" w:after="0"/>
        <w:ind w:left="1040" w:right="0" w:hanging="360"/>
        <w:jc w:val="left"/>
        <w:rPr>
          <w:sz w:val="24"/>
        </w:rPr>
      </w:pPr>
      <w:r>
        <w:rPr>
          <w:sz w:val="24"/>
        </w:rPr>
        <w:t>One to four through</w:t>
      </w:r>
      <w:r>
        <w:rPr>
          <w:spacing w:val="-1"/>
          <w:sz w:val="24"/>
        </w:rPr>
        <w:t> </w:t>
      </w:r>
      <w:r>
        <w:rPr>
          <w:sz w:val="24"/>
        </w:rPr>
        <w:t>lanes</w:t>
      </w:r>
    </w:p>
    <w:p>
      <w:pPr>
        <w:pStyle w:val="ListParagraph"/>
        <w:numPr>
          <w:ilvl w:val="3"/>
          <w:numId w:val="9"/>
        </w:numPr>
        <w:tabs>
          <w:tab w:pos="1039" w:val="left" w:leader="none"/>
          <w:tab w:pos="1040" w:val="left" w:leader="none"/>
        </w:tabs>
        <w:spacing w:line="240" w:lineRule="auto" w:before="240" w:after="0"/>
        <w:ind w:left="1040" w:right="0" w:hanging="360"/>
        <w:jc w:val="left"/>
        <w:rPr>
          <w:sz w:val="24"/>
        </w:rPr>
      </w:pPr>
      <w:r>
        <w:rPr>
          <w:sz w:val="24"/>
        </w:rPr>
        <w:t>Speed limit from 15 to 45</w:t>
      </w:r>
      <w:r>
        <w:rPr>
          <w:spacing w:val="-2"/>
          <w:sz w:val="24"/>
        </w:rPr>
        <w:t> </w:t>
      </w:r>
      <w:r>
        <w:rPr>
          <w:sz w:val="24"/>
        </w:rPr>
        <w:t>mph</w:t>
      </w:r>
    </w:p>
    <w:p>
      <w:pPr>
        <w:pStyle w:val="BodyText"/>
        <w:rPr>
          <w:sz w:val="28"/>
        </w:rPr>
      </w:pPr>
    </w:p>
    <w:p>
      <w:pPr>
        <w:pStyle w:val="BodyText"/>
        <w:spacing w:before="192"/>
        <w:ind w:left="319" w:right="1503"/>
      </w:pPr>
      <w:r>
        <w:rPr/>
        <w:t>To develop these indices, the researchers collected video and data from 68 pedestrian crossing intersections and 67 bicycle approaches at intersections in Florida, Pennsylvania, California, and Oregon. Safety ratings (opinion) from experts and bicycle/pedestrian-motorist interactions from a video analysis of each site were used to generate a multivariate linear regression model to explain the safety indices. The resulting models are listed </w:t>
      </w:r>
      <w:hyperlink w:history="true" w:anchor="_bookmark6">
        <w:r>
          <w:rPr/>
          <w:t>in Table 2.1</w:t>
        </w:r>
      </w:hyperlink>
      <w:r>
        <w:rPr/>
        <w:t> and </w:t>
      </w:r>
      <w:hyperlink w:history="true" w:anchor="_bookmark7">
        <w:r>
          <w:rPr/>
          <w:t>Table 2.2</w:t>
        </w:r>
      </w:hyperlink>
      <w:r>
        <w:rPr/>
        <w:t>. The variables included in the model could be considered similar to risk factors. In the Bicycle ISI there are separate models depending on the type of maneuver the cyclist would be making (a through movement, a left turn or a right turn). The sign on the model coefficients and the units can be used to interpret the effect on the ISI score (where a larger ISI indicates a higher priority for improvement). For example, in the Ped ISI model the sign on the coefficient on a number of through lanes is positive, indicating that as the number of lanes increases, the relative safety of pedestrian crossing decreases.</w:t>
      </w:r>
    </w:p>
    <w:p>
      <w:pPr>
        <w:spacing w:after="0"/>
        <w:sectPr>
          <w:pgSz w:w="12240" w:h="15840"/>
          <w:pgMar w:header="0" w:footer="709" w:top="920" w:bottom="980" w:left="1120" w:right="0"/>
        </w:sectPr>
      </w:pPr>
    </w:p>
    <w:p>
      <w:pPr>
        <w:spacing w:before="75"/>
        <w:ind w:left="320" w:right="0" w:firstLine="0"/>
        <w:jc w:val="left"/>
        <w:rPr>
          <w:b/>
          <w:sz w:val="20"/>
        </w:rPr>
      </w:pPr>
      <w:bookmarkStart w:name="_bookmark6" w:id="24"/>
      <w:bookmarkEnd w:id="24"/>
      <w:r>
        <w:rPr/>
      </w:r>
      <w:r>
        <w:rPr>
          <w:b/>
          <w:sz w:val="20"/>
        </w:rPr>
        <w:t>Table 2.1: Ped ISI Model and Variable Descriptions</w:t>
      </w:r>
    </w:p>
    <w:tbl>
      <w:tblPr>
        <w:tblW w:w="0" w:type="auto"/>
        <w:jc w:val="left"/>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0"/>
        <w:gridCol w:w="3438"/>
        <w:gridCol w:w="3582"/>
      </w:tblGrid>
      <w:tr>
        <w:trPr>
          <w:trHeight w:val="828" w:hRule="atLeast"/>
        </w:trPr>
        <w:tc>
          <w:tcPr>
            <w:tcW w:w="8370" w:type="dxa"/>
            <w:gridSpan w:val="3"/>
          </w:tcPr>
          <w:p>
            <w:pPr>
              <w:pStyle w:val="TableParagraph"/>
              <w:spacing w:before="66"/>
              <w:ind w:left="107"/>
              <w:rPr>
                <w:b/>
                <w:sz w:val="20"/>
              </w:rPr>
            </w:pPr>
            <w:r>
              <w:rPr>
                <w:sz w:val="20"/>
              </w:rPr>
              <w:t>Ped ISI = 2.372—1.867</w:t>
            </w:r>
            <w:r>
              <w:rPr>
                <w:b/>
                <w:sz w:val="20"/>
              </w:rPr>
              <w:t>SIGNAL</w:t>
            </w:r>
            <w:r>
              <w:rPr>
                <w:sz w:val="20"/>
              </w:rPr>
              <w:t>—1.807</w:t>
            </w:r>
            <w:r>
              <w:rPr>
                <w:b/>
                <w:sz w:val="20"/>
              </w:rPr>
              <w:t>STOP </w:t>
            </w:r>
            <w:r>
              <w:rPr>
                <w:sz w:val="20"/>
              </w:rPr>
              <w:t>+ 0.335</w:t>
            </w:r>
            <w:r>
              <w:rPr>
                <w:b/>
                <w:sz w:val="20"/>
              </w:rPr>
              <w:t>THRULNS </w:t>
            </w:r>
            <w:r>
              <w:rPr>
                <w:sz w:val="20"/>
              </w:rPr>
              <w:t>+ 0.018</w:t>
            </w:r>
            <w:r>
              <w:rPr>
                <w:b/>
                <w:sz w:val="20"/>
              </w:rPr>
              <w:t>SPEED</w:t>
            </w:r>
          </w:p>
          <w:p>
            <w:pPr>
              <w:pStyle w:val="TableParagraph"/>
              <w:spacing w:line="230" w:lineRule="exact"/>
              <w:ind w:left="107"/>
              <w:rPr>
                <w:b/>
                <w:sz w:val="20"/>
              </w:rPr>
            </w:pPr>
            <w:r>
              <w:rPr>
                <w:sz w:val="20"/>
              </w:rPr>
              <w:t>+ 0.006(</w:t>
            </w:r>
            <w:r>
              <w:rPr>
                <w:b/>
                <w:sz w:val="20"/>
              </w:rPr>
              <w:t>MAINADT*SIGNAL) </w:t>
            </w:r>
            <w:r>
              <w:rPr>
                <w:sz w:val="20"/>
              </w:rPr>
              <w:t>+ 0.238</w:t>
            </w:r>
            <w:r>
              <w:rPr>
                <w:b/>
                <w:sz w:val="20"/>
              </w:rPr>
              <w:t>COMM</w:t>
            </w:r>
          </w:p>
          <w:p>
            <w:pPr>
              <w:pStyle w:val="TableParagraph"/>
              <w:spacing w:line="230" w:lineRule="exact"/>
              <w:ind w:left="107"/>
              <w:rPr>
                <w:sz w:val="20"/>
              </w:rPr>
            </w:pPr>
            <w:r>
              <w:rPr>
                <w:sz w:val="20"/>
              </w:rPr>
              <w:t>where:</w:t>
            </w:r>
          </w:p>
        </w:tc>
      </w:tr>
      <w:tr>
        <w:trPr>
          <w:trHeight w:val="551" w:hRule="atLeast"/>
        </w:trPr>
        <w:tc>
          <w:tcPr>
            <w:tcW w:w="1350" w:type="dxa"/>
          </w:tcPr>
          <w:p>
            <w:pPr>
              <w:pStyle w:val="TableParagraph"/>
              <w:spacing w:before="157"/>
              <w:ind w:left="106"/>
              <w:rPr>
                <w:sz w:val="20"/>
              </w:rPr>
            </w:pPr>
            <w:r>
              <w:rPr>
                <w:sz w:val="20"/>
              </w:rPr>
              <w:t>SIGNAL</w:t>
            </w:r>
          </w:p>
        </w:tc>
        <w:tc>
          <w:tcPr>
            <w:tcW w:w="3438" w:type="dxa"/>
          </w:tcPr>
          <w:p>
            <w:pPr>
              <w:pStyle w:val="TableParagraph"/>
              <w:spacing w:before="157"/>
              <w:ind w:left="107"/>
              <w:rPr>
                <w:sz w:val="20"/>
              </w:rPr>
            </w:pPr>
            <w:r>
              <w:rPr>
                <w:sz w:val="20"/>
              </w:rPr>
              <w:t>Signal-controlled crossing</w:t>
            </w:r>
          </w:p>
        </w:tc>
        <w:tc>
          <w:tcPr>
            <w:tcW w:w="3582" w:type="dxa"/>
          </w:tcPr>
          <w:p>
            <w:pPr>
              <w:pStyle w:val="TableParagraph"/>
              <w:spacing w:before="42"/>
              <w:ind w:left="107"/>
              <w:rPr>
                <w:sz w:val="20"/>
              </w:rPr>
            </w:pPr>
            <w:r>
              <w:rPr>
                <w:sz w:val="20"/>
              </w:rPr>
              <w:t>0 = no</w:t>
            </w:r>
          </w:p>
          <w:p>
            <w:pPr>
              <w:pStyle w:val="TableParagraph"/>
              <w:ind w:left="106"/>
              <w:rPr>
                <w:sz w:val="20"/>
              </w:rPr>
            </w:pPr>
            <w:r>
              <w:rPr>
                <w:sz w:val="20"/>
              </w:rPr>
              <w:t>1 = yes</w:t>
            </w:r>
          </w:p>
        </w:tc>
      </w:tr>
      <w:tr>
        <w:trPr>
          <w:trHeight w:val="552" w:hRule="atLeast"/>
        </w:trPr>
        <w:tc>
          <w:tcPr>
            <w:tcW w:w="1350" w:type="dxa"/>
          </w:tcPr>
          <w:p>
            <w:pPr>
              <w:pStyle w:val="TableParagraph"/>
              <w:spacing w:before="158"/>
              <w:ind w:left="106"/>
              <w:rPr>
                <w:sz w:val="20"/>
              </w:rPr>
            </w:pPr>
            <w:r>
              <w:rPr>
                <w:sz w:val="20"/>
              </w:rPr>
              <w:t>STOP</w:t>
            </w:r>
          </w:p>
        </w:tc>
        <w:tc>
          <w:tcPr>
            <w:tcW w:w="3438" w:type="dxa"/>
          </w:tcPr>
          <w:p>
            <w:pPr>
              <w:pStyle w:val="TableParagraph"/>
              <w:spacing w:before="158"/>
              <w:ind w:left="107"/>
              <w:rPr>
                <w:sz w:val="20"/>
              </w:rPr>
            </w:pPr>
            <w:r>
              <w:rPr>
                <w:sz w:val="20"/>
              </w:rPr>
              <w:t>Stop-sign controlled crossing</w:t>
            </w:r>
          </w:p>
        </w:tc>
        <w:tc>
          <w:tcPr>
            <w:tcW w:w="3582" w:type="dxa"/>
          </w:tcPr>
          <w:p>
            <w:pPr>
              <w:pStyle w:val="TableParagraph"/>
              <w:spacing w:before="43"/>
              <w:ind w:left="106"/>
              <w:rPr>
                <w:sz w:val="20"/>
              </w:rPr>
            </w:pPr>
            <w:r>
              <w:rPr>
                <w:sz w:val="20"/>
              </w:rPr>
              <w:t>0 = no</w:t>
            </w:r>
          </w:p>
          <w:p>
            <w:pPr>
              <w:pStyle w:val="TableParagraph"/>
              <w:spacing w:before="1"/>
              <w:ind w:left="106"/>
              <w:rPr>
                <w:sz w:val="20"/>
              </w:rPr>
            </w:pPr>
            <w:r>
              <w:rPr>
                <w:sz w:val="20"/>
              </w:rPr>
              <w:t>1 = yes</w:t>
            </w:r>
          </w:p>
        </w:tc>
      </w:tr>
      <w:tr>
        <w:trPr>
          <w:trHeight w:val="828" w:hRule="atLeast"/>
        </w:trPr>
        <w:tc>
          <w:tcPr>
            <w:tcW w:w="1350" w:type="dxa"/>
          </w:tcPr>
          <w:p>
            <w:pPr>
              <w:pStyle w:val="TableParagraph"/>
              <w:spacing w:before="9"/>
              <w:rPr>
                <w:b/>
                <w:sz w:val="25"/>
              </w:rPr>
            </w:pPr>
          </w:p>
          <w:p>
            <w:pPr>
              <w:pStyle w:val="TableParagraph"/>
              <w:ind w:left="106"/>
              <w:rPr>
                <w:sz w:val="20"/>
              </w:rPr>
            </w:pPr>
            <w:r>
              <w:rPr>
                <w:sz w:val="20"/>
              </w:rPr>
              <w:t>THRULNS</w:t>
            </w:r>
          </w:p>
        </w:tc>
        <w:tc>
          <w:tcPr>
            <w:tcW w:w="3438" w:type="dxa"/>
          </w:tcPr>
          <w:p>
            <w:pPr>
              <w:pStyle w:val="TableParagraph"/>
              <w:spacing w:before="66"/>
              <w:ind w:left="106" w:right="652" w:firstLine="1"/>
              <w:rPr>
                <w:sz w:val="20"/>
              </w:rPr>
            </w:pPr>
            <w:r>
              <w:rPr>
                <w:sz w:val="20"/>
              </w:rPr>
              <w:t>Number of through lanes on street being crossed (both directions)</w:t>
            </w:r>
          </w:p>
        </w:tc>
        <w:tc>
          <w:tcPr>
            <w:tcW w:w="3582" w:type="dxa"/>
          </w:tcPr>
          <w:p>
            <w:pPr>
              <w:pStyle w:val="TableParagraph"/>
              <w:spacing w:before="9"/>
              <w:rPr>
                <w:b/>
                <w:sz w:val="25"/>
              </w:rPr>
            </w:pPr>
          </w:p>
          <w:p>
            <w:pPr>
              <w:pStyle w:val="TableParagraph"/>
              <w:ind w:left="106"/>
              <w:rPr>
                <w:sz w:val="20"/>
              </w:rPr>
            </w:pPr>
            <w:r>
              <w:rPr>
                <w:sz w:val="20"/>
              </w:rPr>
              <w:t>1, 2, 3, …</w:t>
            </w:r>
          </w:p>
        </w:tc>
      </w:tr>
      <w:tr>
        <w:trPr>
          <w:trHeight w:val="551" w:hRule="atLeast"/>
        </w:trPr>
        <w:tc>
          <w:tcPr>
            <w:tcW w:w="1350" w:type="dxa"/>
          </w:tcPr>
          <w:p>
            <w:pPr>
              <w:pStyle w:val="TableParagraph"/>
              <w:spacing w:before="157"/>
              <w:ind w:left="106"/>
              <w:rPr>
                <w:sz w:val="20"/>
              </w:rPr>
            </w:pPr>
            <w:r>
              <w:rPr>
                <w:sz w:val="20"/>
              </w:rPr>
              <w:t>SPEED</w:t>
            </w:r>
          </w:p>
        </w:tc>
        <w:tc>
          <w:tcPr>
            <w:tcW w:w="3438" w:type="dxa"/>
          </w:tcPr>
          <w:p>
            <w:pPr>
              <w:pStyle w:val="TableParagraph"/>
              <w:spacing w:before="42"/>
              <w:ind w:left="106" w:right="652" w:firstLine="1"/>
              <w:rPr>
                <w:sz w:val="20"/>
              </w:rPr>
            </w:pPr>
            <w:r>
              <w:rPr>
                <w:sz w:val="20"/>
              </w:rPr>
              <w:t>Eighty-fifth percentile speed of street being crossed</w:t>
            </w:r>
          </w:p>
        </w:tc>
        <w:tc>
          <w:tcPr>
            <w:tcW w:w="3582" w:type="dxa"/>
          </w:tcPr>
          <w:p>
            <w:pPr>
              <w:pStyle w:val="TableParagraph"/>
              <w:spacing w:before="157"/>
              <w:ind w:left="107"/>
              <w:rPr>
                <w:sz w:val="20"/>
              </w:rPr>
            </w:pPr>
            <w:r>
              <w:rPr>
                <w:sz w:val="20"/>
              </w:rPr>
              <w:t>Speed in miles per hour</w:t>
            </w:r>
          </w:p>
        </w:tc>
      </w:tr>
      <w:tr>
        <w:trPr>
          <w:trHeight w:val="431" w:hRule="atLeast"/>
        </w:trPr>
        <w:tc>
          <w:tcPr>
            <w:tcW w:w="1350" w:type="dxa"/>
          </w:tcPr>
          <w:p>
            <w:pPr>
              <w:pStyle w:val="TableParagraph"/>
              <w:spacing w:before="97"/>
              <w:ind w:left="106"/>
              <w:rPr>
                <w:sz w:val="20"/>
              </w:rPr>
            </w:pPr>
            <w:r>
              <w:rPr>
                <w:sz w:val="20"/>
              </w:rPr>
              <w:t>MAINADT</w:t>
            </w:r>
          </w:p>
        </w:tc>
        <w:tc>
          <w:tcPr>
            <w:tcW w:w="3438" w:type="dxa"/>
          </w:tcPr>
          <w:p>
            <w:pPr>
              <w:pStyle w:val="TableParagraph"/>
              <w:spacing w:before="97"/>
              <w:ind w:left="107"/>
              <w:rPr>
                <w:sz w:val="20"/>
              </w:rPr>
            </w:pPr>
            <w:r>
              <w:rPr>
                <w:sz w:val="20"/>
              </w:rPr>
              <w:t>Main street traffic volume</w:t>
            </w:r>
          </w:p>
        </w:tc>
        <w:tc>
          <w:tcPr>
            <w:tcW w:w="3582" w:type="dxa"/>
          </w:tcPr>
          <w:p>
            <w:pPr>
              <w:pStyle w:val="TableParagraph"/>
              <w:spacing w:before="97"/>
              <w:ind w:left="108"/>
              <w:rPr>
                <w:sz w:val="20"/>
              </w:rPr>
            </w:pPr>
            <w:r>
              <w:rPr>
                <w:sz w:val="20"/>
              </w:rPr>
              <w:t>ADT in thousands</w:t>
            </w:r>
          </w:p>
        </w:tc>
      </w:tr>
      <w:tr>
        <w:trPr>
          <w:trHeight w:val="1104" w:hRule="atLeast"/>
        </w:trPr>
        <w:tc>
          <w:tcPr>
            <w:tcW w:w="1350" w:type="dxa"/>
          </w:tcPr>
          <w:p>
            <w:pPr>
              <w:pStyle w:val="TableParagraph"/>
              <w:rPr>
                <w:b/>
                <w:sz w:val="22"/>
              </w:rPr>
            </w:pPr>
          </w:p>
          <w:p>
            <w:pPr>
              <w:pStyle w:val="TableParagraph"/>
              <w:spacing w:before="181"/>
              <w:ind w:left="106"/>
              <w:rPr>
                <w:sz w:val="20"/>
              </w:rPr>
            </w:pPr>
            <w:r>
              <w:rPr>
                <w:sz w:val="20"/>
              </w:rPr>
              <w:t>COMM</w:t>
            </w:r>
          </w:p>
        </w:tc>
        <w:tc>
          <w:tcPr>
            <w:tcW w:w="3438" w:type="dxa"/>
          </w:tcPr>
          <w:p>
            <w:pPr>
              <w:pStyle w:val="TableParagraph"/>
              <w:spacing w:before="89"/>
              <w:ind w:left="106" w:right="102" w:hanging="1"/>
              <w:rPr>
                <w:sz w:val="20"/>
              </w:rPr>
            </w:pPr>
            <w:r>
              <w:rPr>
                <w:sz w:val="20"/>
              </w:rPr>
              <w:t>Predominant land use on surrounding area is commercial</w:t>
            </w:r>
          </w:p>
          <w:p>
            <w:pPr>
              <w:pStyle w:val="TableParagraph"/>
              <w:spacing w:before="1"/>
              <w:ind w:left="106" w:right="652"/>
              <w:rPr>
                <w:sz w:val="20"/>
              </w:rPr>
            </w:pPr>
            <w:r>
              <w:rPr>
                <w:sz w:val="20"/>
              </w:rPr>
              <w:t>development (i.e., retail, restaurants)</w:t>
            </w:r>
          </w:p>
        </w:tc>
        <w:tc>
          <w:tcPr>
            <w:tcW w:w="3582" w:type="dxa"/>
          </w:tcPr>
          <w:p>
            <w:pPr>
              <w:pStyle w:val="TableParagraph"/>
              <w:spacing w:before="9"/>
              <w:rPr>
                <w:b/>
                <w:sz w:val="27"/>
              </w:rPr>
            </w:pPr>
          </w:p>
          <w:p>
            <w:pPr>
              <w:pStyle w:val="TableParagraph"/>
              <w:ind w:left="106" w:right="225" w:hanging="1"/>
              <w:rPr>
                <w:sz w:val="20"/>
              </w:rPr>
            </w:pPr>
            <w:r>
              <w:rPr>
                <w:sz w:val="20"/>
              </w:rPr>
              <w:t>0 = not predominantly commercial area 1 = predominantly commercial area</w:t>
            </w:r>
          </w:p>
        </w:tc>
      </w:tr>
    </w:tbl>
    <w:p>
      <w:pPr>
        <w:spacing w:after="0"/>
        <w:rPr>
          <w:sz w:val="20"/>
        </w:rPr>
        <w:sectPr>
          <w:pgSz w:w="12240" w:h="15840"/>
          <w:pgMar w:header="0" w:footer="709" w:top="920" w:bottom="980" w:left="1120" w:right="0"/>
        </w:sectPr>
      </w:pPr>
    </w:p>
    <w:p>
      <w:pPr>
        <w:spacing w:before="75"/>
        <w:ind w:left="320" w:right="0" w:firstLine="0"/>
        <w:jc w:val="left"/>
        <w:rPr>
          <w:b/>
          <w:sz w:val="20"/>
        </w:rPr>
      </w:pPr>
      <w:bookmarkStart w:name="_bookmark7" w:id="25"/>
      <w:bookmarkEnd w:id="25"/>
      <w:r>
        <w:rPr/>
      </w:r>
      <w:r>
        <w:rPr>
          <w:b/>
          <w:sz w:val="20"/>
        </w:rPr>
        <w:t>Table 2.2: Bike ISI Model and Variable Descriptions</w:t>
      </w:r>
    </w:p>
    <w:tbl>
      <w:tblPr>
        <w:tblW w:w="0" w:type="auto"/>
        <w:jc w:val="left"/>
        <w:tblInd w:w="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4"/>
        <w:gridCol w:w="3131"/>
        <w:gridCol w:w="3925"/>
      </w:tblGrid>
      <w:tr>
        <w:trPr>
          <w:trHeight w:val="1007" w:hRule="atLeast"/>
        </w:trPr>
        <w:tc>
          <w:tcPr>
            <w:tcW w:w="1224" w:type="dxa"/>
          </w:tcPr>
          <w:p>
            <w:pPr>
              <w:pStyle w:val="TableParagraph"/>
              <w:rPr>
                <w:b/>
                <w:sz w:val="22"/>
              </w:rPr>
            </w:pPr>
          </w:p>
          <w:p>
            <w:pPr>
              <w:pStyle w:val="TableParagraph"/>
              <w:spacing w:before="132"/>
              <w:ind w:left="106"/>
              <w:rPr>
                <w:sz w:val="20"/>
              </w:rPr>
            </w:pPr>
            <w:r>
              <w:rPr>
                <w:sz w:val="20"/>
              </w:rPr>
              <w:t>Through</w:t>
            </w:r>
          </w:p>
        </w:tc>
        <w:tc>
          <w:tcPr>
            <w:tcW w:w="7056" w:type="dxa"/>
            <w:gridSpan w:val="2"/>
          </w:tcPr>
          <w:p>
            <w:pPr>
              <w:pStyle w:val="TableParagraph"/>
              <w:spacing w:before="41"/>
              <w:ind w:left="104" w:right="2055" w:hanging="1"/>
              <w:rPr>
                <w:sz w:val="20"/>
              </w:rPr>
            </w:pPr>
            <w:r>
              <w:rPr>
                <w:sz w:val="20"/>
              </w:rPr>
              <w:t>Bike ISI = 1.13 + 0.019</w:t>
            </w:r>
            <w:r>
              <w:rPr>
                <w:b/>
                <w:sz w:val="20"/>
              </w:rPr>
              <w:t>MAINADT </w:t>
            </w:r>
            <w:r>
              <w:rPr>
                <w:sz w:val="20"/>
              </w:rPr>
              <w:t>+ 0.815</w:t>
            </w:r>
            <w:r>
              <w:rPr>
                <w:b/>
                <w:sz w:val="20"/>
              </w:rPr>
              <w:t>MAINHISPD </w:t>
            </w:r>
            <w:r>
              <w:rPr>
                <w:sz w:val="20"/>
              </w:rPr>
              <w:t>+ 0.650</w:t>
            </w:r>
            <w:r>
              <w:rPr>
                <w:b/>
                <w:sz w:val="20"/>
              </w:rPr>
              <w:t>TURNVEH </w:t>
            </w:r>
            <w:r>
              <w:rPr>
                <w:sz w:val="20"/>
              </w:rPr>
              <w:t>+ 0.470(</w:t>
            </w:r>
            <w:r>
              <w:rPr>
                <w:b/>
                <w:sz w:val="20"/>
              </w:rPr>
              <w:t>RTLANES</w:t>
            </w:r>
            <w:r>
              <w:rPr>
                <w:sz w:val="20"/>
              </w:rPr>
              <w:t>*</w:t>
            </w:r>
            <w:r>
              <w:rPr>
                <w:b/>
                <w:sz w:val="20"/>
              </w:rPr>
              <w:t>BL</w:t>
            </w:r>
            <w:r>
              <w:rPr>
                <w:sz w:val="20"/>
              </w:rPr>
              <w:t>) +</w:t>
            </w:r>
          </w:p>
          <w:p>
            <w:pPr>
              <w:pStyle w:val="TableParagraph"/>
              <w:spacing w:line="230" w:lineRule="exact"/>
              <w:ind w:left="104"/>
              <w:rPr>
                <w:sz w:val="20"/>
              </w:rPr>
            </w:pPr>
            <w:r>
              <w:rPr>
                <w:sz w:val="20"/>
              </w:rPr>
              <w:t>0.023(</w:t>
            </w:r>
            <w:r>
              <w:rPr>
                <w:b/>
                <w:sz w:val="20"/>
              </w:rPr>
              <w:t>CROSSADT</w:t>
            </w:r>
            <w:r>
              <w:rPr>
                <w:sz w:val="20"/>
              </w:rPr>
              <w:t>*</w:t>
            </w:r>
            <w:r>
              <w:rPr>
                <w:b/>
                <w:sz w:val="20"/>
              </w:rPr>
              <w:t>NOBL</w:t>
            </w:r>
            <w:r>
              <w:rPr>
                <w:sz w:val="20"/>
              </w:rPr>
              <w:t>) + 0.428(</w:t>
            </w:r>
            <w:r>
              <w:rPr>
                <w:b/>
                <w:sz w:val="20"/>
              </w:rPr>
              <w:t>SIGNAL</w:t>
            </w:r>
            <w:r>
              <w:rPr>
                <w:sz w:val="20"/>
              </w:rPr>
              <w:t>*</w:t>
            </w:r>
            <w:r>
              <w:rPr>
                <w:b/>
                <w:sz w:val="20"/>
              </w:rPr>
              <w:t>NOBL</w:t>
            </w:r>
            <w:r>
              <w:rPr>
                <w:sz w:val="20"/>
              </w:rPr>
              <w:t>) +</w:t>
            </w:r>
          </w:p>
          <w:p>
            <w:pPr>
              <w:pStyle w:val="TableParagraph"/>
              <w:ind w:left="104"/>
              <w:rPr>
                <w:b/>
                <w:sz w:val="20"/>
              </w:rPr>
            </w:pPr>
            <w:r>
              <w:rPr>
                <w:sz w:val="20"/>
              </w:rPr>
              <w:t>0.200</w:t>
            </w:r>
            <w:r>
              <w:rPr>
                <w:b/>
                <w:sz w:val="20"/>
              </w:rPr>
              <w:t>PARKING</w:t>
            </w:r>
          </w:p>
        </w:tc>
      </w:tr>
      <w:tr>
        <w:trPr>
          <w:trHeight w:val="845" w:hRule="atLeast"/>
        </w:trPr>
        <w:tc>
          <w:tcPr>
            <w:tcW w:w="1224" w:type="dxa"/>
          </w:tcPr>
          <w:p>
            <w:pPr>
              <w:pStyle w:val="TableParagraph"/>
              <w:spacing w:before="6"/>
              <w:rPr>
                <w:b/>
                <w:sz w:val="26"/>
              </w:rPr>
            </w:pPr>
          </w:p>
          <w:p>
            <w:pPr>
              <w:pStyle w:val="TableParagraph"/>
              <w:ind w:left="106"/>
              <w:rPr>
                <w:sz w:val="20"/>
              </w:rPr>
            </w:pPr>
            <w:r>
              <w:rPr>
                <w:sz w:val="20"/>
              </w:rPr>
              <w:t>Right Turn</w:t>
            </w:r>
          </w:p>
        </w:tc>
        <w:tc>
          <w:tcPr>
            <w:tcW w:w="7056" w:type="dxa"/>
            <w:gridSpan w:val="2"/>
          </w:tcPr>
          <w:p>
            <w:pPr>
              <w:pStyle w:val="TableParagraph"/>
              <w:spacing w:before="190"/>
              <w:ind w:left="104" w:right="2276"/>
              <w:rPr>
                <w:b/>
                <w:sz w:val="20"/>
              </w:rPr>
            </w:pPr>
            <w:r>
              <w:rPr>
                <w:sz w:val="20"/>
              </w:rPr>
              <w:t>Bike ISI = 1.02 + 0.027</w:t>
            </w:r>
            <w:r>
              <w:rPr>
                <w:b/>
                <w:sz w:val="20"/>
              </w:rPr>
              <w:t>MAINADT </w:t>
            </w:r>
            <w:r>
              <w:rPr>
                <w:sz w:val="20"/>
              </w:rPr>
              <w:t>+ 0.519</w:t>
            </w:r>
            <w:r>
              <w:rPr>
                <w:b/>
                <w:sz w:val="20"/>
              </w:rPr>
              <w:t>RTCROSS </w:t>
            </w:r>
            <w:r>
              <w:rPr>
                <w:sz w:val="20"/>
              </w:rPr>
              <w:t>+ 0.151</w:t>
            </w:r>
            <w:r>
              <w:rPr>
                <w:b/>
                <w:sz w:val="20"/>
              </w:rPr>
              <w:t>CROSSLNS </w:t>
            </w:r>
            <w:r>
              <w:rPr>
                <w:sz w:val="20"/>
              </w:rPr>
              <w:t>+ 0.200</w:t>
            </w:r>
            <w:r>
              <w:rPr>
                <w:b/>
                <w:sz w:val="20"/>
              </w:rPr>
              <w:t>PARKING</w:t>
            </w:r>
          </w:p>
        </w:tc>
      </w:tr>
      <w:tr>
        <w:trPr>
          <w:trHeight w:val="927" w:hRule="atLeast"/>
        </w:trPr>
        <w:tc>
          <w:tcPr>
            <w:tcW w:w="1224" w:type="dxa"/>
          </w:tcPr>
          <w:p>
            <w:pPr>
              <w:pStyle w:val="TableParagraph"/>
              <w:rPr>
                <w:b/>
                <w:sz w:val="30"/>
              </w:rPr>
            </w:pPr>
          </w:p>
          <w:p>
            <w:pPr>
              <w:pStyle w:val="TableParagraph"/>
              <w:spacing w:before="1"/>
              <w:ind w:left="106"/>
              <w:rPr>
                <w:sz w:val="20"/>
              </w:rPr>
            </w:pPr>
            <w:r>
              <w:rPr>
                <w:sz w:val="20"/>
              </w:rPr>
              <w:t>Left Turn</w:t>
            </w:r>
          </w:p>
        </w:tc>
        <w:tc>
          <w:tcPr>
            <w:tcW w:w="7056" w:type="dxa"/>
            <w:gridSpan w:val="2"/>
          </w:tcPr>
          <w:p>
            <w:pPr>
              <w:pStyle w:val="TableParagraph"/>
              <w:spacing w:before="115"/>
              <w:ind w:left="104"/>
              <w:rPr>
                <w:sz w:val="20"/>
              </w:rPr>
            </w:pPr>
            <w:r>
              <w:rPr>
                <w:sz w:val="20"/>
              </w:rPr>
              <w:t>Bike ISI = 1.100 + 0.025</w:t>
            </w:r>
            <w:r>
              <w:rPr>
                <w:b/>
                <w:sz w:val="20"/>
              </w:rPr>
              <w:t>MAINADT </w:t>
            </w:r>
            <w:r>
              <w:rPr>
                <w:sz w:val="20"/>
              </w:rPr>
              <w:t>+ 0.836</w:t>
            </w:r>
            <w:r>
              <w:rPr>
                <w:b/>
                <w:sz w:val="20"/>
              </w:rPr>
              <w:t>BL </w:t>
            </w:r>
            <w:r>
              <w:rPr>
                <w:sz w:val="20"/>
              </w:rPr>
              <w:t>+</w:t>
            </w:r>
          </w:p>
          <w:p>
            <w:pPr>
              <w:pStyle w:val="TableParagraph"/>
              <w:spacing w:before="1"/>
              <w:ind w:left="141"/>
              <w:rPr>
                <w:sz w:val="20"/>
              </w:rPr>
            </w:pPr>
            <w:r>
              <w:rPr>
                <w:sz w:val="20"/>
              </w:rPr>
              <w:t>0.485</w:t>
            </w:r>
            <w:r>
              <w:rPr>
                <w:b/>
                <w:sz w:val="20"/>
              </w:rPr>
              <w:t>SIGNAL </w:t>
            </w:r>
            <w:r>
              <w:rPr>
                <w:sz w:val="20"/>
              </w:rPr>
              <w:t>+ 0.736(</w:t>
            </w:r>
            <w:r>
              <w:rPr>
                <w:b/>
                <w:sz w:val="20"/>
              </w:rPr>
              <w:t>MAINHISPD</w:t>
            </w:r>
            <w:r>
              <w:rPr>
                <w:sz w:val="20"/>
              </w:rPr>
              <w:t>*</w:t>
            </w:r>
            <w:r>
              <w:rPr>
                <w:b/>
                <w:sz w:val="20"/>
              </w:rPr>
              <w:t>BL</w:t>
            </w:r>
            <w:r>
              <w:rPr>
                <w:sz w:val="20"/>
              </w:rPr>
              <w:t>) + 0.380(</w:t>
            </w:r>
            <w:r>
              <w:rPr>
                <w:b/>
                <w:sz w:val="20"/>
              </w:rPr>
              <w:t>LTCROSS</w:t>
            </w:r>
            <w:r>
              <w:rPr>
                <w:sz w:val="20"/>
              </w:rPr>
              <w:t>*</w:t>
            </w:r>
            <w:r>
              <w:rPr>
                <w:b/>
                <w:sz w:val="20"/>
              </w:rPr>
              <w:t>NOBL</w:t>
            </w:r>
            <w:r>
              <w:rPr>
                <w:sz w:val="20"/>
              </w:rPr>
              <w:t>) +</w:t>
            </w:r>
          </w:p>
          <w:p>
            <w:pPr>
              <w:pStyle w:val="TableParagraph"/>
              <w:ind w:left="141"/>
              <w:rPr>
                <w:b/>
                <w:sz w:val="20"/>
              </w:rPr>
            </w:pPr>
            <w:r>
              <w:rPr>
                <w:sz w:val="20"/>
              </w:rPr>
              <w:t>0.200</w:t>
            </w:r>
            <w:r>
              <w:rPr>
                <w:b/>
                <w:sz w:val="20"/>
              </w:rPr>
              <w:t>PARKING</w:t>
            </w:r>
          </w:p>
        </w:tc>
      </w:tr>
      <w:tr>
        <w:trPr>
          <w:trHeight w:val="891" w:hRule="atLeast"/>
        </w:trPr>
        <w:tc>
          <w:tcPr>
            <w:tcW w:w="1224" w:type="dxa"/>
          </w:tcPr>
          <w:p>
            <w:pPr>
              <w:pStyle w:val="TableParagraph"/>
              <w:spacing w:before="5"/>
              <w:rPr>
                <w:b/>
                <w:sz w:val="28"/>
              </w:rPr>
            </w:pPr>
          </w:p>
          <w:p>
            <w:pPr>
              <w:pStyle w:val="TableParagraph"/>
              <w:spacing w:before="1"/>
              <w:ind w:left="106"/>
              <w:rPr>
                <w:sz w:val="20"/>
              </w:rPr>
            </w:pPr>
            <w:r>
              <w:rPr>
                <w:sz w:val="20"/>
              </w:rPr>
              <w:t>BL</w:t>
            </w:r>
          </w:p>
        </w:tc>
        <w:tc>
          <w:tcPr>
            <w:tcW w:w="3131" w:type="dxa"/>
          </w:tcPr>
          <w:p>
            <w:pPr>
              <w:pStyle w:val="TableParagraph"/>
              <w:spacing w:before="5"/>
              <w:rPr>
                <w:b/>
                <w:sz w:val="28"/>
              </w:rPr>
            </w:pPr>
          </w:p>
          <w:p>
            <w:pPr>
              <w:pStyle w:val="TableParagraph"/>
              <w:spacing w:before="1"/>
              <w:ind w:left="106"/>
              <w:rPr>
                <w:sz w:val="20"/>
              </w:rPr>
            </w:pPr>
            <w:r>
              <w:rPr>
                <w:sz w:val="20"/>
              </w:rPr>
              <w:t>Bike lane presence</w:t>
            </w:r>
          </w:p>
        </w:tc>
        <w:tc>
          <w:tcPr>
            <w:tcW w:w="3925" w:type="dxa"/>
          </w:tcPr>
          <w:p>
            <w:pPr>
              <w:pStyle w:val="TableParagraph"/>
              <w:ind w:left="106" w:right="1950"/>
              <w:rPr>
                <w:sz w:val="20"/>
              </w:rPr>
            </w:pPr>
            <w:r>
              <w:rPr>
                <w:sz w:val="20"/>
              </w:rPr>
              <w:t>0 = NONE or wide curb lane (WCL)</w:t>
            </w:r>
          </w:p>
          <w:p>
            <w:pPr>
              <w:pStyle w:val="TableParagraph"/>
              <w:spacing w:line="230" w:lineRule="exact"/>
              <w:ind w:left="106" w:right="6"/>
              <w:rPr>
                <w:sz w:val="20"/>
              </w:rPr>
            </w:pPr>
            <w:r>
              <w:rPr>
                <w:sz w:val="20"/>
              </w:rPr>
              <w:t>1 = bike lane (BL) or bike lane crossover (BLX)</w:t>
            </w:r>
          </w:p>
        </w:tc>
      </w:tr>
      <w:tr>
        <w:trPr>
          <w:trHeight w:val="246" w:hRule="atLeast"/>
        </w:trPr>
        <w:tc>
          <w:tcPr>
            <w:tcW w:w="1224" w:type="dxa"/>
          </w:tcPr>
          <w:p>
            <w:pPr>
              <w:pStyle w:val="TableParagraph"/>
              <w:spacing w:line="221" w:lineRule="exact"/>
              <w:ind w:left="106"/>
              <w:rPr>
                <w:sz w:val="20"/>
              </w:rPr>
            </w:pPr>
            <w:r>
              <w:rPr>
                <w:sz w:val="20"/>
              </w:rPr>
              <w:t>CROSSADT</w:t>
            </w:r>
          </w:p>
        </w:tc>
        <w:tc>
          <w:tcPr>
            <w:tcW w:w="3131" w:type="dxa"/>
          </w:tcPr>
          <w:p>
            <w:pPr>
              <w:pStyle w:val="TableParagraph"/>
              <w:spacing w:line="221" w:lineRule="exact"/>
              <w:ind w:left="105"/>
              <w:rPr>
                <w:sz w:val="20"/>
              </w:rPr>
            </w:pPr>
            <w:r>
              <w:rPr>
                <w:sz w:val="20"/>
              </w:rPr>
              <w:t>Cross-street traffic volume</w:t>
            </w:r>
          </w:p>
        </w:tc>
        <w:tc>
          <w:tcPr>
            <w:tcW w:w="3925" w:type="dxa"/>
          </w:tcPr>
          <w:p>
            <w:pPr>
              <w:pStyle w:val="TableParagraph"/>
              <w:spacing w:line="221" w:lineRule="exact"/>
              <w:ind w:left="106"/>
              <w:rPr>
                <w:sz w:val="20"/>
              </w:rPr>
            </w:pPr>
            <w:r>
              <w:rPr>
                <w:sz w:val="20"/>
              </w:rPr>
              <w:t>ADT in thousands</w:t>
            </w:r>
          </w:p>
        </w:tc>
      </w:tr>
      <w:tr>
        <w:trPr>
          <w:trHeight w:val="552" w:hRule="atLeast"/>
        </w:trPr>
        <w:tc>
          <w:tcPr>
            <w:tcW w:w="1224" w:type="dxa"/>
          </w:tcPr>
          <w:p>
            <w:pPr>
              <w:pStyle w:val="TableParagraph"/>
              <w:spacing w:before="158"/>
              <w:ind w:left="106"/>
              <w:rPr>
                <w:sz w:val="20"/>
              </w:rPr>
            </w:pPr>
            <w:r>
              <w:rPr>
                <w:sz w:val="20"/>
              </w:rPr>
              <w:t>CROSSLNS</w:t>
            </w:r>
          </w:p>
        </w:tc>
        <w:tc>
          <w:tcPr>
            <w:tcW w:w="3131" w:type="dxa"/>
          </w:tcPr>
          <w:p>
            <w:pPr>
              <w:pStyle w:val="TableParagraph"/>
              <w:spacing w:before="43"/>
              <w:ind w:left="106" w:firstLine="1"/>
              <w:rPr>
                <w:sz w:val="20"/>
              </w:rPr>
            </w:pPr>
            <w:r>
              <w:rPr>
                <w:sz w:val="20"/>
              </w:rPr>
              <w:t>Number of through lanes on cross Street</w:t>
            </w:r>
          </w:p>
        </w:tc>
        <w:tc>
          <w:tcPr>
            <w:tcW w:w="3925" w:type="dxa"/>
          </w:tcPr>
          <w:p>
            <w:pPr>
              <w:pStyle w:val="TableParagraph"/>
              <w:spacing w:before="158"/>
              <w:ind w:left="106"/>
              <w:rPr>
                <w:sz w:val="20"/>
              </w:rPr>
            </w:pPr>
            <w:r>
              <w:rPr>
                <w:sz w:val="20"/>
              </w:rPr>
              <w:t>1, 2, …</w:t>
            </w:r>
          </w:p>
        </w:tc>
      </w:tr>
      <w:tr>
        <w:trPr>
          <w:trHeight w:val="552" w:hRule="atLeast"/>
        </w:trPr>
        <w:tc>
          <w:tcPr>
            <w:tcW w:w="1224" w:type="dxa"/>
          </w:tcPr>
          <w:p>
            <w:pPr>
              <w:pStyle w:val="TableParagraph"/>
              <w:spacing w:before="158"/>
              <w:ind w:left="106"/>
              <w:rPr>
                <w:sz w:val="20"/>
              </w:rPr>
            </w:pPr>
            <w:r>
              <w:rPr>
                <w:sz w:val="20"/>
              </w:rPr>
              <w:t>LTCROSS</w:t>
            </w:r>
          </w:p>
        </w:tc>
        <w:tc>
          <w:tcPr>
            <w:tcW w:w="3131" w:type="dxa"/>
          </w:tcPr>
          <w:p>
            <w:pPr>
              <w:pStyle w:val="TableParagraph"/>
              <w:spacing w:before="43"/>
              <w:ind w:left="106" w:right="-17" w:firstLine="1"/>
              <w:rPr>
                <w:sz w:val="20"/>
              </w:rPr>
            </w:pPr>
            <w:r>
              <w:rPr>
                <w:sz w:val="20"/>
              </w:rPr>
              <w:t>Number of traffic lanes for cyclists to cross to make a left turn</w:t>
            </w:r>
          </w:p>
        </w:tc>
        <w:tc>
          <w:tcPr>
            <w:tcW w:w="3925" w:type="dxa"/>
          </w:tcPr>
          <w:p>
            <w:pPr>
              <w:pStyle w:val="TableParagraph"/>
              <w:spacing w:before="158"/>
              <w:ind w:left="106"/>
              <w:rPr>
                <w:sz w:val="20"/>
              </w:rPr>
            </w:pPr>
            <w:r>
              <w:rPr>
                <w:sz w:val="20"/>
              </w:rPr>
              <w:t>0, 1, 2, …</w:t>
            </w:r>
          </w:p>
        </w:tc>
      </w:tr>
      <w:tr>
        <w:trPr>
          <w:trHeight w:val="275" w:hRule="atLeast"/>
        </w:trPr>
        <w:tc>
          <w:tcPr>
            <w:tcW w:w="1224" w:type="dxa"/>
          </w:tcPr>
          <w:p>
            <w:pPr>
              <w:pStyle w:val="TableParagraph"/>
              <w:spacing w:before="19"/>
              <w:ind w:left="106"/>
              <w:rPr>
                <w:sz w:val="20"/>
              </w:rPr>
            </w:pPr>
            <w:r>
              <w:rPr>
                <w:sz w:val="20"/>
              </w:rPr>
              <w:t>MAINADT</w:t>
            </w:r>
          </w:p>
        </w:tc>
        <w:tc>
          <w:tcPr>
            <w:tcW w:w="3131" w:type="dxa"/>
          </w:tcPr>
          <w:p>
            <w:pPr>
              <w:pStyle w:val="TableParagraph"/>
              <w:spacing w:before="19"/>
              <w:ind w:left="107"/>
              <w:rPr>
                <w:sz w:val="20"/>
              </w:rPr>
            </w:pPr>
            <w:r>
              <w:rPr>
                <w:sz w:val="20"/>
              </w:rPr>
              <w:t>Main street traffic volume</w:t>
            </w:r>
          </w:p>
        </w:tc>
        <w:tc>
          <w:tcPr>
            <w:tcW w:w="3925" w:type="dxa"/>
          </w:tcPr>
          <w:p>
            <w:pPr>
              <w:pStyle w:val="TableParagraph"/>
              <w:spacing w:before="19"/>
              <w:ind w:left="107"/>
              <w:rPr>
                <w:sz w:val="20"/>
              </w:rPr>
            </w:pPr>
            <w:r>
              <w:rPr>
                <w:sz w:val="20"/>
              </w:rPr>
              <w:t>ADT in thousands</w:t>
            </w:r>
          </w:p>
        </w:tc>
      </w:tr>
      <w:tr>
        <w:trPr>
          <w:trHeight w:val="551" w:hRule="atLeast"/>
        </w:trPr>
        <w:tc>
          <w:tcPr>
            <w:tcW w:w="1224" w:type="dxa"/>
          </w:tcPr>
          <w:p>
            <w:pPr>
              <w:pStyle w:val="TableParagraph"/>
              <w:spacing w:before="158"/>
              <w:ind w:left="106" w:right="-15"/>
              <w:rPr>
                <w:sz w:val="20"/>
              </w:rPr>
            </w:pPr>
            <w:r>
              <w:rPr>
                <w:sz w:val="20"/>
              </w:rPr>
              <w:t>MAINHISPD</w:t>
            </w:r>
          </w:p>
        </w:tc>
        <w:tc>
          <w:tcPr>
            <w:tcW w:w="3131" w:type="dxa"/>
          </w:tcPr>
          <w:p>
            <w:pPr>
              <w:pStyle w:val="TableParagraph"/>
              <w:spacing w:before="43"/>
              <w:ind w:left="107" w:hanging="1"/>
              <w:rPr>
                <w:sz w:val="20"/>
              </w:rPr>
            </w:pPr>
            <w:r>
              <w:rPr>
                <w:sz w:val="20"/>
              </w:rPr>
              <w:t>Main street speed limit ≥ 56.3 km/h (35 mi/h)</w:t>
            </w:r>
          </w:p>
        </w:tc>
        <w:tc>
          <w:tcPr>
            <w:tcW w:w="3925" w:type="dxa"/>
          </w:tcPr>
          <w:p>
            <w:pPr>
              <w:pStyle w:val="TableParagraph"/>
              <w:spacing w:line="230" w:lineRule="exact" w:before="43"/>
              <w:ind w:left="106"/>
              <w:rPr>
                <w:sz w:val="20"/>
              </w:rPr>
            </w:pPr>
            <w:r>
              <w:rPr>
                <w:sz w:val="20"/>
              </w:rPr>
              <w:t>0 = no</w:t>
            </w:r>
          </w:p>
          <w:p>
            <w:pPr>
              <w:pStyle w:val="TableParagraph"/>
              <w:spacing w:line="230" w:lineRule="exact"/>
              <w:ind w:left="106"/>
              <w:rPr>
                <w:sz w:val="20"/>
              </w:rPr>
            </w:pPr>
            <w:r>
              <w:rPr>
                <w:sz w:val="20"/>
              </w:rPr>
              <w:t>1 = yes</w:t>
            </w:r>
          </w:p>
        </w:tc>
      </w:tr>
      <w:tr>
        <w:trPr>
          <w:trHeight w:val="553" w:hRule="atLeast"/>
        </w:trPr>
        <w:tc>
          <w:tcPr>
            <w:tcW w:w="1224" w:type="dxa"/>
          </w:tcPr>
          <w:p>
            <w:pPr>
              <w:pStyle w:val="TableParagraph"/>
              <w:spacing w:before="158"/>
              <w:ind w:left="106"/>
              <w:rPr>
                <w:sz w:val="20"/>
              </w:rPr>
            </w:pPr>
            <w:r>
              <w:rPr>
                <w:sz w:val="20"/>
              </w:rPr>
              <w:t>NOBL</w:t>
            </w:r>
          </w:p>
        </w:tc>
        <w:tc>
          <w:tcPr>
            <w:tcW w:w="3131" w:type="dxa"/>
          </w:tcPr>
          <w:p>
            <w:pPr>
              <w:pStyle w:val="TableParagraph"/>
              <w:spacing w:before="158"/>
              <w:ind w:left="107"/>
              <w:rPr>
                <w:sz w:val="20"/>
              </w:rPr>
            </w:pPr>
            <w:r>
              <w:rPr>
                <w:sz w:val="20"/>
              </w:rPr>
              <w:t>No bike lane present</w:t>
            </w:r>
          </w:p>
        </w:tc>
        <w:tc>
          <w:tcPr>
            <w:tcW w:w="3925" w:type="dxa"/>
          </w:tcPr>
          <w:p>
            <w:pPr>
              <w:pStyle w:val="TableParagraph"/>
              <w:spacing w:line="230" w:lineRule="exact" w:before="44"/>
              <w:ind w:left="105"/>
              <w:rPr>
                <w:sz w:val="20"/>
              </w:rPr>
            </w:pPr>
            <w:r>
              <w:rPr>
                <w:sz w:val="20"/>
              </w:rPr>
              <w:t>0 = BL or BLX</w:t>
            </w:r>
          </w:p>
          <w:p>
            <w:pPr>
              <w:pStyle w:val="TableParagraph"/>
              <w:spacing w:line="230" w:lineRule="exact"/>
              <w:ind w:left="106"/>
              <w:rPr>
                <w:sz w:val="20"/>
              </w:rPr>
            </w:pPr>
            <w:r>
              <w:rPr>
                <w:sz w:val="20"/>
              </w:rPr>
              <w:t>1 = NONE or WCL</w:t>
            </w:r>
          </w:p>
        </w:tc>
      </w:tr>
      <w:tr>
        <w:trPr>
          <w:trHeight w:val="551" w:hRule="atLeast"/>
        </w:trPr>
        <w:tc>
          <w:tcPr>
            <w:tcW w:w="1224" w:type="dxa"/>
          </w:tcPr>
          <w:p>
            <w:pPr>
              <w:pStyle w:val="TableParagraph"/>
              <w:spacing w:before="157"/>
              <w:ind w:left="106"/>
              <w:rPr>
                <w:sz w:val="20"/>
              </w:rPr>
            </w:pPr>
            <w:r>
              <w:rPr>
                <w:sz w:val="20"/>
              </w:rPr>
              <w:t>PARKING</w:t>
            </w:r>
          </w:p>
        </w:tc>
        <w:tc>
          <w:tcPr>
            <w:tcW w:w="3131" w:type="dxa"/>
          </w:tcPr>
          <w:p>
            <w:pPr>
              <w:pStyle w:val="TableParagraph"/>
              <w:spacing w:before="42"/>
              <w:ind w:left="106" w:right="404" w:firstLine="2"/>
              <w:rPr>
                <w:sz w:val="20"/>
              </w:rPr>
            </w:pPr>
            <w:r>
              <w:rPr>
                <w:sz w:val="20"/>
              </w:rPr>
              <w:t>On-street parking on main street approach</w:t>
            </w:r>
          </w:p>
        </w:tc>
        <w:tc>
          <w:tcPr>
            <w:tcW w:w="3925" w:type="dxa"/>
          </w:tcPr>
          <w:p>
            <w:pPr>
              <w:pStyle w:val="TableParagraph"/>
              <w:spacing w:before="42"/>
              <w:ind w:left="106"/>
              <w:rPr>
                <w:sz w:val="20"/>
              </w:rPr>
            </w:pPr>
            <w:r>
              <w:rPr>
                <w:sz w:val="20"/>
              </w:rPr>
              <w:t>0 = no</w:t>
            </w:r>
          </w:p>
          <w:p>
            <w:pPr>
              <w:pStyle w:val="TableParagraph"/>
              <w:ind w:left="106"/>
              <w:rPr>
                <w:sz w:val="20"/>
              </w:rPr>
            </w:pPr>
            <w:r>
              <w:rPr>
                <w:sz w:val="20"/>
              </w:rPr>
              <w:t>1 = yes</w:t>
            </w:r>
          </w:p>
        </w:tc>
      </w:tr>
      <w:tr>
        <w:trPr>
          <w:trHeight w:val="551" w:hRule="atLeast"/>
        </w:trPr>
        <w:tc>
          <w:tcPr>
            <w:tcW w:w="1224" w:type="dxa"/>
          </w:tcPr>
          <w:p>
            <w:pPr>
              <w:pStyle w:val="TableParagraph"/>
              <w:spacing w:before="157"/>
              <w:ind w:left="106"/>
              <w:rPr>
                <w:sz w:val="20"/>
              </w:rPr>
            </w:pPr>
            <w:r>
              <w:rPr>
                <w:sz w:val="20"/>
              </w:rPr>
              <w:t>RTCROSS</w:t>
            </w:r>
          </w:p>
        </w:tc>
        <w:tc>
          <w:tcPr>
            <w:tcW w:w="3131" w:type="dxa"/>
          </w:tcPr>
          <w:p>
            <w:pPr>
              <w:pStyle w:val="TableParagraph"/>
              <w:spacing w:before="43"/>
              <w:ind w:left="106" w:right="-18" w:firstLine="2"/>
              <w:rPr>
                <w:sz w:val="20"/>
              </w:rPr>
            </w:pPr>
            <w:r>
              <w:rPr>
                <w:sz w:val="20"/>
              </w:rPr>
              <w:t>Number of traffic lanes for cyclists to cross to make a right turn</w:t>
            </w:r>
          </w:p>
        </w:tc>
        <w:tc>
          <w:tcPr>
            <w:tcW w:w="3925" w:type="dxa"/>
          </w:tcPr>
          <w:p>
            <w:pPr>
              <w:pStyle w:val="TableParagraph"/>
              <w:spacing w:before="157"/>
              <w:ind w:left="106"/>
              <w:rPr>
                <w:sz w:val="20"/>
              </w:rPr>
            </w:pPr>
            <w:r>
              <w:rPr>
                <w:sz w:val="20"/>
              </w:rPr>
              <w:t>0, 1, 2, …</w:t>
            </w:r>
          </w:p>
        </w:tc>
      </w:tr>
      <w:tr>
        <w:trPr>
          <w:trHeight w:val="552" w:hRule="atLeast"/>
        </w:trPr>
        <w:tc>
          <w:tcPr>
            <w:tcW w:w="1224" w:type="dxa"/>
          </w:tcPr>
          <w:p>
            <w:pPr>
              <w:pStyle w:val="TableParagraph"/>
              <w:spacing w:before="158"/>
              <w:ind w:left="106"/>
              <w:rPr>
                <w:sz w:val="20"/>
              </w:rPr>
            </w:pPr>
            <w:r>
              <w:rPr>
                <w:sz w:val="20"/>
              </w:rPr>
              <w:t>RTLANES</w:t>
            </w:r>
          </w:p>
        </w:tc>
        <w:tc>
          <w:tcPr>
            <w:tcW w:w="3131" w:type="dxa"/>
          </w:tcPr>
          <w:p>
            <w:pPr>
              <w:pStyle w:val="TableParagraph"/>
              <w:spacing w:before="43"/>
              <w:ind w:left="106" w:firstLine="1"/>
              <w:rPr>
                <w:sz w:val="20"/>
              </w:rPr>
            </w:pPr>
            <w:r>
              <w:rPr>
                <w:sz w:val="20"/>
              </w:rPr>
              <w:t>Number of right-turn traffic lanes on main street approach</w:t>
            </w:r>
          </w:p>
        </w:tc>
        <w:tc>
          <w:tcPr>
            <w:tcW w:w="3925" w:type="dxa"/>
          </w:tcPr>
          <w:p>
            <w:pPr>
              <w:pStyle w:val="TableParagraph"/>
              <w:spacing w:before="158"/>
              <w:ind w:left="106"/>
              <w:rPr>
                <w:sz w:val="20"/>
              </w:rPr>
            </w:pPr>
            <w:r>
              <w:rPr>
                <w:sz w:val="20"/>
              </w:rPr>
              <w:t>0, 1</w:t>
            </w:r>
          </w:p>
        </w:tc>
      </w:tr>
      <w:tr>
        <w:trPr>
          <w:trHeight w:val="552" w:hRule="atLeast"/>
        </w:trPr>
        <w:tc>
          <w:tcPr>
            <w:tcW w:w="1224" w:type="dxa"/>
          </w:tcPr>
          <w:p>
            <w:pPr>
              <w:pStyle w:val="TableParagraph"/>
              <w:spacing w:before="158"/>
              <w:ind w:left="106"/>
              <w:rPr>
                <w:sz w:val="20"/>
              </w:rPr>
            </w:pPr>
            <w:r>
              <w:rPr>
                <w:sz w:val="20"/>
              </w:rPr>
              <w:t>SIGNAL</w:t>
            </w:r>
          </w:p>
        </w:tc>
        <w:tc>
          <w:tcPr>
            <w:tcW w:w="3131" w:type="dxa"/>
          </w:tcPr>
          <w:p>
            <w:pPr>
              <w:pStyle w:val="TableParagraph"/>
              <w:spacing w:before="158"/>
              <w:ind w:left="107"/>
              <w:rPr>
                <w:sz w:val="20"/>
              </w:rPr>
            </w:pPr>
            <w:r>
              <w:rPr>
                <w:sz w:val="20"/>
              </w:rPr>
              <w:t>Traffic signal at intersection</w:t>
            </w:r>
          </w:p>
        </w:tc>
        <w:tc>
          <w:tcPr>
            <w:tcW w:w="3925" w:type="dxa"/>
          </w:tcPr>
          <w:p>
            <w:pPr>
              <w:pStyle w:val="TableParagraph"/>
              <w:spacing w:before="43"/>
              <w:ind w:left="106"/>
              <w:rPr>
                <w:sz w:val="20"/>
              </w:rPr>
            </w:pPr>
            <w:r>
              <w:rPr>
                <w:sz w:val="20"/>
              </w:rPr>
              <w:t>0 = no</w:t>
            </w:r>
          </w:p>
          <w:p>
            <w:pPr>
              <w:pStyle w:val="TableParagraph"/>
              <w:spacing w:before="1"/>
              <w:ind w:left="106"/>
              <w:rPr>
                <w:sz w:val="20"/>
              </w:rPr>
            </w:pPr>
            <w:r>
              <w:rPr>
                <w:sz w:val="20"/>
              </w:rPr>
              <w:t>1 = yes</w:t>
            </w:r>
          </w:p>
        </w:tc>
      </w:tr>
      <w:tr>
        <w:trPr>
          <w:trHeight w:val="551" w:hRule="atLeast"/>
        </w:trPr>
        <w:tc>
          <w:tcPr>
            <w:tcW w:w="1224" w:type="dxa"/>
          </w:tcPr>
          <w:p>
            <w:pPr>
              <w:pStyle w:val="TableParagraph"/>
              <w:spacing w:before="157"/>
              <w:ind w:left="106"/>
              <w:rPr>
                <w:sz w:val="20"/>
              </w:rPr>
            </w:pPr>
            <w:r>
              <w:rPr>
                <w:sz w:val="20"/>
              </w:rPr>
              <w:t>TURNVEH</w:t>
            </w:r>
          </w:p>
        </w:tc>
        <w:tc>
          <w:tcPr>
            <w:tcW w:w="3131" w:type="dxa"/>
          </w:tcPr>
          <w:p>
            <w:pPr>
              <w:pStyle w:val="TableParagraph"/>
              <w:spacing w:before="42"/>
              <w:ind w:left="106" w:firstLine="1"/>
              <w:rPr>
                <w:sz w:val="20"/>
              </w:rPr>
            </w:pPr>
            <w:r>
              <w:rPr>
                <w:sz w:val="20"/>
              </w:rPr>
              <w:t>Presence of turning vehicle traffic across the path of through cyclists</w:t>
            </w:r>
          </w:p>
        </w:tc>
        <w:tc>
          <w:tcPr>
            <w:tcW w:w="3925" w:type="dxa"/>
          </w:tcPr>
          <w:p>
            <w:pPr>
              <w:pStyle w:val="TableParagraph"/>
              <w:spacing w:before="42"/>
              <w:ind w:left="106"/>
              <w:rPr>
                <w:sz w:val="20"/>
              </w:rPr>
            </w:pPr>
            <w:r>
              <w:rPr>
                <w:sz w:val="20"/>
              </w:rPr>
              <w:t>0 = no</w:t>
            </w:r>
          </w:p>
          <w:p>
            <w:pPr>
              <w:pStyle w:val="TableParagraph"/>
              <w:ind w:left="107"/>
              <w:rPr>
                <w:sz w:val="20"/>
              </w:rPr>
            </w:pPr>
            <w:r>
              <w:rPr>
                <w:sz w:val="20"/>
              </w:rPr>
              <w:t>1 = yes</w:t>
            </w:r>
          </w:p>
        </w:tc>
      </w:tr>
    </w:tbl>
    <w:p>
      <w:pPr>
        <w:pStyle w:val="BodyText"/>
        <w:rPr>
          <w:b/>
          <w:sz w:val="22"/>
        </w:rPr>
      </w:pPr>
    </w:p>
    <w:p>
      <w:pPr>
        <w:pStyle w:val="BodyText"/>
        <w:spacing w:before="10"/>
        <w:rPr>
          <w:b/>
          <w:sz w:val="22"/>
        </w:rPr>
      </w:pPr>
    </w:p>
    <w:p>
      <w:pPr>
        <w:pStyle w:val="Heading3"/>
        <w:numPr>
          <w:ilvl w:val="2"/>
          <w:numId w:val="9"/>
        </w:numPr>
        <w:tabs>
          <w:tab w:pos="1040" w:val="left" w:leader="none"/>
        </w:tabs>
        <w:spacing w:line="240" w:lineRule="auto" w:before="0" w:after="0"/>
        <w:ind w:left="1039" w:right="0" w:hanging="719"/>
        <w:jc w:val="left"/>
      </w:pPr>
      <w:bookmarkStart w:name="_TOC_250060" w:id="26"/>
      <w:bookmarkStart w:name="2.1.4 ActiveTrans Priority Tool (APT)" w:id="27"/>
      <w:r>
        <w:rPr>
          <w:b w:val="0"/>
        </w:rPr>
      </w:r>
      <w:bookmarkEnd w:id="27"/>
      <w:bookmarkStart w:name="2.1.4 ActiveTrans Priority Tool (APT)" w:id="28"/>
      <w:r>
        <w:rPr/>
        <w:t>A</w:t>
      </w:r>
      <w:r>
        <w:rPr/>
        <w:t>ctiveTrans Priority Tool</w:t>
      </w:r>
      <w:r>
        <w:rPr>
          <w:spacing w:val="-2"/>
        </w:rPr>
        <w:t> </w:t>
      </w:r>
      <w:bookmarkEnd w:id="26"/>
      <w:r>
        <w:rPr/>
        <w:t>(APT)</w:t>
      </w:r>
    </w:p>
    <w:p>
      <w:pPr>
        <w:pStyle w:val="BodyText"/>
        <w:spacing w:before="237"/>
        <w:ind w:left="320" w:right="1550"/>
      </w:pPr>
      <w:r>
        <w:rPr/>
        <w:t>Recognizing that for pedestrian and bicycle projects there are many competing project priorities and selection criteria, NCHRP sponsored research to develop the ActiveTrans Priority Tool (APT) (NCHRP Report 803 Lagerwey et al., 2015). The research resulted in a final report as well as a user-adaptable spreadsheet. This tool is a step-by-step methodology used for prioritizing pedestrian and bicycle improvements along the existing roads. To develop and support the research included, a literature review of general pedestrian and bicycle prioritization methodologies, special methodologies by jurisdictions, agency surveys, interviews, and case studies were conducted for more than 450 agencies throughout North America. The background research results indicated that prioritization methodology should consider the balance of need and feasibility of different projects and locations.</w:t>
      </w:r>
    </w:p>
    <w:p>
      <w:pPr>
        <w:spacing w:after="0"/>
        <w:sectPr>
          <w:pgSz w:w="12240" w:h="15840"/>
          <w:pgMar w:header="0" w:footer="709" w:top="920" w:bottom="980" w:left="1120" w:right="0"/>
        </w:sectPr>
      </w:pPr>
    </w:p>
    <w:p>
      <w:pPr>
        <w:pStyle w:val="BodyText"/>
        <w:spacing w:before="72"/>
        <w:ind w:left="320" w:right="1436"/>
      </w:pPr>
      <w:r>
        <w:rPr/>
        <w:t>To use the tool, the user must select which general categories to consider in the prioritizing scheme. These include input options for stakeholder input; constraints (both cost and legal); opportunities (upcoming projects); safety; existing conditions; demand; connectivity; equity; and compliance. Each of these categories is assigned weights (selected by the user) to reflect the desired priority in the project selection and ranking process. Within each of these categories, there are predefined project scoring criteria that can be selected and entered by the user (or entirely custom criteria can be entered). Scoring criteria data can be converted to scaled scores using a method that best fits the data (e.g., proportionate, inverse proportionate, quantile scaling). For example, the predefined safety variables include total crash frequency, fatal and severe crash frequency, and rates for each of these variables for both pedestrian and bicycle crashes.</w:t>
      </w:r>
    </w:p>
    <w:p>
      <w:pPr>
        <w:pStyle w:val="BodyText"/>
        <w:spacing w:before="11"/>
        <w:rPr>
          <w:sz w:val="20"/>
        </w:rPr>
      </w:pPr>
    </w:p>
    <w:p>
      <w:pPr>
        <w:pStyle w:val="BodyText"/>
        <w:ind w:left="320"/>
      </w:pPr>
      <w:r>
        <w:rPr/>
        <w:t>To illustrate the usefulness of the APT, the final report includes a number of case studies. </w:t>
      </w:r>
      <w:hyperlink w:history="true" w:anchor="_bookmark8">
        <w:r>
          <w:rPr/>
          <w:t>Figure</w:t>
        </w:r>
      </w:hyperlink>
    </w:p>
    <w:p>
      <w:pPr>
        <w:pStyle w:val="BodyText"/>
        <w:ind w:left="320" w:right="1611"/>
      </w:pPr>
      <w:hyperlink w:history="true" w:anchor="_bookmark8">
        <w:r>
          <w:rPr/>
          <w:t>2.5</w:t>
        </w:r>
      </w:hyperlink>
      <w:r>
        <w:rPr/>
        <w:t> shows the result of the APT applied to Gastonia, N.C., a community located west of Charlotte with a population of nearly 72,000. To maintain compatibility with the statewide project selection tool used by NCDOT, Gastonia’s planners selected to weight the categories as follows: safety =15, demand/density = 10, benefit/cost = 10, access = 10, and constructability =</w:t>
      </w:r>
    </w:p>
    <w:p>
      <w:pPr>
        <w:pStyle w:val="BodyText"/>
        <w:ind w:left="320" w:right="1430"/>
      </w:pPr>
      <w:r>
        <w:rPr/>
        <w:t>5. The safety score was computed by considering pedestrian crashes, overall speed limit, and whether the project provides separated facility and/or encourages a reduction in vehicular speeds. These criteria were then evaluated and prioritized using the APT and then mapped. The highlighted corridors were included in the city’s long-range pedestrian plan.</w:t>
      </w:r>
    </w:p>
    <w:p>
      <w:pPr>
        <w:pStyle w:val="BodyText"/>
        <w:spacing w:before="10"/>
        <w:rPr>
          <w:sz w:val="26"/>
        </w:rPr>
      </w:pPr>
      <w:r>
        <w:rPr/>
        <w:drawing>
          <wp:anchor distT="0" distB="0" distL="0" distR="0" allowOverlap="1" layoutInCell="1" locked="0" behindDoc="0" simplePos="0" relativeHeight="5">
            <wp:simplePos x="0" y="0"/>
            <wp:positionH relativeFrom="page">
              <wp:posOffset>1570871</wp:posOffset>
            </wp:positionH>
            <wp:positionV relativeFrom="paragraph">
              <wp:posOffset>221123</wp:posOffset>
            </wp:positionV>
            <wp:extent cx="5021686" cy="3788664"/>
            <wp:effectExtent l="0" t="0" r="0" b="0"/>
            <wp:wrapTopAndBottom/>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5021686" cy="3788664"/>
                    </a:xfrm>
                    <a:prstGeom prst="rect">
                      <a:avLst/>
                    </a:prstGeom>
                  </pic:spPr>
                </pic:pic>
              </a:graphicData>
            </a:graphic>
          </wp:anchor>
        </w:drawing>
      </w:r>
    </w:p>
    <w:p>
      <w:pPr>
        <w:pStyle w:val="BodyText"/>
        <w:spacing w:before="1"/>
        <w:rPr>
          <w:sz w:val="30"/>
        </w:rPr>
      </w:pPr>
    </w:p>
    <w:p>
      <w:pPr>
        <w:spacing w:before="0"/>
        <w:ind w:left="487" w:right="1604" w:firstLine="0"/>
        <w:jc w:val="center"/>
        <w:rPr>
          <w:sz w:val="20"/>
        </w:rPr>
      </w:pPr>
      <w:bookmarkStart w:name="_bookmark8" w:id="29"/>
      <w:bookmarkEnd w:id="29"/>
      <w:r>
        <w:rPr/>
      </w:r>
      <w:r>
        <w:rPr>
          <w:sz w:val="20"/>
        </w:rPr>
        <w:t>Figure 2.5: Combined Overall Safety Project Prioritization for Gastonia, N.C.</w:t>
      </w:r>
    </w:p>
    <w:p>
      <w:pPr>
        <w:spacing w:after="0"/>
        <w:jc w:val="center"/>
        <w:rPr>
          <w:sz w:val="20"/>
        </w:rPr>
        <w:sectPr>
          <w:pgSz w:w="12240" w:h="15840"/>
          <w:pgMar w:header="0" w:footer="709" w:top="920" w:bottom="980" w:left="1120" w:right="0"/>
        </w:sectPr>
      </w:pPr>
    </w:p>
    <w:p>
      <w:pPr>
        <w:pStyle w:val="Heading3"/>
        <w:numPr>
          <w:ilvl w:val="2"/>
          <w:numId w:val="10"/>
        </w:numPr>
        <w:tabs>
          <w:tab w:pos="1040" w:val="left" w:leader="none"/>
        </w:tabs>
        <w:spacing w:line="240" w:lineRule="auto" w:before="76" w:after="0"/>
        <w:ind w:left="1039" w:right="0" w:hanging="719"/>
        <w:jc w:val="left"/>
      </w:pPr>
      <w:bookmarkStart w:name="_TOC_250059" w:id="30"/>
      <w:bookmarkStart w:name="2.1.5 Level of Traffic Stress (LTS)" w:id="31"/>
      <w:r>
        <w:rPr>
          <w:b w:val="0"/>
        </w:rPr>
      </w:r>
      <w:bookmarkEnd w:id="31"/>
      <w:bookmarkStart w:name="2.1.5 Level of Traffic Stress (LTS)" w:id="32"/>
      <w:r>
        <w:rPr/>
        <w:t>L</w:t>
      </w:r>
      <w:r>
        <w:rPr/>
        <w:t>evel of Traffic Stress</w:t>
      </w:r>
      <w:r>
        <w:rPr>
          <w:spacing w:val="-1"/>
        </w:rPr>
        <w:t> </w:t>
      </w:r>
      <w:bookmarkEnd w:id="30"/>
      <w:r>
        <w:rPr/>
        <w:t>(LTS)</w:t>
      </w:r>
    </w:p>
    <w:p>
      <w:pPr>
        <w:pStyle w:val="BodyText"/>
        <w:spacing w:before="236"/>
        <w:ind w:left="320" w:right="1441"/>
      </w:pPr>
      <w:r>
        <w:rPr/>
        <w:t>For bicycle networks, another tool has emerged that defines the Level of Traffic Stress (LTS) for users based on some simple risk factors. The method measures low-stress connectivity, defined as “the ability of a network to connect travelers’ origins to their destinations without subjecting them to unacceptably stressful links” (Mekuria and Furth, 2013). The LTS method categorizes streets and intersections from LTS 1 (suitable for children) through LTS 4 (suitable for riders who are comfortable sharing the road with autos traveling at 35 mph or more). LTS 2, which anchors the street standards for all levels, is based on Dutch standards for bicycle facilities, because these have been shown to increase bicycling rates in the overall population (Mekuria and Furth, 2013). The criteria are shown in Table 3-3 for LTS</w:t>
      </w:r>
      <w:r>
        <w:rPr>
          <w:spacing w:val="-10"/>
        </w:rPr>
        <w:t> </w:t>
      </w:r>
      <w:r>
        <w:rPr/>
        <w:t>categorization.</w:t>
      </w:r>
    </w:p>
    <w:p>
      <w:pPr>
        <w:spacing w:after="0"/>
        <w:sectPr>
          <w:pgSz w:w="12240" w:h="15840"/>
          <w:pgMar w:header="0" w:footer="709" w:top="920" w:bottom="980" w:left="1120" w:right="0"/>
        </w:sectPr>
      </w:pPr>
    </w:p>
    <w:p>
      <w:pPr>
        <w:spacing w:before="75"/>
        <w:ind w:left="320" w:right="1943" w:hanging="1"/>
        <w:jc w:val="left"/>
        <w:rPr>
          <w:b/>
          <w:sz w:val="20"/>
        </w:rPr>
      </w:pPr>
      <w:r>
        <w:rPr/>
        <w:drawing>
          <wp:anchor distT="0" distB="0" distL="0" distR="0" allowOverlap="1" layoutInCell="1" locked="0" behindDoc="0" simplePos="0" relativeHeight="6">
            <wp:simplePos x="0" y="0"/>
            <wp:positionH relativeFrom="page">
              <wp:posOffset>1166721</wp:posOffset>
            </wp:positionH>
            <wp:positionV relativeFrom="paragraph">
              <wp:posOffset>404841</wp:posOffset>
            </wp:positionV>
            <wp:extent cx="5419481" cy="2152650"/>
            <wp:effectExtent l="0" t="0" r="0" b="0"/>
            <wp:wrapTopAndBottom/>
            <wp:docPr id="15" name="image9.png" descr=""/>
            <wp:cNvGraphicFramePr>
              <a:graphicFrameLocks noChangeAspect="1"/>
            </wp:cNvGraphicFramePr>
            <a:graphic>
              <a:graphicData uri="http://schemas.openxmlformats.org/drawingml/2006/picture">
                <pic:pic>
                  <pic:nvPicPr>
                    <pic:cNvPr id="16" name="image9.png"/>
                    <pic:cNvPicPr/>
                  </pic:nvPicPr>
                  <pic:blipFill>
                    <a:blip r:embed="rId18" cstate="print"/>
                    <a:stretch>
                      <a:fillRect/>
                    </a:stretch>
                  </pic:blipFill>
                  <pic:spPr>
                    <a:xfrm>
                      <a:off x="0" y="0"/>
                      <a:ext cx="5419481" cy="2152650"/>
                    </a:xfrm>
                    <a:prstGeom prst="rect">
                      <a:avLst/>
                    </a:prstGeom>
                  </pic:spPr>
                </pic:pic>
              </a:graphicData>
            </a:graphic>
          </wp:anchor>
        </w:drawing>
      </w:r>
      <w:r>
        <w:rPr>
          <w:b/>
          <w:sz w:val="20"/>
        </w:rPr>
        <w:t>Table 2.3:: Criteria for Level of Traffic Stress in Mixed Traffic from Low Stress Bicycling and Network Connectivity (Mekuria et al., 2013)</w:t>
      </w:r>
    </w:p>
    <w:p>
      <w:pPr>
        <w:pStyle w:val="BodyText"/>
        <w:spacing w:before="7"/>
        <w:rPr>
          <w:b/>
          <w:sz w:val="30"/>
        </w:rPr>
      </w:pPr>
    </w:p>
    <w:p>
      <w:pPr>
        <w:pStyle w:val="ListParagraph"/>
        <w:numPr>
          <w:ilvl w:val="3"/>
          <w:numId w:val="10"/>
        </w:numPr>
        <w:tabs>
          <w:tab w:pos="1039" w:val="left" w:leader="none"/>
          <w:tab w:pos="1040" w:val="left" w:leader="none"/>
        </w:tabs>
        <w:spacing w:line="240" w:lineRule="auto" w:before="0" w:after="0"/>
        <w:ind w:left="1040" w:right="0" w:hanging="360"/>
        <w:jc w:val="left"/>
        <w:rPr>
          <w:sz w:val="24"/>
        </w:rPr>
      </w:pPr>
      <w:r>
        <w:rPr>
          <w:sz w:val="24"/>
        </w:rPr>
        <w:t>LTS 1: Anybody would bike on</w:t>
      </w:r>
      <w:r>
        <w:rPr>
          <w:spacing w:val="-2"/>
          <w:sz w:val="24"/>
        </w:rPr>
        <w:t> </w:t>
      </w:r>
      <w:r>
        <w:rPr>
          <w:sz w:val="24"/>
        </w:rPr>
        <w:t>it</w:t>
      </w:r>
    </w:p>
    <w:p>
      <w:pPr>
        <w:pStyle w:val="ListParagraph"/>
        <w:numPr>
          <w:ilvl w:val="3"/>
          <w:numId w:val="10"/>
        </w:numPr>
        <w:tabs>
          <w:tab w:pos="1039" w:val="left" w:leader="none"/>
          <w:tab w:pos="1040" w:val="left" w:leader="none"/>
        </w:tabs>
        <w:spacing w:line="240" w:lineRule="auto" w:before="240" w:after="0"/>
        <w:ind w:left="1040" w:right="0" w:hanging="360"/>
        <w:jc w:val="left"/>
        <w:rPr>
          <w:sz w:val="24"/>
        </w:rPr>
      </w:pPr>
      <w:r>
        <w:rPr>
          <w:sz w:val="24"/>
        </w:rPr>
        <w:t>LTS 2: For basic adult</w:t>
      </w:r>
      <w:r>
        <w:rPr>
          <w:spacing w:val="-2"/>
          <w:sz w:val="24"/>
        </w:rPr>
        <w:t> </w:t>
      </w:r>
      <w:r>
        <w:rPr>
          <w:sz w:val="24"/>
        </w:rPr>
        <w:t>cyclists</w:t>
      </w:r>
    </w:p>
    <w:p>
      <w:pPr>
        <w:pStyle w:val="ListParagraph"/>
        <w:numPr>
          <w:ilvl w:val="3"/>
          <w:numId w:val="10"/>
        </w:numPr>
        <w:tabs>
          <w:tab w:pos="1039" w:val="left" w:leader="none"/>
          <w:tab w:pos="1040" w:val="left" w:leader="none"/>
        </w:tabs>
        <w:spacing w:line="240" w:lineRule="auto" w:before="239" w:after="0"/>
        <w:ind w:left="1040" w:right="0" w:hanging="360"/>
        <w:jc w:val="left"/>
        <w:rPr>
          <w:sz w:val="24"/>
        </w:rPr>
      </w:pPr>
      <w:r>
        <w:rPr>
          <w:sz w:val="24"/>
        </w:rPr>
        <w:t>LTS 3 or 4: For advanced</w:t>
      </w:r>
      <w:r>
        <w:rPr>
          <w:spacing w:val="-2"/>
          <w:sz w:val="24"/>
        </w:rPr>
        <w:t> </w:t>
      </w:r>
      <w:r>
        <w:rPr>
          <w:sz w:val="24"/>
        </w:rPr>
        <w:t>cyclists</w:t>
      </w:r>
    </w:p>
    <w:p>
      <w:pPr>
        <w:pStyle w:val="BodyText"/>
        <w:rPr>
          <w:sz w:val="28"/>
        </w:rPr>
      </w:pPr>
    </w:p>
    <w:p>
      <w:pPr>
        <w:pStyle w:val="BodyText"/>
        <w:spacing w:before="6"/>
        <w:rPr>
          <w:sz w:val="37"/>
        </w:rPr>
      </w:pPr>
    </w:p>
    <w:p>
      <w:pPr>
        <w:pStyle w:val="BodyText"/>
        <w:ind w:left="320" w:right="1454"/>
      </w:pPr>
      <w:r>
        <w:rPr/>
        <w:t>The LTS method and the above-referenced BLTS criteria have been used to develop a GIS-based “low stress” bicycle analysis tool and methodology that uses community-based input data to evaluate the “bikeability” of a roadway network as can be seen from </w:t>
      </w:r>
      <w:hyperlink w:history="true" w:anchor="_bookmark9">
        <w:r>
          <w:rPr/>
          <w:t>Figure 2.6,</w:t>
        </w:r>
      </w:hyperlink>
      <w:r>
        <w:rPr/>
        <w:t> which is a coded, low-stress, GIS-based bicycle network for Salem, OR, and </w:t>
      </w:r>
      <w:hyperlink w:history="true" w:anchor="_bookmark10">
        <w:r>
          <w:rPr/>
          <w:t>Figure 2.7</w:t>
        </w:r>
      </w:hyperlink>
      <w:r>
        <w:rPr/>
        <w:t>, which shows the geospatial correlation between the bicycle network LTS and where bicycle crashes</w:t>
      </w:r>
      <w:r>
        <w:rPr>
          <w:spacing w:val="-12"/>
        </w:rPr>
        <w:t> </w:t>
      </w:r>
      <w:r>
        <w:rPr/>
        <w:t>happened.</w:t>
      </w:r>
    </w:p>
    <w:p>
      <w:pPr>
        <w:pStyle w:val="BodyText"/>
        <w:ind w:left="320" w:right="1735"/>
      </w:pPr>
      <w:r>
        <w:rPr/>
        <w:t>Preliminary studies show that more than half of the bicycle crashes happened on streets with a higher level of stress.</w:t>
      </w:r>
    </w:p>
    <w:p>
      <w:pPr>
        <w:spacing w:after="0"/>
        <w:sectPr>
          <w:pgSz w:w="12240" w:h="15840"/>
          <w:pgMar w:header="0" w:footer="709" w:top="920" w:bottom="980" w:left="1120" w:right="0"/>
        </w:sectPr>
      </w:pPr>
    </w:p>
    <w:p>
      <w:pPr>
        <w:pStyle w:val="BodyText"/>
        <w:ind w:left="1142"/>
        <w:rPr>
          <w:sz w:val="20"/>
        </w:rPr>
      </w:pPr>
      <w:r>
        <w:rPr>
          <w:sz w:val="20"/>
        </w:rPr>
        <w:drawing>
          <wp:inline distT="0" distB="0" distL="0" distR="0">
            <wp:extent cx="4937556" cy="3294888"/>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9" cstate="print"/>
                    <a:stretch>
                      <a:fillRect/>
                    </a:stretch>
                  </pic:blipFill>
                  <pic:spPr>
                    <a:xfrm>
                      <a:off x="0" y="0"/>
                      <a:ext cx="4937556" cy="3294888"/>
                    </a:xfrm>
                    <a:prstGeom prst="rect">
                      <a:avLst/>
                    </a:prstGeom>
                  </pic:spPr>
                </pic:pic>
              </a:graphicData>
            </a:graphic>
          </wp:inline>
        </w:drawing>
      </w:r>
      <w:r>
        <w:rPr>
          <w:sz w:val="20"/>
        </w:rPr>
      </w:r>
    </w:p>
    <w:p>
      <w:pPr>
        <w:pStyle w:val="BodyText"/>
        <w:spacing w:before="3"/>
        <w:rPr>
          <w:sz w:val="23"/>
        </w:rPr>
      </w:pPr>
    </w:p>
    <w:p>
      <w:pPr>
        <w:spacing w:before="92"/>
        <w:ind w:left="3100" w:right="0" w:firstLine="0"/>
        <w:jc w:val="left"/>
        <w:rPr>
          <w:sz w:val="20"/>
        </w:rPr>
      </w:pPr>
      <w:bookmarkStart w:name="_bookmark9" w:id="33"/>
      <w:bookmarkEnd w:id="33"/>
      <w:r>
        <w:rPr/>
      </w:r>
      <w:r>
        <w:rPr>
          <w:sz w:val="20"/>
        </w:rPr>
        <w:t>Figure 2.6: Salem Low-Stress Bicycle Network</w:t>
      </w:r>
    </w:p>
    <w:p>
      <w:pPr>
        <w:pStyle w:val="BodyText"/>
        <w:rPr>
          <w:sz w:val="20"/>
        </w:rPr>
      </w:pPr>
    </w:p>
    <w:p>
      <w:pPr>
        <w:pStyle w:val="BodyText"/>
        <w:spacing w:before="7"/>
        <w:rPr>
          <w:sz w:val="18"/>
        </w:rPr>
      </w:pPr>
      <w:r>
        <w:rPr/>
        <w:drawing>
          <wp:anchor distT="0" distB="0" distL="0" distR="0" allowOverlap="1" layoutInCell="1" locked="0" behindDoc="0" simplePos="0" relativeHeight="7">
            <wp:simplePos x="0" y="0"/>
            <wp:positionH relativeFrom="page">
              <wp:posOffset>1504950</wp:posOffset>
            </wp:positionH>
            <wp:positionV relativeFrom="paragraph">
              <wp:posOffset>161265</wp:posOffset>
            </wp:positionV>
            <wp:extent cx="4780724" cy="3487674"/>
            <wp:effectExtent l="0" t="0" r="0" b="0"/>
            <wp:wrapTopAndBottom/>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20" cstate="print"/>
                    <a:stretch>
                      <a:fillRect/>
                    </a:stretch>
                  </pic:blipFill>
                  <pic:spPr>
                    <a:xfrm>
                      <a:off x="0" y="0"/>
                      <a:ext cx="4780724" cy="3487674"/>
                    </a:xfrm>
                    <a:prstGeom prst="rect">
                      <a:avLst/>
                    </a:prstGeom>
                  </pic:spPr>
                </pic:pic>
              </a:graphicData>
            </a:graphic>
          </wp:anchor>
        </w:drawing>
      </w:r>
    </w:p>
    <w:p>
      <w:pPr>
        <w:pStyle w:val="BodyText"/>
        <w:spacing w:before="9"/>
        <w:rPr>
          <w:sz w:val="28"/>
        </w:rPr>
      </w:pPr>
    </w:p>
    <w:p>
      <w:pPr>
        <w:spacing w:before="0"/>
        <w:ind w:left="487" w:right="1606" w:firstLine="0"/>
        <w:jc w:val="center"/>
        <w:rPr>
          <w:sz w:val="20"/>
        </w:rPr>
      </w:pPr>
      <w:bookmarkStart w:name="_bookmark10" w:id="34"/>
      <w:bookmarkEnd w:id="34"/>
      <w:r>
        <w:rPr/>
      </w:r>
      <w:r>
        <w:rPr>
          <w:sz w:val="20"/>
        </w:rPr>
        <w:t>Figure 2.7: Geospatial Correlation of Bicycle LTS (color coded) and Bicycle Crashes (circular dots), Analysis of New Hampshire Data</w:t>
      </w:r>
    </w:p>
    <w:p>
      <w:pPr>
        <w:spacing w:after="0"/>
        <w:jc w:val="center"/>
        <w:rPr>
          <w:sz w:val="20"/>
        </w:rPr>
        <w:sectPr>
          <w:pgSz w:w="12240" w:h="15840"/>
          <w:pgMar w:header="0" w:footer="709" w:top="1000" w:bottom="980" w:left="1120" w:right="0"/>
        </w:sectPr>
      </w:pPr>
    </w:p>
    <w:p>
      <w:pPr>
        <w:pStyle w:val="Heading3"/>
        <w:numPr>
          <w:ilvl w:val="1"/>
          <w:numId w:val="10"/>
        </w:numPr>
        <w:tabs>
          <w:tab w:pos="1039" w:val="left" w:leader="none"/>
          <w:tab w:pos="1040" w:val="left" w:leader="none"/>
        </w:tabs>
        <w:spacing w:line="240" w:lineRule="auto" w:before="76" w:after="0"/>
        <w:ind w:left="1039" w:right="0" w:hanging="719"/>
        <w:jc w:val="left"/>
      </w:pPr>
      <w:bookmarkStart w:name="_TOC_250058" w:id="35"/>
      <w:bookmarkStart w:name="2.2 Quantifying Bicycle Safety" w:id="36"/>
      <w:r>
        <w:rPr>
          <w:b w:val="0"/>
        </w:rPr>
      </w:r>
      <w:bookmarkEnd w:id="36"/>
      <w:bookmarkStart w:name="2.2 Quantifying Bicycle Safety" w:id="37"/>
      <w:r>
        <w:rPr/>
        <w:t>QU</w:t>
      </w:r>
      <w:r>
        <w:rPr/>
        <w:t>ANTIFYING BICYCLE</w:t>
      </w:r>
      <w:r>
        <w:rPr>
          <w:spacing w:val="-1"/>
        </w:rPr>
        <w:t> </w:t>
      </w:r>
      <w:bookmarkEnd w:id="35"/>
      <w:r>
        <w:rPr/>
        <w:t>SAFETY</w:t>
      </w:r>
    </w:p>
    <w:p>
      <w:pPr>
        <w:pStyle w:val="BodyText"/>
        <w:spacing w:before="236"/>
        <w:ind w:left="320" w:right="1448"/>
      </w:pPr>
      <w:r>
        <w:rPr/>
        <w:t>In order to develop risk-based scoring models, it is important to understand from the literature the factors that increase the risk level for these types of crashes. This section begins by</w:t>
      </w:r>
      <w:r>
        <w:rPr>
          <w:spacing w:val="-24"/>
        </w:rPr>
        <w:t> </w:t>
      </w:r>
      <w:r>
        <w:rPr/>
        <w:t>reviewing the modeling approaches that have been used to understand bicycle crashes. The section then reviews the literature on possible risk factors for bicycle crashes, including crash characteristics and the various roadway design features that are associated with increased</w:t>
      </w:r>
      <w:r>
        <w:rPr>
          <w:spacing w:val="-8"/>
        </w:rPr>
        <w:t> </w:t>
      </w:r>
      <w:r>
        <w:rPr/>
        <w:t>risk.</w:t>
      </w:r>
    </w:p>
    <w:p>
      <w:pPr>
        <w:pStyle w:val="BodyText"/>
        <w:spacing w:before="2"/>
        <w:rPr>
          <w:sz w:val="21"/>
        </w:rPr>
      </w:pPr>
    </w:p>
    <w:p>
      <w:pPr>
        <w:pStyle w:val="Heading3"/>
        <w:numPr>
          <w:ilvl w:val="2"/>
          <w:numId w:val="11"/>
        </w:numPr>
        <w:tabs>
          <w:tab w:pos="1040" w:val="left" w:leader="none"/>
        </w:tabs>
        <w:spacing w:line="240" w:lineRule="auto" w:before="0" w:after="0"/>
        <w:ind w:left="1039" w:right="0" w:hanging="719"/>
        <w:jc w:val="left"/>
      </w:pPr>
      <w:bookmarkStart w:name="_TOC_250057" w:id="38"/>
      <w:bookmarkStart w:name="2.2.1 Modeling Methods for Bicycle Crash" w:id="39"/>
      <w:r>
        <w:rPr>
          <w:b w:val="0"/>
        </w:rPr>
      </w:r>
      <w:bookmarkEnd w:id="39"/>
      <w:bookmarkStart w:name="2.2.1 Modeling Methods for Bicycle Crash" w:id="40"/>
      <w:r>
        <w:rPr/>
        <w:t>Mod</w:t>
      </w:r>
      <w:r>
        <w:rPr/>
        <w:t>eling Methods for Bicycle</w:t>
      </w:r>
      <w:r>
        <w:rPr>
          <w:spacing w:val="-2"/>
        </w:rPr>
        <w:t> </w:t>
      </w:r>
      <w:bookmarkEnd w:id="38"/>
      <w:r>
        <w:rPr/>
        <w:t>Crashes</w:t>
      </w:r>
    </w:p>
    <w:p>
      <w:pPr>
        <w:pStyle w:val="BodyText"/>
        <w:spacing w:before="238"/>
        <w:ind w:left="320" w:right="1962"/>
      </w:pPr>
      <w:r>
        <w:rPr/>
        <w:t>This section explores the different models that are used to find which factors influence the severity of bicycle crashes. The most common models used were the Poisson distribution, negative binomial models, linear regression models, logit model, ordered probit model, and multivariable logistic regression. Some studies used simple summary statistics as well as a model, and others created their own model to overcome some model shortcomings. Safety Performance Functions (SPFs) are also used to help describe the mathematical relationships between crash frequency and significant factors of the bicycle crashes.</w:t>
      </w:r>
    </w:p>
    <w:p>
      <w:pPr>
        <w:pStyle w:val="BodyText"/>
        <w:spacing w:before="11"/>
        <w:rPr>
          <w:sz w:val="20"/>
        </w:rPr>
      </w:pPr>
    </w:p>
    <w:p>
      <w:pPr>
        <w:pStyle w:val="Heading5"/>
        <w:numPr>
          <w:ilvl w:val="3"/>
          <w:numId w:val="11"/>
        </w:numPr>
        <w:tabs>
          <w:tab w:pos="1760" w:val="left" w:leader="none"/>
        </w:tabs>
        <w:spacing w:line="240" w:lineRule="auto" w:before="0" w:after="0"/>
        <w:ind w:left="1760" w:right="0" w:hanging="720"/>
        <w:jc w:val="left"/>
        <w:rPr>
          <w:i/>
        </w:rPr>
      </w:pPr>
      <w:bookmarkStart w:name="2.2.1.1 Poisson and Negative Binomial" w:id="41"/>
      <w:bookmarkEnd w:id="41"/>
      <w:r>
        <w:rPr>
          <w:b w:val="0"/>
          <w:i w:val="0"/>
        </w:rPr>
      </w:r>
      <w:bookmarkStart w:name="2.2.1.1 Poisson and Negative Binomial" w:id="42"/>
      <w:bookmarkEnd w:id="42"/>
      <w:r>
        <w:rPr>
          <w:i/>
        </w:rPr>
        <w:t>P</w:t>
      </w:r>
      <w:r>
        <w:rPr>
          <w:i/>
        </w:rPr>
        <w:t>oisson and Negative</w:t>
      </w:r>
      <w:r>
        <w:rPr>
          <w:i/>
          <w:spacing w:val="-2"/>
        </w:rPr>
        <w:t> </w:t>
      </w:r>
      <w:r>
        <w:rPr>
          <w:i/>
        </w:rPr>
        <w:t>Binomial</w:t>
      </w:r>
    </w:p>
    <w:p>
      <w:pPr>
        <w:pStyle w:val="BodyText"/>
        <w:spacing w:before="7"/>
        <w:rPr>
          <w:b/>
          <w:i/>
          <w:sz w:val="20"/>
        </w:rPr>
      </w:pPr>
    </w:p>
    <w:p>
      <w:pPr>
        <w:pStyle w:val="BodyText"/>
        <w:spacing w:before="1"/>
        <w:ind w:left="1039" w:right="1463"/>
      </w:pPr>
      <w:r>
        <w:rPr/>
        <w:t>The Poisson distribution was used to analyze the relationships of the crashes and the variables that influenced the crashes. In their study, Oh et al. (2008) used the Poisson distribution to analyze bicycle collisions at urban signalized intersections. However, only bicycle variables were considered and there could be more risk factors found if driver characteristics had been considered (Oh and Ph, 2008).  Nordback et al. (2014) focused on finding SPFs for bicycles in cities in the United States, and used the Poisson distribution because of its ability to create a logical fit for the accident data</w:t>
      </w:r>
      <w:r>
        <w:rPr>
          <w:spacing w:val="-15"/>
        </w:rPr>
        <w:t> </w:t>
      </w:r>
      <w:r>
        <w:rPr/>
        <w:t>provided.</w:t>
      </w:r>
    </w:p>
    <w:p>
      <w:pPr>
        <w:pStyle w:val="BodyText"/>
        <w:ind w:left="1040" w:right="1515"/>
      </w:pPr>
      <w:r>
        <w:rPr/>
        <w:t>Finally, the Poisson distribution was used for a study of the largest cycling event held in New Zealand to determine what factors play into risk level for bicyclists from incident rates (Tin Tin, Woodward, and Ameratunga, 2013).</w:t>
      </w:r>
    </w:p>
    <w:p>
      <w:pPr>
        <w:pStyle w:val="BodyText"/>
        <w:spacing w:before="10"/>
        <w:rPr>
          <w:sz w:val="20"/>
        </w:rPr>
      </w:pPr>
    </w:p>
    <w:p>
      <w:pPr>
        <w:pStyle w:val="BodyText"/>
        <w:ind w:left="1040" w:right="1515"/>
      </w:pPr>
      <w:r>
        <w:rPr/>
        <w:t>There are several studies that use the negative binomial model or some variation of the model. Oh et al. (2008) considered a negative binomial model when analyzing bicycle collisions at signalized intersections in an urban area. In a study that considered crashes involving a bicycle and motor vehicle at a signalized intersection, Wang et al. (2004) used three different negative binomial models to estimate the risk of such collisions.</w:t>
      </w:r>
    </w:p>
    <w:p>
      <w:pPr>
        <w:pStyle w:val="BodyText"/>
        <w:ind w:left="1040" w:right="1495"/>
      </w:pPr>
      <w:r>
        <w:rPr/>
        <w:t>Noland and Quddus (2004) used a fixed-effect negative binomial model to analyze the risk factors of pedestrian and bicycle casualties for various regions in England. Finally, a negative binomial regression model was used to study various factors, both road and bicycle, which influence bicycle risk factors at unsignalized intersections in order to try and prioritize their safety levels (Schepers et al., 2011).</w:t>
      </w:r>
    </w:p>
    <w:p>
      <w:pPr>
        <w:pStyle w:val="BodyText"/>
        <w:spacing w:before="1"/>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1.2 Linear Regression" w:id="43"/>
      <w:bookmarkEnd w:id="43"/>
      <w:r>
        <w:rPr>
          <w:b w:val="0"/>
          <w:i w:val="0"/>
        </w:rPr>
      </w:r>
      <w:bookmarkStart w:name="2.2.1.2 Linear Regression" w:id="44"/>
      <w:bookmarkEnd w:id="44"/>
      <w:r>
        <w:rPr>
          <w:i/>
        </w:rPr>
        <w:t>L</w:t>
      </w:r>
      <w:r>
        <w:rPr>
          <w:i/>
        </w:rPr>
        <w:t>inear</w:t>
      </w:r>
      <w:r>
        <w:rPr>
          <w:i/>
          <w:spacing w:val="-1"/>
        </w:rPr>
        <w:t> </w:t>
      </w:r>
      <w:r>
        <w:rPr>
          <w:i/>
        </w:rPr>
        <w:t>Regression</w:t>
      </w:r>
    </w:p>
    <w:p>
      <w:pPr>
        <w:pStyle w:val="BodyText"/>
        <w:spacing w:before="7"/>
        <w:rPr>
          <w:b/>
          <w:i/>
          <w:sz w:val="20"/>
        </w:rPr>
      </w:pPr>
    </w:p>
    <w:p>
      <w:pPr>
        <w:pStyle w:val="BodyText"/>
        <w:spacing w:before="1"/>
        <w:ind w:left="1040" w:right="1481"/>
      </w:pPr>
      <w:r>
        <w:rPr/>
        <w:t>Linear regression models were used in some studies but were generally accompanied by another modeling approach. Dixon et al. (2012) used SPFs along with two types of linear regression models, urban and rural, in order to quantify SPFs of driveways on state highways.  These SPFs were mainly focused and applied to vehicles (Dixon, Avelar et al., 2012). Another study looking at predicting accidents for roads with minor</w:t>
      </w:r>
      <w:r>
        <w:rPr>
          <w:spacing w:val="-19"/>
        </w:rPr>
        <w:t> </w:t>
      </w:r>
      <w:r>
        <w:rPr/>
        <w:t>junctions</w:t>
      </w:r>
    </w:p>
    <w:p>
      <w:pPr>
        <w:spacing w:after="0"/>
        <w:sectPr>
          <w:pgSz w:w="12240" w:h="15840"/>
          <w:pgMar w:header="0" w:footer="709" w:top="920" w:bottom="980" w:left="1120" w:right="0"/>
        </w:sectPr>
      </w:pPr>
    </w:p>
    <w:p>
      <w:pPr>
        <w:pStyle w:val="BodyText"/>
        <w:spacing w:before="72"/>
        <w:ind w:left="1040" w:right="1862"/>
      </w:pPr>
      <w:r>
        <w:rPr/>
        <w:t>used a linear model in conjunction with an empirical Bayes procedure (Mountain and Jarrett, 1996).</w:t>
      </w:r>
    </w:p>
    <w:p>
      <w:pPr>
        <w:pStyle w:val="BodyText"/>
        <w:spacing w:before="1"/>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1.3 Logit Model" w:id="45"/>
      <w:bookmarkEnd w:id="45"/>
      <w:r>
        <w:rPr>
          <w:b w:val="0"/>
          <w:i w:val="0"/>
        </w:rPr>
      </w:r>
      <w:bookmarkStart w:name="2.2.1.3 Logit Model" w:id="46"/>
      <w:bookmarkEnd w:id="46"/>
      <w:r>
        <w:rPr>
          <w:i/>
        </w:rPr>
        <w:t>L</w:t>
      </w:r>
      <w:r>
        <w:rPr>
          <w:i/>
        </w:rPr>
        <w:t>ogit</w:t>
      </w:r>
      <w:r>
        <w:rPr>
          <w:i/>
          <w:spacing w:val="-1"/>
        </w:rPr>
        <w:t> </w:t>
      </w:r>
      <w:r>
        <w:rPr>
          <w:i/>
        </w:rPr>
        <w:t>Model</w:t>
      </w:r>
    </w:p>
    <w:p>
      <w:pPr>
        <w:pStyle w:val="BodyText"/>
        <w:spacing w:before="8"/>
        <w:rPr>
          <w:b/>
          <w:i/>
          <w:sz w:val="20"/>
        </w:rPr>
      </w:pPr>
    </w:p>
    <w:p>
      <w:pPr>
        <w:pStyle w:val="BodyText"/>
        <w:ind w:left="1039" w:right="1463"/>
      </w:pPr>
      <w:r>
        <w:rPr/>
        <w:t>Logit models were very commonly used in previous studies concerning bicycle-related crashes due to the models’ ability to examine discrete choices, which are the level of severities of the crashes. Eluru et al. (2008) created a variation of the logit model, termed as a mixed generalized ordered response logit model, due to the limitations of a standard ordered response logit model to study pedestrian and bicycle injury severities in crashes. Kim et al. (2007) used a multinomial logit model for predicting the probability of different severity levels for bicycle-motor vehicle crashes in North Carolina. Another study used a mixed multinomial model to investigate three different types of crashes and the factors involved in those crashes (Pai, 2011).</w:t>
      </w:r>
    </w:p>
    <w:p>
      <w:pPr>
        <w:pStyle w:val="BodyText"/>
        <w:spacing w:before="10"/>
        <w:rPr>
          <w:sz w:val="20"/>
        </w:rPr>
      </w:pPr>
    </w:p>
    <w:p>
      <w:pPr>
        <w:pStyle w:val="BodyText"/>
        <w:ind w:left="1040" w:right="1495"/>
      </w:pPr>
      <w:r>
        <w:rPr/>
        <w:t>Boufous et al. (2012) used a logit model to determine the risk factors for bicycles in Victoria, Australia, and Schepers &amp; Brinker (2011) used a logit model to determine visual risk factors perceived by bicycles through a questionnaire. In order to find the perceived cycling risks and route acceptability of cyclists, Parkin et al. (2007) also used</w:t>
      </w:r>
      <w:r>
        <w:rPr>
          <w:spacing w:val="-20"/>
        </w:rPr>
        <w:t> </w:t>
      </w:r>
      <w:r>
        <w:rPr/>
        <w:t>a logit model and a non-linear least squares model. Finally, Lenguerrand et al. (2006) used three different models – a multilevel logistic model, generalized estimating equation models and logistic models – to model the hierarchical structure of road</w:t>
      </w:r>
      <w:r>
        <w:rPr>
          <w:spacing w:val="-8"/>
        </w:rPr>
        <w:t> </w:t>
      </w:r>
      <w:r>
        <w:rPr/>
        <w:t>crashes.</w:t>
      </w:r>
    </w:p>
    <w:p>
      <w:pPr>
        <w:pStyle w:val="BodyText"/>
        <w:ind w:left="1040" w:right="2174"/>
      </w:pPr>
      <w:r>
        <w:rPr/>
        <w:t>However, the results from the logistic models are not consistent with other studies (Lenguerrand, Martin, and Laumon, 2006).</w:t>
      </w:r>
    </w:p>
    <w:p>
      <w:pPr>
        <w:pStyle w:val="BodyText"/>
        <w:spacing w:before="1"/>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1.4 Probit Model" w:id="47"/>
      <w:bookmarkEnd w:id="47"/>
      <w:r>
        <w:rPr>
          <w:b w:val="0"/>
          <w:i w:val="0"/>
        </w:rPr>
      </w:r>
      <w:bookmarkStart w:name="2.2.1.4 Probit Model" w:id="48"/>
      <w:bookmarkEnd w:id="48"/>
      <w:r>
        <w:rPr>
          <w:i/>
        </w:rPr>
        <w:t>P</w:t>
      </w:r>
      <w:r>
        <w:rPr>
          <w:i/>
        </w:rPr>
        <w:t>robit</w:t>
      </w:r>
      <w:r>
        <w:rPr>
          <w:i/>
          <w:spacing w:val="-1"/>
        </w:rPr>
        <w:t> </w:t>
      </w:r>
      <w:r>
        <w:rPr>
          <w:i/>
        </w:rPr>
        <w:t>Model</w:t>
      </w:r>
    </w:p>
    <w:p>
      <w:pPr>
        <w:pStyle w:val="BodyText"/>
        <w:spacing w:before="8"/>
        <w:rPr>
          <w:b/>
          <w:i/>
          <w:sz w:val="20"/>
        </w:rPr>
      </w:pPr>
    </w:p>
    <w:p>
      <w:pPr>
        <w:pStyle w:val="BodyText"/>
        <w:ind w:left="1039" w:right="1634"/>
      </w:pPr>
      <w:r>
        <w:rPr/>
        <w:t>A common model used for analyzing crash injury severity levels and risk factors at intersections, both signalized and unsignalized, was a probit model or various forms of the probit model. This model was used because it can account for injury severities as naturally ordered variables (Lee and Abdel-Aty, 2005). Lee and Abdel-Aty used the ordered probit model to analyze vehicle-pedestrian crashes at intersections. Although this study did not consider bicycle crashes, the crash data used is similar to bicycle data and the model could be applied to bicycle incidents to determine risk factors and their significance. Abdel-Aty and Keller (2005) used an ordered probit model, tree-based regression, and probit model to examine signalized intersections and predict the level of injury severity. Another study used two types of probit models, an ordered and binary probit model, to analyze crash severity levels at unsignalized intersections (Haleem and Abdel-Aty, 2010).</w:t>
      </w:r>
    </w:p>
    <w:p>
      <w:pPr>
        <w:pStyle w:val="BodyText"/>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1.5 Other Modeling and Analysis Meth" w:id="49"/>
      <w:bookmarkEnd w:id="49"/>
      <w:r>
        <w:rPr>
          <w:b w:val="0"/>
          <w:i w:val="0"/>
        </w:rPr>
      </w:r>
      <w:bookmarkStart w:name="2.2.1.5 Other Modeling and Analysis Meth" w:id="50"/>
      <w:bookmarkEnd w:id="50"/>
      <w:r>
        <w:rPr>
          <w:i/>
        </w:rPr>
        <w:t>O</w:t>
      </w:r>
      <w:r>
        <w:rPr>
          <w:i/>
        </w:rPr>
        <w:t>ther Modeling and Analysis</w:t>
      </w:r>
      <w:r>
        <w:rPr>
          <w:i/>
          <w:spacing w:val="-2"/>
        </w:rPr>
        <w:t> </w:t>
      </w:r>
      <w:r>
        <w:rPr>
          <w:i/>
        </w:rPr>
        <w:t>Methods</w:t>
      </w:r>
    </w:p>
    <w:p>
      <w:pPr>
        <w:pStyle w:val="BodyText"/>
        <w:spacing w:before="8"/>
        <w:rPr>
          <w:b/>
          <w:i/>
          <w:sz w:val="20"/>
        </w:rPr>
      </w:pPr>
    </w:p>
    <w:p>
      <w:pPr>
        <w:pStyle w:val="BodyText"/>
        <w:ind w:left="1039" w:right="1616"/>
      </w:pPr>
      <w:r>
        <w:rPr/>
        <w:t>Several studies have developed their own models or use unusual models to explore bicycle crashes and determine the risk factors. One study chose to use a multivariate regression, which is based on a linear model, to determine the critical factors in fatal bicycle-automobile crashes (Bíl, Bílová, and Müller, 2010). Vandenbulcke et al. (2014) used a spatial Bayesian modeling approach to predict the risk levels of bicyclists along control sites, or a bikeable road network. Another unique model that was used was a quasi-induced exposure approach in order to identify factors that influence the bicycle crashes (Martínez-Ruiz et al., 2013).</w:t>
      </w:r>
    </w:p>
    <w:p>
      <w:pPr>
        <w:spacing w:after="0"/>
        <w:sectPr>
          <w:pgSz w:w="12240" w:h="15840"/>
          <w:pgMar w:header="0" w:footer="709" w:top="920" w:bottom="980" w:left="1120" w:right="0"/>
        </w:sectPr>
      </w:pPr>
    </w:p>
    <w:p>
      <w:pPr>
        <w:pStyle w:val="BodyText"/>
        <w:spacing w:before="72"/>
        <w:ind w:left="1039" w:right="1437"/>
      </w:pPr>
      <w:r>
        <w:rPr/>
        <w:t>Other studies chose to use a new type of model or methodology in order to use the results for planning or prioritization purposes. One such study evaluated projects for sketch-level scenario planning for bicycles in dangerous situations to make improvements to existing infrastructure (Lowry and Cool, 2014). Another study considered separated facilities for bicycles and the impact factors affecting crash rates by using a new side-path safety model (Petritsch et al., 2006).</w:t>
      </w:r>
    </w:p>
    <w:p>
      <w:pPr>
        <w:pStyle w:val="BodyText"/>
        <w:spacing w:before="10"/>
        <w:rPr>
          <w:sz w:val="20"/>
        </w:rPr>
      </w:pPr>
    </w:p>
    <w:p>
      <w:pPr>
        <w:pStyle w:val="BodyText"/>
        <w:spacing w:before="1"/>
        <w:ind w:left="1039" w:right="1467"/>
      </w:pPr>
      <w:r>
        <w:rPr/>
        <w:t>Although many studies did not present specific risk factors in their results, their methodologies to help better understand bicycle behavior is helpful in determining where certain risk factors are more significant than others. A unique method presented by McDaniel et al. (2013) used origin-destination centrality to determine the importance of each link and node in a street network system and to estimate directional bicycle volumes. Basic statistical analysis was used for some studies in order to better understand various bicycle crash statistics (Bíl et al., 2010; de Geus et al., 2012; Räsänen and Summala, 1998; Summala et al., 1996). One study used basic statistical analysis tools as well and an incident rate method to study commuter cyclists involved in minor accidents and determine potential causes for these crashes (de Geus et al., 2012). Various models such as structural equation models were also considered in studies using R (Dolatsara, 2014; Bíl, Bílová and Müller,</w:t>
      </w:r>
      <w:r>
        <w:rPr>
          <w:spacing w:val="-3"/>
        </w:rPr>
        <w:t> </w:t>
      </w:r>
      <w:r>
        <w:rPr/>
        <w:t>2010).</w:t>
      </w:r>
    </w:p>
    <w:p>
      <w:pPr>
        <w:pStyle w:val="BodyText"/>
        <w:spacing w:before="1"/>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1.6 Safety Performance Functions" w:id="51"/>
      <w:bookmarkEnd w:id="51"/>
      <w:r>
        <w:rPr>
          <w:b w:val="0"/>
          <w:i w:val="0"/>
        </w:rPr>
      </w:r>
      <w:bookmarkStart w:name="2.2.1.6 Safety Performance Functions" w:id="52"/>
      <w:bookmarkEnd w:id="52"/>
      <w:r>
        <w:rPr>
          <w:i/>
        </w:rPr>
        <w:t>S</w:t>
      </w:r>
      <w:r>
        <w:rPr>
          <w:i/>
        </w:rPr>
        <w:t>afety Performance</w:t>
      </w:r>
      <w:r>
        <w:rPr>
          <w:i/>
          <w:spacing w:val="-1"/>
        </w:rPr>
        <w:t> </w:t>
      </w:r>
      <w:r>
        <w:rPr>
          <w:i/>
        </w:rPr>
        <w:t>Functions</w:t>
      </w:r>
    </w:p>
    <w:p>
      <w:pPr>
        <w:pStyle w:val="BodyText"/>
        <w:spacing w:before="7"/>
        <w:rPr>
          <w:b/>
          <w:i/>
          <w:sz w:val="20"/>
        </w:rPr>
      </w:pPr>
    </w:p>
    <w:p>
      <w:pPr>
        <w:pStyle w:val="BodyText"/>
        <w:ind w:left="1039" w:right="1445"/>
      </w:pPr>
      <w:r>
        <w:rPr/>
        <w:t>SPFs describe the mathematical relationship between the frequency of crashes and the most significant factors in bicycle crashes. SPFs for vehicles are relatively well developed and general procedures can be found in the </w:t>
      </w:r>
      <w:r>
        <w:rPr>
          <w:i/>
        </w:rPr>
        <w:t>Highway Safety Manual </w:t>
      </w:r>
      <w:r>
        <w:rPr/>
        <w:t>(HSM), but SPFs for bicycles are still being developed. One recent study used crash data, AADT, and annual average daily bicyclists (AADD) at intersections in Boulder, CO, to create bicycle SPFs by using a negative binomial generalized linear model (Nordback, Marshall, and Janson, 2014). Specifically in Oregon, Dixon (2012) illustrates a method of site selection, the collection of crash and site-specific data, and analysis method for calibration that is in line with the HSM’s methods to quantitatively estimate three facility types: rural two-lane roads, two-way roads, rural multilane roads, and urban and suburban arterial</w:t>
      </w:r>
      <w:r>
        <w:rPr>
          <w:spacing w:val="-1"/>
        </w:rPr>
        <w:t> </w:t>
      </w:r>
      <w:r>
        <w:rPr/>
        <w:t>roads.</w:t>
      </w:r>
    </w:p>
    <w:p>
      <w:pPr>
        <w:pStyle w:val="BodyText"/>
        <w:spacing w:before="9"/>
        <w:rPr>
          <w:sz w:val="20"/>
        </w:rPr>
      </w:pPr>
    </w:p>
    <w:p>
      <w:pPr>
        <w:pStyle w:val="BodyText"/>
        <w:spacing w:before="1"/>
        <w:ind w:left="1039" w:right="1523"/>
      </w:pPr>
      <w:r>
        <w:rPr/>
        <w:t>In Florida, Lu (2013) used SafetyAnalyst default SPFs and developed Floride-specific SPFs for various road types in order to compare the performance of each method, and then apply the Florida-specific SPFs for crash prediction performance identification and explore alternative clustering algorithms to identify high-crash locations. In Michigan, Dolatsara (2014) investigated factors that affect safety at intersections to enhance the development of SPFs and found that bicycle SPFs demonstrate that exposure, the presence of bicycle lanes and bus stops, and the number of left-turn lanes at intersections are positively associated with bicycle crashes.</w:t>
      </w:r>
    </w:p>
    <w:p>
      <w:pPr>
        <w:pStyle w:val="BodyText"/>
        <w:spacing w:before="1"/>
        <w:rPr>
          <w:sz w:val="21"/>
        </w:rPr>
      </w:pPr>
    </w:p>
    <w:p>
      <w:pPr>
        <w:pStyle w:val="Heading3"/>
        <w:numPr>
          <w:ilvl w:val="2"/>
          <w:numId w:val="11"/>
        </w:numPr>
        <w:tabs>
          <w:tab w:pos="1040" w:val="left" w:leader="none"/>
        </w:tabs>
        <w:spacing w:line="240" w:lineRule="auto" w:before="1" w:after="0"/>
        <w:ind w:left="1039" w:right="0" w:hanging="719"/>
        <w:jc w:val="left"/>
      </w:pPr>
      <w:bookmarkStart w:name="_TOC_250056" w:id="53"/>
      <w:bookmarkStart w:name="2.2.2 Critical Factors Associated with B" w:id="54"/>
      <w:r>
        <w:rPr>
          <w:b w:val="0"/>
        </w:rPr>
      </w:r>
      <w:bookmarkEnd w:id="54"/>
      <w:bookmarkStart w:name="2.2.2 Critical Factors Associated with B" w:id="55"/>
      <w:r>
        <w:rPr/>
        <w:t>C</w:t>
      </w:r>
      <w:r>
        <w:rPr/>
        <w:t>ritical Factors Associated with Bicycle</w:t>
      </w:r>
      <w:r>
        <w:rPr>
          <w:spacing w:val="-2"/>
        </w:rPr>
        <w:t> </w:t>
      </w:r>
      <w:bookmarkEnd w:id="53"/>
      <w:r>
        <w:rPr/>
        <w:t>Crashes</w:t>
      </w:r>
    </w:p>
    <w:p>
      <w:pPr>
        <w:pStyle w:val="BodyText"/>
        <w:spacing w:before="237"/>
        <w:ind w:left="320" w:right="1642"/>
      </w:pPr>
      <w:r>
        <w:rPr/>
        <w:t>The critical factors are presented in six categories: roadway, intersection, traffic characteristics, land-use, demographic and behavioral, and weather and lighting. Roadway factors include research related to the roadway geometry and cross section. The intersection section includes specific factors related to intersections (geometry and operations). The traffic characteristics include factors such as speed limit, peak-hour traffic, and traffic volumes. In the land-use</w:t>
      </w:r>
    </w:p>
    <w:p>
      <w:pPr>
        <w:spacing w:after="0"/>
        <w:sectPr>
          <w:pgSz w:w="12240" w:h="15840"/>
          <w:pgMar w:header="0" w:footer="709" w:top="920" w:bottom="980" w:left="1120" w:right="0"/>
        </w:sectPr>
      </w:pPr>
    </w:p>
    <w:p>
      <w:pPr>
        <w:pStyle w:val="BodyText"/>
        <w:spacing w:before="72"/>
        <w:ind w:left="319" w:right="1464"/>
      </w:pPr>
      <w:r>
        <w:rPr/>
        <w:t>section, research is reviewed that highlights the increased exposure associated with land-use types. In the demographic and behavioral section, the risk factors include the age of the bicyclist, their conditions while riding, driving conditions, type of vehicle involved in the crash, type of crash, the age of the driver, and the speed of the vehicle. Finally, the last subsection includes weather and lighting conditions at the time of the crash.</w:t>
      </w:r>
    </w:p>
    <w:p>
      <w:pPr>
        <w:pStyle w:val="BodyText"/>
        <w:spacing w:before="1"/>
        <w:rPr>
          <w:sz w:val="21"/>
        </w:rPr>
      </w:pPr>
    </w:p>
    <w:p>
      <w:pPr>
        <w:pStyle w:val="Heading5"/>
        <w:numPr>
          <w:ilvl w:val="3"/>
          <w:numId w:val="11"/>
        </w:numPr>
        <w:tabs>
          <w:tab w:pos="1760" w:val="left" w:leader="none"/>
        </w:tabs>
        <w:spacing w:line="240" w:lineRule="auto" w:before="0" w:after="0"/>
        <w:ind w:left="1760" w:right="0" w:hanging="720"/>
        <w:jc w:val="left"/>
        <w:rPr>
          <w:i/>
        </w:rPr>
      </w:pPr>
      <w:bookmarkStart w:name="2.2.2.1 Roadway Geometry" w:id="56"/>
      <w:bookmarkEnd w:id="56"/>
      <w:r>
        <w:rPr>
          <w:b w:val="0"/>
          <w:i w:val="0"/>
        </w:rPr>
      </w:r>
      <w:bookmarkStart w:name="2.2.2.1 Roadway Geometry" w:id="57"/>
      <w:bookmarkEnd w:id="57"/>
      <w:r>
        <w:rPr>
          <w:i/>
        </w:rPr>
        <w:t>R</w:t>
      </w:r>
      <w:r>
        <w:rPr>
          <w:i/>
        </w:rPr>
        <w:t>oadway</w:t>
      </w:r>
      <w:r>
        <w:rPr>
          <w:i/>
          <w:spacing w:val="-1"/>
        </w:rPr>
        <w:t> </w:t>
      </w:r>
      <w:r>
        <w:rPr>
          <w:i/>
        </w:rPr>
        <w:t>Geometry</w:t>
      </w:r>
    </w:p>
    <w:p>
      <w:pPr>
        <w:pStyle w:val="BodyText"/>
        <w:spacing w:before="8"/>
        <w:rPr>
          <w:b/>
          <w:i/>
          <w:sz w:val="20"/>
        </w:rPr>
      </w:pPr>
    </w:p>
    <w:p>
      <w:pPr>
        <w:pStyle w:val="BodyText"/>
        <w:ind w:left="1039" w:right="1632"/>
      </w:pPr>
      <w:r>
        <w:rPr/>
        <w:t>Geometry plays a huge role in collisions between vehicles and bicycles. In published literature, researchers have analyzed factors such as the number of traffic lanes adjacent to bicycle traffic, road curvature, and the shoulder characteristics or the presence of a bike lane in depth.</w:t>
      </w:r>
    </w:p>
    <w:p>
      <w:pPr>
        <w:pStyle w:val="BodyText"/>
        <w:spacing w:before="10"/>
        <w:rPr>
          <w:sz w:val="20"/>
        </w:rPr>
      </w:pPr>
    </w:p>
    <w:p>
      <w:pPr>
        <w:pStyle w:val="BodyText"/>
        <w:ind w:left="1039" w:right="1483"/>
      </w:pPr>
      <w:r>
        <w:rPr/>
        <w:t>Greibe (2003) found that when there were two lanes there were more accidents. In addition, there were more accidents in the same direction on a single lane with no centerline markings. This study also noted that many of the roadways geometry characters had a strong correlation with each other. When considering pedestrian-vehicle crashes, Lee and Abdel-Aty (2005) found that one lane reduced the number of pedestrian crashes when it is the pedestrian’s fault by four times and two lanes reduced by nearly</w:t>
      </w:r>
    </w:p>
    <w:p>
      <w:pPr>
        <w:pStyle w:val="BodyText"/>
        <w:ind w:left="1039" w:right="1523"/>
      </w:pPr>
      <w:r>
        <w:rPr/>
        <w:t>0.75 times. It was also found that more crashes occurred on undivided roads with more lanes than divided roads with fewer lanes (Lee and Abdel-Aty, 2005). Petritsch et al. (2006) considered a side-path safety model design and found that the more lanes that are on the roadway, the more motorists focus on the opposing travel lanes and turning traffic as opposed to the activity on a side path. Additionally, on two-lane roads motorists look for cyclists on the side of the roadway, and cyclists using a side path may only concern themselves with traffic in the nearest travel lanes (Petritsch et al., 2006).</w:t>
      </w:r>
    </w:p>
    <w:p>
      <w:pPr>
        <w:pStyle w:val="BodyText"/>
        <w:spacing w:before="10"/>
        <w:rPr>
          <w:sz w:val="20"/>
        </w:rPr>
      </w:pPr>
    </w:p>
    <w:p>
      <w:pPr>
        <w:pStyle w:val="BodyText"/>
        <w:spacing w:before="1"/>
        <w:ind w:left="1039" w:right="1501"/>
      </w:pPr>
      <w:r>
        <w:rPr/>
        <w:t>Pai (2011) found that horizontal and vertical curves can contribute to bicycle accidents. Schepers and den Brinker (2011) considered potential visual barriers that different road geometry causes cyclists, and found that cyclists collide with a bollard or road narrowing or ride off the road in a curve. This type of crash was found to occur more than when cyclists hit an obstacle because they were looking at something on the side of the road, but not more than cyclists looking behind them. The biggest takeaway from the study was that focal operations play a more important role in crashes involving a curve. Dixon et al. (2012) found that “no horizontal curves” should be an SPF that is included when calculating the unadjusted crash prediction model for the base conditions for a rural two- lane, two-way road segment. Eluru et al. (2008) found that crashes on curved/non-flat roadways tend to result in more severe injuries. Using a multinomial logit model, Kim et al. (2007) found that curved rounds significantly increase the chance that a fatal or incapacitating injury will occur during a vehicle-bicycle</w:t>
      </w:r>
      <w:r>
        <w:rPr>
          <w:spacing w:val="-4"/>
        </w:rPr>
        <w:t> </w:t>
      </w:r>
      <w:r>
        <w:rPr/>
        <w:t>accident.</w:t>
      </w:r>
    </w:p>
    <w:p>
      <w:pPr>
        <w:pStyle w:val="BodyText"/>
        <w:spacing w:before="8"/>
        <w:rPr>
          <w:sz w:val="20"/>
        </w:rPr>
      </w:pPr>
    </w:p>
    <w:p>
      <w:pPr>
        <w:pStyle w:val="BodyText"/>
        <w:spacing w:before="1"/>
        <w:ind w:left="1039" w:right="1430"/>
      </w:pPr>
      <w:r>
        <w:rPr/>
        <w:t>There are a number of different types of facility designs for bicycles and each has an impact on bicycle safety, such as the presence of bicycle lanes, the grade of the roadways/bicycle track, and if there are any different pavement markings or colors (Oh et al., 2008; Vandenbulcke, Thomas and Int Panis, 2014). Vandenbulcke et al. (2014) considered different cycle facilities and found that there is an increased risk of accidents when associated with a specific type of intersection. This study found that right-of-way intersections equipped with cycle lanes tend to have higher accident risk for cyclists, due to vehicles not respecting the right-of-way (i.e., right-hook crashes). The researchers also found that cyclists riding on marked cycle lanes in roundabouts and signalized</w:t>
      </w:r>
    </w:p>
    <w:p>
      <w:pPr>
        <w:spacing w:after="0"/>
        <w:sectPr>
          <w:pgSz w:w="12240" w:h="15840"/>
          <w:pgMar w:header="0" w:footer="709" w:top="920" w:bottom="980" w:left="1120" w:right="0"/>
        </w:sectPr>
      </w:pPr>
    </w:p>
    <w:p>
      <w:pPr>
        <w:pStyle w:val="BodyText"/>
        <w:spacing w:before="72"/>
        <w:ind w:left="1040" w:right="1629"/>
      </w:pPr>
      <w:r>
        <w:rPr/>
        <w:t>intersections with marked cycle lanes had higher accident risk, and attributed the higher risk to the cyclists being in drivers’ blind spots (Vandenbulcke, Thomas and Int Panis, 2014).</w:t>
      </w:r>
    </w:p>
    <w:p>
      <w:pPr>
        <w:pStyle w:val="BodyText"/>
        <w:spacing w:before="10"/>
        <w:rPr>
          <w:sz w:val="20"/>
        </w:rPr>
      </w:pPr>
    </w:p>
    <w:p>
      <w:pPr>
        <w:pStyle w:val="BodyText"/>
        <w:spacing w:before="1"/>
        <w:ind w:left="1039" w:right="1550"/>
      </w:pPr>
      <w:r>
        <w:rPr/>
        <w:t>Schepers et al. (2011) found that more crashes where the bicycle has the right-of-way on a through movement occur at intersections with two-way bicycle tracks that are well marked and are reddish in color. However, this study found a cycle track where the approach is deflected 2-5 meters (6-10 feet) from the intersection decreased the risk for the cyclist. Walker (2007) considered the effect of lanes on how drivers overtake bicyclists on the road and discussed that more narrow roads might lead to vehicles passing cyclists closer, which might cause more risk.</w:t>
      </w:r>
    </w:p>
    <w:p>
      <w:pPr>
        <w:pStyle w:val="BodyText"/>
        <w:spacing w:before="10"/>
        <w:rPr>
          <w:sz w:val="20"/>
        </w:rPr>
      </w:pPr>
    </w:p>
    <w:p>
      <w:pPr>
        <w:pStyle w:val="BodyText"/>
        <w:ind w:left="1040" w:right="1556"/>
      </w:pPr>
      <w:r>
        <w:rPr/>
        <w:t>Petritsch et al. (2006) created the Sidepath Safety Model in order to determine if a side path, or separated bicycle track, would be a viable option for a given road segment or how to improve an existing side path with multiple crashes. This model found that the path width has an impact on safety, and recommends that paths be built wide enough to accommodate multiple users along a segment but restricted at conflict points to calm traffic. It also found that the distance between the side path and the roadway, the speed of the adjacent roadway, and the number of lanes on the adjacent roadway were also key safety factors.</w:t>
      </w:r>
    </w:p>
    <w:p>
      <w:pPr>
        <w:pStyle w:val="BodyText"/>
        <w:spacing w:before="1"/>
        <w:rPr>
          <w:sz w:val="21"/>
        </w:rPr>
      </w:pPr>
    </w:p>
    <w:p>
      <w:pPr>
        <w:pStyle w:val="Heading5"/>
        <w:numPr>
          <w:ilvl w:val="3"/>
          <w:numId w:val="12"/>
        </w:numPr>
        <w:tabs>
          <w:tab w:pos="1760" w:val="left" w:leader="none"/>
        </w:tabs>
        <w:spacing w:line="240" w:lineRule="auto" w:before="0" w:after="0"/>
        <w:ind w:left="1760" w:right="0" w:hanging="720"/>
        <w:jc w:val="left"/>
        <w:rPr>
          <w:i/>
        </w:rPr>
      </w:pPr>
      <w:bookmarkStart w:name="2.2.2.2 Intersections" w:id="58"/>
      <w:bookmarkEnd w:id="58"/>
      <w:r>
        <w:rPr>
          <w:b w:val="0"/>
          <w:i w:val="0"/>
        </w:rPr>
      </w:r>
      <w:bookmarkStart w:name="2.2.2.2 Intersections" w:id="59"/>
      <w:bookmarkEnd w:id="59"/>
      <w:r>
        <w:rPr>
          <w:i/>
        </w:rPr>
        <w:t>I</w:t>
      </w:r>
      <w:r>
        <w:rPr>
          <w:i/>
        </w:rPr>
        <w:t>ntersections</w:t>
      </w:r>
    </w:p>
    <w:p>
      <w:pPr>
        <w:pStyle w:val="BodyText"/>
        <w:spacing w:before="7"/>
        <w:rPr>
          <w:b/>
          <w:i/>
          <w:sz w:val="20"/>
        </w:rPr>
      </w:pPr>
    </w:p>
    <w:p>
      <w:pPr>
        <w:pStyle w:val="BodyText"/>
        <w:ind w:left="1040" w:right="1715"/>
      </w:pPr>
      <w:r>
        <w:rPr/>
        <w:t>The design of the intersection has an impact on bicycle safety in multiple ways, as concluded by Wang and Nihan (2004). For intersection and network movement, hazardous crossings, right hook, left sneak and complicated interactions are potentially dangerous to cyclists. Intersection safety was influenced by vehicle volume, vehicle speed, the percentage of heavy vehicles, and many other factors for both the major and minor roads (Dixon et al., 2012).</w:t>
      </w:r>
    </w:p>
    <w:p>
      <w:pPr>
        <w:pStyle w:val="BodyText"/>
        <w:spacing w:before="9"/>
        <w:rPr>
          <w:sz w:val="20"/>
        </w:rPr>
      </w:pPr>
    </w:p>
    <w:p>
      <w:pPr>
        <w:pStyle w:val="BodyText"/>
        <w:ind w:left="1040" w:right="1489"/>
      </w:pPr>
      <w:r>
        <w:rPr/>
        <w:t>Oh et al. (2008) conducted a study based on surveys collected at 151 signalized intersections and found that average daily traffic volume, presence of bus stops, sidewalk widths, number of driveways, presence of speed restrict devices, and presence of crosswalks are all statistically significant factors that influence the risk level of bicycles. It has also been found that complex intersections (high number of road legs, road users, high number of signs, dense traffic crossings, etc.), and therefore complex traffic situations, increase the risk for bicycles (Vandenbulcke, Thomas and Int Panis, 2014)</w:t>
      </w:r>
    </w:p>
    <w:p>
      <w:pPr>
        <w:pStyle w:val="BodyText"/>
        <w:spacing w:before="10"/>
        <w:rPr>
          <w:sz w:val="20"/>
        </w:rPr>
      </w:pPr>
    </w:p>
    <w:p>
      <w:pPr>
        <w:pStyle w:val="BodyText"/>
        <w:spacing w:before="1"/>
        <w:ind w:left="1040" w:right="1468"/>
      </w:pPr>
      <w:r>
        <w:rPr/>
        <w:t>Abdel-Aty and Keller (2005) considered three types of variables in different probit models for signalized intersections; (1) based on collision types, (2) based on intersection characteristics, and (3) based on a complete set of significant variables. These models found that the division of the minor road, as well as a higher speed limit on the minor road, was found to lower the expected injury level while a median on the minor road may prevent more head-on crashes, which were found to be more severe crashes.</w:t>
      </w:r>
    </w:p>
    <w:p>
      <w:pPr>
        <w:pStyle w:val="BodyText"/>
        <w:ind w:left="1040" w:right="1589"/>
      </w:pPr>
      <w:r>
        <w:rPr/>
        <w:t>Additionally, a higher speed limit on the minor road may cause the speed differential between vehicles on intersecting roads to be smaller, likely resulting in a decrease in the crash severity level.</w:t>
      </w:r>
    </w:p>
    <w:p>
      <w:pPr>
        <w:pStyle w:val="BodyText"/>
        <w:spacing w:before="10"/>
        <w:rPr>
          <w:sz w:val="20"/>
        </w:rPr>
      </w:pPr>
    </w:p>
    <w:p>
      <w:pPr>
        <w:pStyle w:val="BodyText"/>
        <w:ind w:left="1040" w:right="1515"/>
      </w:pPr>
      <w:r>
        <w:rPr/>
        <w:t>Another study looked at two types of crashes across 540 unsignalized intersections; (1) through bicycle-related collisions where the cyclist has the right of way, and (2) through motor vehicle-related collisions where the motorist has the right of way (Schepers et al.,</w:t>
      </w:r>
    </w:p>
    <w:p>
      <w:pPr>
        <w:spacing w:after="0"/>
        <w:sectPr>
          <w:pgSz w:w="12240" w:h="15840"/>
          <w:pgMar w:header="0" w:footer="709" w:top="920" w:bottom="940" w:left="1120" w:right="0"/>
        </w:sectPr>
      </w:pPr>
    </w:p>
    <w:p>
      <w:pPr>
        <w:pStyle w:val="BodyText"/>
        <w:spacing w:before="72"/>
        <w:ind w:left="1039" w:right="1446"/>
      </w:pPr>
      <w:r>
        <w:rPr/>
        <w:t>2011). The results showed that Type 1 crashes occurred more when the two-way bicycle tracks are well marked and there is a reddish-colored bicycle crossing. Fewer crashes occur when there are raised bicycle crossings (speed humps) or other speed reduction measures.  Haleem and Abdel-Aty (2010) considered the number of lanes for unsignalized intersections and found that the traffic volume on the major approach, the number of through lanes on the minor approach (surrogate measure for traffic volume), the upstream and downstream distance to the nearest signalized intersection, left and right shoulder width, number of left-turn movements on the minor approach, and number of right- and left-turn lanes on the major approach were significant factors that influence bicycle</w:t>
      </w:r>
      <w:r>
        <w:rPr>
          <w:spacing w:val="-1"/>
        </w:rPr>
        <w:t> </w:t>
      </w:r>
      <w:r>
        <w:rPr/>
        <w:t>risk.</w:t>
      </w:r>
    </w:p>
    <w:p>
      <w:pPr>
        <w:pStyle w:val="BodyText"/>
        <w:spacing w:before="1"/>
        <w:rPr>
          <w:sz w:val="21"/>
        </w:rPr>
      </w:pPr>
    </w:p>
    <w:p>
      <w:pPr>
        <w:pStyle w:val="Heading5"/>
        <w:numPr>
          <w:ilvl w:val="3"/>
          <w:numId w:val="12"/>
        </w:numPr>
        <w:tabs>
          <w:tab w:pos="1760" w:val="left" w:leader="none"/>
        </w:tabs>
        <w:spacing w:line="240" w:lineRule="auto" w:before="1" w:after="0"/>
        <w:ind w:left="1760" w:right="0" w:hanging="720"/>
        <w:jc w:val="left"/>
        <w:rPr>
          <w:i/>
        </w:rPr>
      </w:pPr>
      <w:bookmarkStart w:name="2.2.2.3 Traffic Characteristics" w:id="60"/>
      <w:bookmarkEnd w:id="60"/>
      <w:r>
        <w:rPr>
          <w:b w:val="0"/>
          <w:i w:val="0"/>
        </w:rPr>
      </w:r>
      <w:bookmarkStart w:name="2.2.2.3 Traffic Characteristics" w:id="61"/>
      <w:bookmarkEnd w:id="61"/>
      <w:r>
        <w:rPr>
          <w:i/>
        </w:rPr>
        <w:t>T</w:t>
      </w:r>
      <w:r>
        <w:rPr>
          <w:i/>
        </w:rPr>
        <w:t>raffic</w:t>
      </w:r>
      <w:r>
        <w:rPr>
          <w:i/>
          <w:spacing w:val="-1"/>
        </w:rPr>
        <w:t> </w:t>
      </w:r>
      <w:r>
        <w:rPr>
          <w:i/>
        </w:rPr>
        <w:t>Characteristics</w:t>
      </w:r>
    </w:p>
    <w:p>
      <w:pPr>
        <w:pStyle w:val="BodyText"/>
        <w:spacing w:before="7"/>
        <w:rPr>
          <w:b/>
          <w:i/>
          <w:sz w:val="20"/>
        </w:rPr>
      </w:pPr>
    </w:p>
    <w:p>
      <w:pPr>
        <w:pStyle w:val="BodyText"/>
        <w:ind w:left="1039" w:right="1466"/>
      </w:pPr>
      <w:r>
        <w:rPr/>
        <w:t>Many studies have recognized that traffic characteristics such as speed limit, peak-hour traffic, and traffic volumes such as AADT and ADT are risk factors for cyclists. Greibe (2003) found that higher speed limits relate to lower accident risks, but clarify that it does not mean that high speeds, in general, are safer; rather that high-speed roads tend to have few vulnerable road users. Wang and Nihan (2004) also found that speed limit decreases the risk of bicycle accidents, but state that it could be related to the turn maneuvers of right-turning vehicles. Similarly, Abdel-Aty and Keller (2005) determined that higher speed limits on the minor road lowered the expected injury level, and Eluru et al. (2008) found that higher speed limits lead to higher injury severity levels. On the other hand, Haleem and Abdel-Aty (2010) found that lower speed limits (less than 45 mph) reduced fatal injury probability when compared to greater than 45 mph. Kim et al. (2007) found that any speed greater than 20 mph and heavy vehicle traffic increased the risk of fatal injury.</w:t>
      </w:r>
    </w:p>
    <w:p>
      <w:pPr>
        <w:pStyle w:val="BodyText"/>
        <w:spacing w:before="10"/>
        <w:rPr>
          <w:sz w:val="20"/>
        </w:rPr>
      </w:pPr>
    </w:p>
    <w:p>
      <w:pPr>
        <w:pStyle w:val="BodyText"/>
        <w:spacing w:before="1"/>
        <w:ind w:left="1039" w:right="1550"/>
      </w:pPr>
      <w:r>
        <w:rPr/>
        <w:t>Kim et al. (2007) also considered the peak-hour effects and found that during the a.m. peak hour (6-9:59 a.m.) there is an increased risk of fatal injuries for cyclists. Nordback et al. (2014) found that collisions were equally sensitive to both AADT and AADB (average annual daily bicycles). Haleem and Abdel-Aty (2010) determined that AADT on the major approach decreased the effect on fatal injury when a natural logarithm was used, but that the effect was increased when a surrogate measure for AADT was used to represent one, two and three through lanes on a minor road. Dixon et al. (2012) found that AADT increased the risk for cyclists in an urban environment.</w:t>
      </w:r>
    </w:p>
    <w:p>
      <w:pPr>
        <w:pStyle w:val="BodyText"/>
        <w:spacing w:before="11"/>
        <w:rPr>
          <w:sz w:val="20"/>
        </w:rPr>
      </w:pPr>
    </w:p>
    <w:p>
      <w:pPr>
        <w:pStyle w:val="Heading5"/>
        <w:numPr>
          <w:ilvl w:val="3"/>
          <w:numId w:val="12"/>
        </w:numPr>
        <w:tabs>
          <w:tab w:pos="1760" w:val="left" w:leader="none"/>
        </w:tabs>
        <w:spacing w:line="240" w:lineRule="auto" w:before="0" w:after="0"/>
        <w:ind w:left="1760" w:right="0" w:hanging="720"/>
        <w:jc w:val="left"/>
        <w:rPr>
          <w:i/>
        </w:rPr>
      </w:pPr>
      <w:bookmarkStart w:name="2.2.2.4 Land Use" w:id="62"/>
      <w:bookmarkEnd w:id="62"/>
      <w:r>
        <w:rPr>
          <w:b w:val="0"/>
          <w:i w:val="0"/>
        </w:rPr>
      </w:r>
      <w:bookmarkStart w:name="2.2.2.4 Land Use" w:id="63"/>
      <w:bookmarkEnd w:id="63"/>
      <w:r>
        <w:rPr>
          <w:i/>
        </w:rPr>
        <w:t>L</w:t>
      </w:r>
      <w:r>
        <w:rPr>
          <w:i/>
        </w:rPr>
        <w:t>and</w:t>
      </w:r>
      <w:r>
        <w:rPr>
          <w:i/>
          <w:spacing w:val="-4"/>
        </w:rPr>
        <w:t> </w:t>
      </w:r>
      <w:r>
        <w:rPr>
          <w:i/>
        </w:rPr>
        <w:t>Use</w:t>
      </w:r>
    </w:p>
    <w:p>
      <w:pPr>
        <w:pStyle w:val="BodyText"/>
        <w:spacing w:before="7"/>
        <w:rPr>
          <w:b/>
          <w:i/>
          <w:sz w:val="20"/>
        </w:rPr>
      </w:pPr>
    </w:p>
    <w:p>
      <w:pPr>
        <w:pStyle w:val="BodyText"/>
        <w:spacing w:before="1"/>
        <w:ind w:left="1039" w:right="1530"/>
      </w:pPr>
      <w:r>
        <w:rPr/>
        <w:t>Land-use impacts, though not very detailed in the literature, do influence the overall safety of bicyclists because it impacts the amount and type of traffic and facilities of the road. Common distinctions of land-use types are urban, rural, residential, industry, farmland, institutional and commercial (Kim et al., 2007; Dixon, Monsere et al., 2012; Haleem and Abdel-Aty, 2010). Dixon et al. (2012)found that land use is a key factor that affects driveway safety, and Schepers et al. (2014) stated that land use has an effect on the distribution of traffic (bicycles included) over time and space. Oh et al. (2008) determined that the presence of industrial areas near intersections was associated with increased bicycle collisions. This is due to the more complicated traffic activities when compared with non-industrial</w:t>
      </w:r>
      <w:r>
        <w:rPr>
          <w:spacing w:val="-1"/>
        </w:rPr>
        <w:t> </w:t>
      </w:r>
      <w:r>
        <w:rPr/>
        <w:t>areas.</w:t>
      </w:r>
    </w:p>
    <w:p>
      <w:pPr>
        <w:spacing w:after="0"/>
        <w:sectPr>
          <w:pgSz w:w="12240" w:h="15840"/>
          <w:pgMar w:header="0" w:footer="709" w:top="920" w:bottom="980" w:left="1120" w:right="0"/>
        </w:sectPr>
      </w:pPr>
    </w:p>
    <w:p>
      <w:pPr>
        <w:pStyle w:val="BodyText"/>
        <w:spacing w:before="72"/>
        <w:ind w:left="1039" w:right="1505"/>
      </w:pPr>
      <w:r>
        <w:rPr/>
        <w:t>Nordback et al. (2014) conclude that land use is a variable that might influence cyclist safety and should be considered for SPFs. One study analyzed the descriptive statistics of land use and found that higher severity crashes occurred outside of urban areas and at farm/wood/pasture or residential areas (Kim et al., 2007). Greibe (2003) used a dataset where land use proved to be one of the most important variables in the models generated, and land use and speed limit explain the level of vulnerable road users exposed to a certain extent. In the model used for this study, it was found that shops, blocks of flats (or apartments), and industrial/residential/neighborhood were a significant influence on bicycle safety (Greibe,</w:t>
      </w:r>
      <w:r>
        <w:rPr>
          <w:spacing w:val="-1"/>
        </w:rPr>
        <w:t> </w:t>
      </w:r>
      <w:r>
        <w:rPr/>
        <w:t>2003).</w:t>
      </w:r>
    </w:p>
    <w:p>
      <w:pPr>
        <w:pStyle w:val="BodyText"/>
        <w:spacing w:before="1"/>
        <w:rPr>
          <w:sz w:val="21"/>
        </w:rPr>
      </w:pPr>
    </w:p>
    <w:p>
      <w:pPr>
        <w:pStyle w:val="Heading5"/>
        <w:numPr>
          <w:ilvl w:val="3"/>
          <w:numId w:val="12"/>
        </w:numPr>
        <w:tabs>
          <w:tab w:pos="1760" w:val="left" w:leader="none"/>
        </w:tabs>
        <w:spacing w:line="240" w:lineRule="auto" w:before="1" w:after="0"/>
        <w:ind w:left="1760" w:right="0" w:hanging="720"/>
        <w:jc w:val="left"/>
        <w:rPr>
          <w:i/>
        </w:rPr>
      </w:pPr>
      <w:bookmarkStart w:name="2.2.2.5 Demographic and Behavior" w:id="64"/>
      <w:bookmarkEnd w:id="64"/>
      <w:r>
        <w:rPr>
          <w:b w:val="0"/>
          <w:i w:val="0"/>
        </w:rPr>
      </w:r>
      <w:bookmarkStart w:name="2.2.2.5 Demographic and Behavior" w:id="65"/>
      <w:bookmarkEnd w:id="65"/>
      <w:r>
        <w:rPr>
          <w:i/>
        </w:rPr>
        <w:t>D</w:t>
      </w:r>
      <w:r>
        <w:rPr>
          <w:i/>
        </w:rPr>
        <w:t>emographic and</w:t>
      </w:r>
      <w:r>
        <w:rPr>
          <w:i/>
          <w:spacing w:val="-1"/>
        </w:rPr>
        <w:t> </w:t>
      </w:r>
      <w:r>
        <w:rPr>
          <w:i/>
        </w:rPr>
        <w:t>Behavior</w:t>
      </w:r>
    </w:p>
    <w:p>
      <w:pPr>
        <w:pStyle w:val="BodyText"/>
        <w:spacing w:before="7"/>
        <w:rPr>
          <w:b/>
          <w:i/>
          <w:sz w:val="20"/>
        </w:rPr>
      </w:pPr>
    </w:p>
    <w:p>
      <w:pPr>
        <w:pStyle w:val="BodyText"/>
        <w:ind w:left="1039" w:right="1442"/>
      </w:pPr>
      <w:r>
        <w:rPr/>
        <w:t>As expected, there are several factors that are specific to bicyclists when considering their risk level. The most impactful factor, according to the literature, is the age of the cyclist. Several studies found that riders over the age of 45 were more likely to be involved in a more severe crash (Kim et al., 2007; Boufous et al., 2012; Schepers and den Brinker, 2011; Tin Tin, Woodward and Ameratunga, 2013; Noland and Quddus, 2004). Bíl et al. (2010) found that cyclists 65 years and older were most at risk. Specifically, Schepers and den Brinker (2011) found that cyclists over 60 years old were more likely to be involved in crashes due to their low visibility. Kröyer (2015) found that fatalities increased for riders above the age of 55 and that there was an extreme increase in fatality risk between the age groups of 55-64 and 65-74. Alternatively, one study found that riders between the age of 10-19 were more likely to be involved in a higher severity crash (Martínez-Ruiz et al., 2013), and another discovered that children 9-11 years old are also at a higher risk (Maring and Van Schagen, 1990). Other studies reported that age was an important factor; however, they did not specify which age group was most at risk (Haleem and Abdel-Aty,</w:t>
      </w:r>
      <w:r>
        <w:rPr>
          <w:spacing w:val="-3"/>
        </w:rPr>
        <w:t> </w:t>
      </w:r>
      <w:r>
        <w:rPr/>
        <w:t>2010).</w:t>
      </w:r>
    </w:p>
    <w:p>
      <w:pPr>
        <w:pStyle w:val="BodyText"/>
        <w:spacing w:before="9"/>
        <w:rPr>
          <w:sz w:val="20"/>
        </w:rPr>
      </w:pPr>
    </w:p>
    <w:p>
      <w:pPr>
        <w:pStyle w:val="BodyText"/>
        <w:ind w:left="1040" w:right="1595"/>
      </w:pPr>
      <w:r>
        <w:rPr/>
        <w:t>Kim et al. (2007) found that bicyclists without a helmet were more likely to have an incapacitating or non-incapacitating injury. Several other studies also found that when cyclists were not wearing a helmet, they were at higher risk (Andersson and Bunketorp, 2002; Martínez-Ruiz et al., 2013; Moahn et al., 2006; Noland and Quddus, 2004; Räsänen and Summala, 1998; Tin Tin et al., 2013). Additionally, the location of the crash was an important feature to the risk level, although it was not determined if there was a specific location that led to higher risk levels (Abdel-Aty and Keller, 2005; Eluru, Bhat, and Hensher, 2008). Several studies found that males are more at risk for higher severity of crashes (Boufous et al., 2012; Ekman et al., 2001; Eluru et al., 2008; Kim et al., 2007; Noland and Quddus, 2004; Schepers and den Brinker, 2011; Tin Tin et al., 2013).</w:t>
      </w:r>
    </w:p>
    <w:p>
      <w:pPr>
        <w:pStyle w:val="BodyText"/>
        <w:spacing w:before="10"/>
        <w:rPr>
          <w:sz w:val="20"/>
        </w:rPr>
      </w:pPr>
    </w:p>
    <w:p>
      <w:pPr>
        <w:pStyle w:val="BodyText"/>
        <w:spacing w:before="1"/>
        <w:ind w:left="1039" w:right="1483"/>
      </w:pPr>
      <w:r>
        <w:rPr/>
        <w:t>Another factor that several studies found to contribute to high-risk levels was if the bicyclist was intoxicated (Olkkonen and Honkanen, 1990; Rodgers, 1995; Boufous et al., 2012; Schepers and den Brinker, 2011; Martínez-Ruiz et al., 2013; Andersson and Bunketorp, 2002; Eluru, Bhat and Hensher, 2008; Kim et al., 2007; Haleem and Abdel- Aty, 2010; Noland and Quddus, 2004). Other factors that were found included failure to follow traffic rules such as right-of-way, cyclist familiarity with the area, brake defects, and if there were two riders (Schepers and den Brinker, 2011; Martínez-Ruiz et al., 2013; Bíl, Bílová and Müller, 2010; Kim et al., 2007).</w:t>
      </w:r>
    </w:p>
    <w:p>
      <w:pPr>
        <w:spacing w:after="0"/>
        <w:sectPr>
          <w:pgSz w:w="12240" w:h="15840"/>
          <w:pgMar w:header="0" w:footer="709" w:top="920" w:bottom="980" w:left="1120" w:right="0"/>
        </w:sectPr>
      </w:pPr>
    </w:p>
    <w:p>
      <w:pPr>
        <w:pStyle w:val="BodyText"/>
        <w:spacing w:before="72"/>
        <w:ind w:left="1039" w:right="1441"/>
      </w:pPr>
      <w:r>
        <w:rPr/>
        <w:t>Driver characteristics also directly impact the risk level for bicyclists. The most influential factor based on several studies is if the driver is intoxicated (Eluru, Bhat and Hensher, 2008; Noland and Quddus, 2004). Additional factors that were found in many studies was that the risk of the bicyclist increased if a truck was involved in the crash (Kim et al., 2007; Walker, 2007; Greibe, 2003; de Geus et al., 2012; Boufous et al., 2012) or if the crash was a head-on collision (Greibe, 2003; Abdel-Aty and Keller, 2005; Lenguerrand, Martin and Laumon, 2006; Bíl, Bílová and Müller, 2010; Dixon, Avelar et al., 2012; Kim et al., 2007).Räsänen and Summala (1998) pointed out that drivers’ attention greatly influences accidents or that the improper allocation of attention may lead drivers to ignore a cyclist who comes from an unexpected direction, such as drivers turning right hitting cyclists coming from the left. Drivers do not allocate enough attention to cyclists and, in some cases, cyclists do not feel or notice that they are in danger (Räsänen and Summala,</w:t>
      </w:r>
      <w:r>
        <w:rPr>
          <w:spacing w:val="-1"/>
        </w:rPr>
        <w:t> </w:t>
      </w:r>
      <w:r>
        <w:rPr/>
        <w:t>1998).</w:t>
      </w:r>
    </w:p>
    <w:p>
      <w:pPr>
        <w:pStyle w:val="BodyText"/>
        <w:spacing w:before="11"/>
        <w:rPr>
          <w:sz w:val="20"/>
        </w:rPr>
      </w:pPr>
    </w:p>
    <w:p>
      <w:pPr>
        <w:pStyle w:val="BodyText"/>
        <w:ind w:left="1039" w:right="1444"/>
      </w:pPr>
      <w:r>
        <w:rPr/>
        <w:t>Other factors include vehicles speeding; the age of the vehicle; if a bus is involved in the crash; if there are parked vehicles along the side of the road; and if the age of the driver is above 60 years old (Walker, 2007; Vandenbulcke, Thomas and Int Panis, 2014; Parkin, Wardman and Page, 2007; Pai, 2011; Martínez-Ruiz et al., 2013; Bíl, Bílová and Müller, 2010; Eluru, Bhat and Hensher, 2008; Kim et al., 2007; Noland and Quddus, 2004).</w:t>
      </w:r>
    </w:p>
    <w:p>
      <w:pPr>
        <w:pStyle w:val="BodyText"/>
        <w:spacing w:before="1"/>
        <w:rPr>
          <w:sz w:val="21"/>
        </w:rPr>
      </w:pPr>
    </w:p>
    <w:p>
      <w:pPr>
        <w:pStyle w:val="Heading5"/>
        <w:numPr>
          <w:ilvl w:val="3"/>
          <w:numId w:val="12"/>
        </w:numPr>
        <w:tabs>
          <w:tab w:pos="1760" w:val="left" w:leader="none"/>
        </w:tabs>
        <w:spacing w:line="240" w:lineRule="auto" w:before="0" w:after="0"/>
        <w:ind w:left="1760" w:right="0" w:hanging="720"/>
        <w:jc w:val="left"/>
        <w:rPr>
          <w:i/>
        </w:rPr>
      </w:pPr>
      <w:bookmarkStart w:name="2.2.2.6 Weather and Lighting" w:id="66"/>
      <w:bookmarkEnd w:id="66"/>
      <w:r>
        <w:rPr>
          <w:b w:val="0"/>
          <w:i w:val="0"/>
        </w:rPr>
      </w:r>
      <w:bookmarkStart w:name="2.2.2.6 Weather and Lighting" w:id="67"/>
      <w:bookmarkEnd w:id="67"/>
      <w:r>
        <w:rPr>
          <w:i/>
        </w:rPr>
        <w:t>W</w:t>
      </w:r>
      <w:r>
        <w:rPr>
          <w:i/>
        </w:rPr>
        <w:t>eather and</w:t>
      </w:r>
      <w:r>
        <w:rPr>
          <w:i/>
          <w:spacing w:val="-1"/>
        </w:rPr>
        <w:t> </w:t>
      </w:r>
      <w:r>
        <w:rPr>
          <w:i/>
        </w:rPr>
        <w:t>Lighting</w:t>
      </w:r>
    </w:p>
    <w:p>
      <w:pPr>
        <w:pStyle w:val="BodyText"/>
        <w:spacing w:before="7"/>
        <w:rPr>
          <w:b/>
          <w:i/>
          <w:sz w:val="20"/>
        </w:rPr>
      </w:pPr>
    </w:p>
    <w:p>
      <w:pPr>
        <w:pStyle w:val="BodyText"/>
        <w:ind w:left="1039" w:right="1463"/>
      </w:pPr>
      <w:r>
        <w:rPr/>
        <w:t>Bicycle crashes inherently have their own specific factors. The two more impactful factors are bad weather, such as fog, snow or rain, and the lighting of the road when it is dark outside. Moahn et al. (2006) recognize that weather conditions and darkness are risk factors that influence crash involvement. One study found that bad weather increases the probability of fatality by 128%, and darkness with no street lights increases the probability of fatality by 110% (Kim et.al,</w:t>
      </w:r>
      <w:r>
        <w:rPr>
          <w:spacing w:val="-5"/>
        </w:rPr>
        <w:t> </w:t>
      </w:r>
      <w:r>
        <w:rPr/>
        <w:t>2007).</w:t>
      </w:r>
    </w:p>
    <w:p>
      <w:pPr>
        <w:pStyle w:val="BodyText"/>
        <w:spacing w:before="9"/>
        <w:rPr>
          <w:sz w:val="20"/>
        </w:rPr>
      </w:pPr>
    </w:p>
    <w:p>
      <w:pPr>
        <w:pStyle w:val="BodyText"/>
        <w:ind w:left="1039" w:right="1534"/>
      </w:pPr>
      <w:r>
        <w:rPr/>
        <w:t>Pai (2011) found that adverse weather, wet roads, and unlit streets were most common in rear-end crashes. Mountain and Jarrett (1996) stated that weather, quality of street lighting, and condition of the road surface used in a regression model will still have different underlying mean accident frequencies due to unique and unmeasured site characteristics. Stone and Broughton (2003) found that darkness increased the accident incidence rates and fatality rates. Martínez-Ruiz et al. (2013) considered bicycle defects and found that bicycles with brake defects were at a higher risk of being involved in a crash with a vehicle.</w:t>
      </w:r>
    </w:p>
    <w:p>
      <w:pPr>
        <w:pStyle w:val="BodyText"/>
        <w:spacing w:before="2"/>
        <w:rPr>
          <w:sz w:val="21"/>
        </w:rPr>
      </w:pPr>
    </w:p>
    <w:p>
      <w:pPr>
        <w:pStyle w:val="Heading3"/>
        <w:numPr>
          <w:ilvl w:val="1"/>
          <w:numId w:val="12"/>
        </w:numPr>
        <w:tabs>
          <w:tab w:pos="1039" w:val="left" w:leader="none"/>
          <w:tab w:pos="1040" w:val="left" w:leader="none"/>
        </w:tabs>
        <w:spacing w:line="240" w:lineRule="auto" w:before="1" w:after="0"/>
        <w:ind w:left="1039" w:right="0" w:hanging="719"/>
        <w:jc w:val="left"/>
      </w:pPr>
      <w:bookmarkStart w:name="_TOC_250055" w:id="68"/>
      <w:bookmarkStart w:name="2.3 Quantifying Pedestrian Safety" w:id="69"/>
      <w:r>
        <w:rPr>
          <w:b w:val="0"/>
        </w:rPr>
      </w:r>
      <w:bookmarkEnd w:id="69"/>
      <w:bookmarkStart w:name="2.3 Quantifying Pedestrian Safety" w:id="70"/>
      <w:r>
        <w:rPr/>
        <w:t>Q</w:t>
      </w:r>
      <w:r>
        <w:rPr/>
        <w:t>UANTIFYING PEDESTRIAN</w:t>
      </w:r>
      <w:r>
        <w:rPr>
          <w:spacing w:val="-2"/>
        </w:rPr>
        <w:t> </w:t>
      </w:r>
      <w:bookmarkEnd w:id="68"/>
      <w:r>
        <w:rPr/>
        <w:t>SAFETY</w:t>
      </w:r>
    </w:p>
    <w:p>
      <w:pPr>
        <w:pStyle w:val="BodyText"/>
        <w:spacing w:before="237"/>
        <w:ind w:left="320" w:right="1489"/>
      </w:pPr>
      <w:r>
        <w:rPr/>
        <w:t>This section seeks to identify the factors found from the literature that increases the risk level for pedestrian crashes. This section begins by reviewing the modeling approaches that have been used to understand pedestrian crashes. The section then reviews the literature on possible risk factors for pedestrian crashes, including crash characteristics and the various roadway design features that are associated with increased risk.</w:t>
      </w:r>
    </w:p>
    <w:p>
      <w:pPr>
        <w:pStyle w:val="BodyText"/>
        <w:spacing w:before="2"/>
        <w:rPr>
          <w:sz w:val="21"/>
        </w:rPr>
      </w:pPr>
    </w:p>
    <w:p>
      <w:pPr>
        <w:pStyle w:val="Heading3"/>
        <w:numPr>
          <w:ilvl w:val="2"/>
          <w:numId w:val="13"/>
        </w:numPr>
        <w:tabs>
          <w:tab w:pos="1040" w:val="left" w:leader="none"/>
        </w:tabs>
        <w:spacing w:line="240" w:lineRule="auto" w:before="0" w:after="0"/>
        <w:ind w:left="1039" w:right="0" w:hanging="719"/>
        <w:jc w:val="left"/>
      </w:pPr>
      <w:bookmarkStart w:name="_TOC_250054" w:id="71"/>
      <w:bookmarkStart w:name="2.3.1 Modeling Methods for Pedestrian Cr" w:id="72"/>
      <w:r>
        <w:rPr>
          <w:b w:val="0"/>
        </w:rPr>
      </w:r>
      <w:bookmarkEnd w:id="72"/>
      <w:bookmarkStart w:name="2.3.1 Modeling Methods for Pedestrian Cr" w:id="73"/>
      <w:r>
        <w:rPr/>
        <w:t>Mod</w:t>
      </w:r>
      <w:r>
        <w:rPr/>
        <w:t>eling Methods for Pedestrian</w:t>
      </w:r>
      <w:r>
        <w:rPr>
          <w:spacing w:val="-2"/>
        </w:rPr>
        <w:t> </w:t>
      </w:r>
      <w:bookmarkEnd w:id="71"/>
      <w:r>
        <w:rPr/>
        <w:t>Crashes</w:t>
      </w:r>
    </w:p>
    <w:p>
      <w:pPr>
        <w:pStyle w:val="BodyText"/>
        <w:spacing w:before="236"/>
        <w:ind w:left="320" w:right="1429"/>
      </w:pPr>
      <w:r>
        <w:rPr/>
        <w:t>This section emphasizes the different methods used by previous researchers to develop models of pedestrian safety. Most studies use statistical models to describe the safety performance of</w:t>
      </w:r>
    </w:p>
    <w:p>
      <w:pPr>
        <w:spacing w:after="0"/>
        <w:sectPr>
          <w:pgSz w:w="12240" w:h="15840"/>
          <w:pgMar w:header="0" w:footer="709" w:top="920" w:bottom="980" w:left="1120" w:right="0"/>
        </w:sectPr>
      </w:pPr>
    </w:p>
    <w:p>
      <w:pPr>
        <w:pStyle w:val="BodyText"/>
        <w:spacing w:before="72"/>
        <w:ind w:left="319" w:right="1436"/>
      </w:pPr>
      <w:r>
        <w:rPr/>
        <w:t>intersections, corridors or other locations. Negative binomial, linear regression and probit models are commonly used models, and GIS is another widely used technology to identify high-risk locations of pedestrian-vehicle crashes (though more from a descriptive sense). In order to identify and prioritize the locations with high-risk factors of pedestrian crashes, historical pedestrian crash data are analyzed. The high-priority locations are invested in for new facilities, and treatments are usually the ones where there is either a high frequency or high severity of pedestrian crashes. Thus, the crash frequency (or frequency rate) and/or severity degree are two common dependent variables used in risk-factor models of pedestrian safety.</w:t>
      </w:r>
    </w:p>
    <w:p>
      <w:pPr>
        <w:pStyle w:val="BodyText"/>
        <w:spacing w:before="10"/>
        <w:rPr>
          <w:sz w:val="20"/>
        </w:rPr>
      </w:pPr>
    </w:p>
    <w:p>
      <w:pPr>
        <w:pStyle w:val="BodyText"/>
        <w:spacing w:before="1"/>
        <w:ind w:left="319" w:right="1440"/>
      </w:pPr>
      <w:r>
        <w:rPr/>
        <w:t>Crash frequency is one of the typical variables to evaluate pedestrian safety level and identify the locations with high safety risks. Many researchers have used the number of crashes occurred in historical data to search significant risk factors contributing to vehicle-pedestrian collisions in the United States, Australia, and Canada (Wier et al., 2009; Schneider et al., 2010; Lee and Abdel- Aty, 2005; Chimba et al., 2014; Pulugurtha and Nujjetty, 2011; Torbic et al., 2010; Zegeer et al., 2001; Gårder, 2004; Miranda-Moreno et al., 2011; McMahon et al., 1999; Poch and Mannering, 1996). Frequency rate is another common dependent variable which depicts crash frequency per unit. Zegeer et al. (2006) collected the physical characteristics and behavioral data of 68 sites in California, Pennsylvania, and Florida. A number of pedestrian crashes per site per year were used as a dependent variable. Loukaitou et al. (2007) used a number of fatal crashes per 10,000 population to analyze the influence of urban sprawl degree to pedestrian safety</w:t>
      </w:r>
      <w:r>
        <w:rPr>
          <w:spacing w:val="-11"/>
        </w:rPr>
        <w:t> </w:t>
      </w:r>
      <w:r>
        <w:rPr/>
        <w:t>level.</w:t>
      </w:r>
    </w:p>
    <w:p>
      <w:pPr>
        <w:pStyle w:val="BodyText"/>
        <w:spacing w:before="10"/>
        <w:rPr>
          <w:sz w:val="20"/>
        </w:rPr>
      </w:pPr>
    </w:p>
    <w:p>
      <w:pPr>
        <w:pStyle w:val="BodyText"/>
        <w:ind w:left="319" w:right="1532"/>
      </w:pPr>
      <w:r>
        <w:rPr/>
        <w:t>Crash severity can also be modeled. Besides the frequency models, Lee et al. (2005), Palamara and Broughton (2013), and Zegeer et al.(2001) also developed models to identify and evaluate the severity levels of pedestrian crashes in Florida, Perth central business district and 30 cities in the United States, respectively. Jang et al. (2013) divided the crashes into five categories: property damage only, slight injury, visible injury, severe injury and fatal (i.e., the KABCO scale). Fitzpatrick et al. (2014) conducted a very thorough analysis of the crashes in Texas from 2007-2011 where the crashes were divided into fatal and non-fatal categories.</w:t>
      </w:r>
    </w:p>
    <w:p>
      <w:pPr>
        <w:pStyle w:val="BodyText"/>
        <w:spacing w:before="9"/>
        <w:rPr>
          <w:sz w:val="20"/>
        </w:rPr>
      </w:pPr>
    </w:p>
    <w:p>
      <w:pPr>
        <w:pStyle w:val="BodyText"/>
        <w:ind w:left="319" w:right="1451"/>
      </w:pPr>
      <w:r>
        <w:rPr/>
        <w:t>Instead of categorizing crash locations into midblock crossings and intersections, some studies only devoted to the crashes occurred in the divided zones, with the most typical being census tracks. Census tracks are the basic unit of social economy variables; most of this type of studies focuses on the relationship between pedestrian safety and land-use characteristics. Wier et al. (2009); Jang et al. (2013); Chimba et al. (2014); Fitzpatrick et al. (2014); Gårder (2004); Ewing and Cervero (2001); Loukaitou et al. (2007); and McMahon et al. (2002) all developed the models by using the crash data per area or census tracks. Senserrick et al. (2014) and Miranda- Moreno et al. (2011) created a variable to indicate whether the crash occurred in the intersections or not. The results showed that more crashes occurred at non-intersection locations than intersections.</w:t>
      </w:r>
    </w:p>
    <w:p>
      <w:pPr>
        <w:pStyle w:val="BodyText"/>
        <w:spacing w:before="1"/>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1.1 Negative Binomial" w:id="74"/>
      <w:bookmarkEnd w:id="74"/>
      <w:r>
        <w:rPr>
          <w:b w:val="0"/>
          <w:i w:val="0"/>
        </w:rPr>
      </w:r>
      <w:bookmarkStart w:name="2.3.1.1 Negative Binomial" w:id="75"/>
      <w:bookmarkEnd w:id="75"/>
      <w:r>
        <w:rPr>
          <w:i/>
        </w:rPr>
        <w:t>N</w:t>
      </w:r>
      <w:r>
        <w:rPr>
          <w:i/>
        </w:rPr>
        <w:t>egative</w:t>
      </w:r>
      <w:r>
        <w:rPr>
          <w:i/>
          <w:spacing w:val="-1"/>
        </w:rPr>
        <w:t> </w:t>
      </w:r>
      <w:r>
        <w:rPr>
          <w:i/>
        </w:rPr>
        <w:t>Binomial</w:t>
      </w:r>
    </w:p>
    <w:p>
      <w:pPr>
        <w:pStyle w:val="BodyText"/>
        <w:spacing w:before="8"/>
        <w:rPr>
          <w:b/>
          <w:i/>
          <w:sz w:val="20"/>
        </w:rPr>
      </w:pPr>
    </w:p>
    <w:p>
      <w:pPr>
        <w:pStyle w:val="BodyText"/>
        <w:ind w:left="1039" w:right="1522"/>
      </w:pPr>
      <w:r>
        <w:rPr/>
        <w:t>Negative binomial regression models are appropriate for modeling the number, or count data, as is considered the state of the practice in crash modeling. Several studies used negative binomial models to develop tools to estimate the pedestrian-vehicle crash frequency rate of both intersections and midblock crossings by using the data from Canada, the United States and Brazil (Schneider et al., 2010; Schneider, Ryznar and Khattak, 2004; Chimba et al., 2014; Pulugurtha and Sambhara, 2011; Torbic et al., 2010; Zegeer et al., 2001; Poch and Mannering, 1996).</w:t>
      </w:r>
    </w:p>
    <w:p>
      <w:pPr>
        <w:spacing w:after="0"/>
        <w:sectPr>
          <w:pgSz w:w="12240" w:h="15840"/>
          <w:pgMar w:header="0" w:footer="709" w:top="920" w:bottom="980" w:left="1120" w:right="0"/>
        </w:sectPr>
      </w:pPr>
    </w:p>
    <w:p>
      <w:pPr>
        <w:pStyle w:val="Heading5"/>
        <w:numPr>
          <w:ilvl w:val="3"/>
          <w:numId w:val="13"/>
        </w:numPr>
        <w:tabs>
          <w:tab w:pos="1760" w:val="left" w:leader="none"/>
        </w:tabs>
        <w:spacing w:line="240" w:lineRule="auto" w:before="75" w:after="0"/>
        <w:ind w:left="1760" w:right="0" w:hanging="720"/>
        <w:jc w:val="left"/>
        <w:rPr>
          <w:i/>
        </w:rPr>
      </w:pPr>
      <w:bookmarkStart w:name="2.3.1.2 Linear Regression" w:id="76"/>
      <w:bookmarkEnd w:id="76"/>
      <w:r>
        <w:rPr>
          <w:b w:val="0"/>
          <w:i w:val="0"/>
        </w:rPr>
      </w:r>
      <w:bookmarkStart w:name="2.3.1.2 Linear Regression" w:id="77"/>
      <w:bookmarkEnd w:id="77"/>
      <w:r>
        <w:rPr>
          <w:i/>
        </w:rPr>
        <w:t>L</w:t>
      </w:r>
      <w:r>
        <w:rPr>
          <w:i/>
        </w:rPr>
        <w:t>inear</w:t>
      </w:r>
      <w:r>
        <w:rPr>
          <w:i/>
          <w:spacing w:val="-1"/>
        </w:rPr>
        <w:t> </w:t>
      </w:r>
      <w:r>
        <w:rPr>
          <w:i/>
        </w:rPr>
        <w:t>Regression</w:t>
      </w:r>
    </w:p>
    <w:p>
      <w:pPr>
        <w:pStyle w:val="BodyText"/>
        <w:spacing w:before="7"/>
        <w:rPr>
          <w:b/>
          <w:i/>
          <w:sz w:val="20"/>
        </w:rPr>
      </w:pPr>
    </w:p>
    <w:p>
      <w:pPr>
        <w:pStyle w:val="BodyText"/>
        <w:ind w:left="1039" w:right="1483"/>
      </w:pPr>
      <w:r>
        <w:rPr/>
        <w:t>Wier et al. (2009) used ordinary linear regression to build a model to estimate pedestrian crash frequency based on the data from 2001 to 2005 in San Francisco. Zegeer et al. (2006) used a similar statistical model on pedestrian crash frequency rate at intersections. Ewing and Cervero (2001) made the log transformation of dependent and predictor variables in order to keep normal distributions using a log-linear regression model.</w:t>
      </w:r>
    </w:p>
    <w:p>
      <w:pPr>
        <w:pStyle w:val="BodyText"/>
        <w:spacing w:before="1"/>
        <w:rPr>
          <w:sz w:val="21"/>
        </w:rPr>
      </w:pPr>
    </w:p>
    <w:p>
      <w:pPr>
        <w:pStyle w:val="Heading5"/>
        <w:numPr>
          <w:ilvl w:val="3"/>
          <w:numId w:val="13"/>
        </w:numPr>
        <w:tabs>
          <w:tab w:pos="1760" w:val="left" w:leader="none"/>
        </w:tabs>
        <w:spacing w:line="240" w:lineRule="auto" w:before="1" w:after="0"/>
        <w:ind w:left="1760" w:right="0" w:hanging="720"/>
        <w:jc w:val="left"/>
        <w:rPr>
          <w:i/>
        </w:rPr>
      </w:pPr>
      <w:bookmarkStart w:name="2.3.1.3 Probit" w:id="78"/>
      <w:bookmarkEnd w:id="78"/>
      <w:r>
        <w:rPr>
          <w:b w:val="0"/>
          <w:i w:val="0"/>
        </w:rPr>
      </w:r>
      <w:bookmarkStart w:name="2.3.1.3 Probit" w:id="79"/>
      <w:bookmarkEnd w:id="79"/>
      <w:r>
        <w:rPr>
          <w:i/>
        </w:rPr>
        <w:t>P</w:t>
      </w:r>
      <w:r>
        <w:rPr>
          <w:i/>
        </w:rPr>
        <w:t>robit</w:t>
      </w:r>
    </w:p>
    <w:p>
      <w:pPr>
        <w:pStyle w:val="BodyText"/>
        <w:spacing w:before="7"/>
        <w:rPr>
          <w:b/>
          <w:i/>
          <w:sz w:val="20"/>
        </w:rPr>
      </w:pPr>
    </w:p>
    <w:p>
      <w:pPr>
        <w:pStyle w:val="BodyText"/>
        <w:ind w:left="1040" w:right="1928"/>
      </w:pPr>
      <w:r>
        <w:rPr/>
        <w:t>Jang et al. (2013) used the ordered probit model to estimate the severity level of pedestrian crashes by using the data from 2002 to 2007 in San Francisco. Lee et al. (2005) applied a similar model to the crashes in intersections in Florida. The ordered probit model is useful in crash severity research areas.</w:t>
      </w:r>
    </w:p>
    <w:p>
      <w:pPr>
        <w:pStyle w:val="BodyText"/>
        <w:spacing w:before="2"/>
        <w:rPr>
          <w:sz w:val="21"/>
        </w:rPr>
      </w:pPr>
    </w:p>
    <w:p>
      <w:pPr>
        <w:pStyle w:val="Heading3"/>
        <w:numPr>
          <w:ilvl w:val="2"/>
          <w:numId w:val="13"/>
        </w:numPr>
        <w:tabs>
          <w:tab w:pos="1040" w:val="left" w:leader="none"/>
        </w:tabs>
        <w:spacing w:line="240" w:lineRule="auto" w:before="0" w:after="0"/>
        <w:ind w:left="1039" w:right="0" w:hanging="719"/>
        <w:jc w:val="left"/>
      </w:pPr>
      <w:bookmarkStart w:name="_TOC_250053" w:id="80"/>
      <w:bookmarkStart w:name="2.3.2 Critical Factors Associated with P" w:id="81"/>
      <w:r>
        <w:rPr>
          <w:b w:val="0"/>
        </w:rPr>
      </w:r>
      <w:bookmarkEnd w:id="81"/>
      <w:bookmarkStart w:name="2.3.2 Critical Factors Associated with P" w:id="82"/>
      <w:r>
        <w:rPr/>
        <w:t>C</w:t>
      </w:r>
      <w:r>
        <w:rPr/>
        <w:t>ritical Factors Associated with Pedestrian</w:t>
      </w:r>
      <w:r>
        <w:rPr>
          <w:spacing w:val="-3"/>
        </w:rPr>
        <w:t> </w:t>
      </w:r>
      <w:bookmarkEnd w:id="80"/>
      <w:r>
        <w:rPr/>
        <w:t>Crashes</w:t>
      </w:r>
    </w:p>
    <w:p>
      <w:pPr>
        <w:pStyle w:val="BodyText"/>
        <w:spacing w:before="236"/>
        <w:ind w:left="320" w:right="1624"/>
      </w:pPr>
      <w:r>
        <w:rPr/>
        <w:t>The critical factors are presented in six categories: roadway, intersection, traffic characteristics, land use, demographic and behavioral, and weather and lighting.</w:t>
      </w:r>
    </w:p>
    <w:p>
      <w:pPr>
        <w:pStyle w:val="BodyText"/>
        <w:spacing w:before="1"/>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2.1 Roadway" w:id="83"/>
      <w:bookmarkEnd w:id="83"/>
      <w:r>
        <w:rPr>
          <w:b w:val="0"/>
          <w:i w:val="0"/>
        </w:rPr>
      </w:r>
      <w:bookmarkStart w:name="2.3.2.1 Roadway" w:id="84"/>
      <w:bookmarkEnd w:id="84"/>
      <w:r>
        <w:rPr>
          <w:i/>
        </w:rPr>
        <w:t>R</w:t>
      </w:r>
      <w:r>
        <w:rPr>
          <w:i/>
        </w:rPr>
        <w:t>oadway</w:t>
      </w:r>
    </w:p>
    <w:p>
      <w:pPr>
        <w:pStyle w:val="BodyText"/>
        <w:spacing w:before="8"/>
        <w:rPr>
          <w:b/>
          <w:i/>
          <w:sz w:val="20"/>
        </w:rPr>
      </w:pPr>
    </w:p>
    <w:p>
      <w:pPr>
        <w:pStyle w:val="BodyText"/>
        <w:ind w:left="1040" w:right="1582"/>
      </w:pPr>
      <w:r>
        <w:rPr/>
        <w:t>Diogenes and Lindau (2010) developed the models and indicated that larger road widths lead to higher vehicle-pedestrian crash frequencies at midblock crossings in Brazil.</w:t>
      </w:r>
    </w:p>
    <w:p>
      <w:pPr>
        <w:pStyle w:val="BodyText"/>
        <w:ind w:left="1040" w:right="1896"/>
      </w:pPr>
      <w:r>
        <w:rPr/>
        <w:t>However, they found that the pedestrian crash rate would decrease as sidewalk width decreases. Correspondingly, Chimba et al. (2014); Palamara and Broughton (2013); Fitzpatrick et al. (2014); Garder (2004); and Sandt and Zegeer (2006) verified this conclusion in other countries, both at midblock crossings and intersections.</w:t>
      </w:r>
    </w:p>
    <w:p>
      <w:pPr>
        <w:pStyle w:val="BodyText"/>
        <w:spacing w:before="10"/>
        <w:rPr>
          <w:sz w:val="20"/>
        </w:rPr>
      </w:pPr>
    </w:p>
    <w:p>
      <w:pPr>
        <w:pStyle w:val="BodyText"/>
        <w:ind w:left="1040" w:right="1448"/>
      </w:pPr>
      <w:r>
        <w:rPr/>
        <w:t>The presence of public transit stops or other public transit facilities usually indicates high pedestrian activities and high probability of pedestrian-related crash occurrence. Torbic et al. (2010) and Miranda-Moreno et al. (2011) verified this statement in both three-leg and four-leg intersection models with data from Canada. Pulugurtha et al. (2011) pointed out that this variable is only significant in intersections with low pedestrian volume.</w:t>
      </w:r>
    </w:p>
    <w:p>
      <w:pPr>
        <w:pStyle w:val="BodyText"/>
        <w:ind w:left="1040" w:right="1515"/>
      </w:pPr>
      <w:r>
        <w:rPr/>
        <w:t>Schneider et al. (2004) and Diogenes et al. (2010) indicated that the midblock crossings near public transit stops and other public transit system facilities would experience high pedestrian crash rates in Brazil because pedestrians may behave unsafely around the stops.</w:t>
      </w:r>
    </w:p>
    <w:p>
      <w:pPr>
        <w:pStyle w:val="BodyText"/>
        <w:spacing w:before="10"/>
        <w:rPr>
          <w:sz w:val="20"/>
        </w:rPr>
      </w:pPr>
    </w:p>
    <w:p>
      <w:pPr>
        <w:pStyle w:val="BodyText"/>
        <w:ind w:left="1040" w:right="1442"/>
      </w:pPr>
      <w:r>
        <w:rPr/>
        <w:t>Sandt and Zegeer (2006) pointed out that most pedestrian crashes occurred at the undivided midblock crossings using a North Carolina crash dataset. This might be due to the fact that a large proportion of the U.S. roadway system consists of undivided roadways. Lee et al. (2005) supported this is a significant variable in the model of crashes at intersections, but only for pedestrian-fault crashes based on the data from Florida.</w:t>
      </w:r>
    </w:p>
    <w:p>
      <w:pPr>
        <w:pStyle w:val="BodyText"/>
        <w:spacing w:before="10"/>
        <w:rPr>
          <w:sz w:val="20"/>
        </w:rPr>
      </w:pPr>
    </w:p>
    <w:p>
      <w:pPr>
        <w:pStyle w:val="BodyText"/>
        <w:spacing w:before="1"/>
        <w:ind w:left="1040" w:right="1489"/>
      </w:pPr>
      <w:r>
        <w:rPr/>
        <w:t>Palamara and Broughton (2013) highlighted the importance of median refuges because they can reduce pedestrian exposure to traffic flow and provide sufficient walk time for pedestrians to complete their crossing. Schneider et al. (2010) used the proportion of crosswalks across main lanes or cross streets with medians, and made the conclusion that the presence of medians was negatively associated with pedestrian crashes. Medians may offer a refuge for pedestrians and may allow pedestrians to concentrate on crossing one</w:t>
      </w:r>
    </w:p>
    <w:p>
      <w:pPr>
        <w:spacing w:after="0"/>
        <w:sectPr>
          <w:pgSz w:w="12240" w:h="15840"/>
          <w:pgMar w:header="0" w:footer="709" w:top="920" w:bottom="980" w:left="1120" w:right="0"/>
        </w:sectPr>
      </w:pPr>
    </w:p>
    <w:p>
      <w:pPr>
        <w:pStyle w:val="BodyText"/>
        <w:spacing w:before="72"/>
        <w:ind w:left="1040" w:right="1655"/>
      </w:pPr>
      <w:r>
        <w:rPr/>
        <w:t>direction of traffic at a time. Zegeer et al. (2006) focused on median islands in the intersections and reported that the presence of a median island was associated with a significantly lower pedestrian crash risk on multilane roads. McMahon et al. (1999) reported that the locations with grassy areas and unpaved shoulders might be less likely to be crash sites using data from North Carolina.</w:t>
      </w:r>
    </w:p>
    <w:p>
      <w:pPr>
        <w:pStyle w:val="BodyText"/>
        <w:spacing w:before="10"/>
        <w:rPr>
          <w:sz w:val="20"/>
        </w:rPr>
      </w:pPr>
    </w:p>
    <w:p>
      <w:pPr>
        <w:pStyle w:val="BodyText"/>
        <w:spacing w:before="1"/>
        <w:ind w:left="1039" w:right="1458"/>
      </w:pPr>
      <w:r>
        <w:rPr/>
        <w:t>Based on the studies done by Wier et al. (2009), Fitzpatrick et al. (2014) and Miranda- Moreno et al. (2011), road classification (functional class) is associated with the pedestrian safety level. Major arterial roads were found to have a negative effect on safety issues. Wier et al. used the percentage of arterial roads’ length to the total length as a factor in their model, and Fitzpatrick et al. used the four categories of road classifications – primary highway, secondary highway, arterial and local street – and treated them as factor variables in the model. Schneider et al. (2004) and Miranda- Moreno et al. indicated that the models explored the effect of the built environment on pedestrian crashes. The overall street length would lead to high pedestrian activities, thus, high pedestrian-related crash frequencies. The log-linear model verified that street length is a significant variable, but the magnitude of its effect is not very</w:t>
      </w:r>
      <w:r>
        <w:rPr>
          <w:spacing w:val="-9"/>
        </w:rPr>
        <w:t> </w:t>
      </w:r>
      <w:r>
        <w:rPr/>
        <w:t>large.</w:t>
      </w:r>
    </w:p>
    <w:p>
      <w:pPr>
        <w:pStyle w:val="BodyText"/>
        <w:spacing w:before="10"/>
        <w:rPr>
          <w:sz w:val="20"/>
        </w:rPr>
      </w:pPr>
    </w:p>
    <w:p>
      <w:pPr>
        <w:pStyle w:val="BodyText"/>
        <w:ind w:left="1039" w:right="1511"/>
      </w:pPr>
      <w:r>
        <w:rPr/>
        <w:t>Diogenes et al. (2010) indicated that the presence of a crosswalk would make drivers cautious and drive slightly slower than elsewhere. In addition, the crosswalk would channel the pedestrians’ flow in both midblock crossings and intersections. Thus, the presence of a marked crosswalk would decrease the pedestrian crash rate. On the other hand, the distance to closed crosswalks or intersections has a positive correlation to the pedestrian crash rate, but the coefficient value is relatively small. Schneider et al. (2001), Palamara and Broughton (2013), and Garder (2004) verified that the locations with marked crosswalks are safer than the locations without crosswalks. Schneider et al. (2004) stated that the presence of sidewalks would increase the pedestrian safety performance, and McMahon et al. (1999) pointed out that the sidewalks have a particularly large safety benefit, especially in residential and mixed residential areas.</w:t>
      </w:r>
    </w:p>
    <w:p>
      <w:pPr>
        <w:pStyle w:val="BodyText"/>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2.2 Intersection" w:id="85"/>
      <w:bookmarkEnd w:id="85"/>
      <w:r>
        <w:rPr>
          <w:b w:val="0"/>
          <w:i w:val="0"/>
        </w:rPr>
      </w:r>
      <w:bookmarkStart w:name="2.3.2.2 Intersection" w:id="86"/>
      <w:bookmarkEnd w:id="86"/>
      <w:r>
        <w:rPr>
          <w:i/>
        </w:rPr>
        <w:t>I</w:t>
      </w:r>
      <w:r>
        <w:rPr>
          <w:i/>
        </w:rPr>
        <w:t>ntersection</w:t>
      </w:r>
    </w:p>
    <w:p>
      <w:pPr>
        <w:pStyle w:val="BodyText"/>
        <w:spacing w:before="7"/>
        <w:rPr>
          <w:b/>
          <w:i/>
          <w:sz w:val="20"/>
        </w:rPr>
      </w:pPr>
    </w:p>
    <w:p>
      <w:pPr>
        <w:pStyle w:val="BodyText"/>
        <w:ind w:left="1039" w:right="1449"/>
      </w:pPr>
      <w:r>
        <w:rPr/>
        <w:t>Roadway intersections are critical locations for pedestrian safety. Some researchers have reported that the most common locations for fatal and injury pedestrian crashes are within 50 feet of intersections. Schneider et al. (2010); Lee et al. (2005); Zegeer et al. (2006); Palamara and Broughton (2013); and Poch and Mannering (1996) focus on the vehicle- pedestrian collisions that occurred in intersections in California, Florida and other states in the United States. Pulugurtha et al. (2011) and Torbic et al. (2010) investigated the relationship between pedestrian crashes and predictor variables, such as demographic characteristics, land-use characteristics, and road network characteristics on signalized intersections in North Carolina and select cities in Canada. In those, Pulugurtha et al. emphasized that low pedestrian volume at signalized intersections should be separate from high pedestrian volume ones. On the other hand, Zegeer et al. (2001) focused on the non-signalized intersections. This study emphasized the safety effect of marked and unmarked crosswalks on these locations, as well as the influence of different median types. McMahon et al. (1999) developed separate models for three-leg and four-leg intersections based on the data from North Carolina.</w:t>
      </w:r>
    </w:p>
    <w:p>
      <w:pPr>
        <w:pStyle w:val="BodyText"/>
        <w:spacing w:before="11"/>
        <w:rPr>
          <w:sz w:val="20"/>
        </w:rPr>
      </w:pPr>
    </w:p>
    <w:p>
      <w:pPr>
        <w:pStyle w:val="BodyText"/>
        <w:ind w:left="1040" w:right="1555"/>
      </w:pPr>
      <w:r>
        <w:rPr/>
        <w:t>Poch and Mannering (1996) found that the presence of combining left-through lanes and protected left-turn lanes indicated an increasing left-turn volume, thus, increased annual</w:t>
      </w:r>
    </w:p>
    <w:p>
      <w:pPr>
        <w:spacing w:after="0"/>
        <w:sectPr>
          <w:pgSz w:w="12240" w:h="15840"/>
          <w:pgMar w:header="0" w:footer="709" w:top="920" w:bottom="980" w:left="1120" w:right="0"/>
        </w:sectPr>
      </w:pPr>
    </w:p>
    <w:p>
      <w:pPr>
        <w:pStyle w:val="BodyText"/>
        <w:spacing w:before="72"/>
        <w:ind w:left="1040" w:right="1613"/>
      </w:pPr>
      <w:r>
        <w:rPr/>
        <w:t>accident frequencies. Left-turn movements cause problems of sight distance and accidents. Schneider et al. (2010) developed a negative binomial regression model and showed that significantly more pedestrian crashes occurred at intersections with more right-turn-only lanes and more nonresidential driveways within 50 feet of intersections. This might indicate that intersections with right-turn lanes tend to have longer crossing distance and a more complex set of interactions between pedestrians and motorists. It could also indicate a tendency for more right-turn-on-red collisions. Moreover, the driveways represent additional conflict points between vehicles and pedestrians near the intersections, and drivers may not look carefully for pedestrians as they exit driveways across the sidewalk.</w:t>
      </w:r>
    </w:p>
    <w:p>
      <w:pPr>
        <w:pStyle w:val="BodyText"/>
        <w:spacing w:before="11"/>
        <w:rPr>
          <w:sz w:val="20"/>
        </w:rPr>
      </w:pPr>
    </w:p>
    <w:p>
      <w:pPr>
        <w:pStyle w:val="BodyText"/>
        <w:ind w:left="1040" w:right="1635"/>
      </w:pPr>
      <w:r>
        <w:rPr/>
        <w:t>Martin (2006) pointed out that the long signal cycle at intersections would increase the waiting time and delay for pedestrians as well as the crash frequencies because some people violate the traffic regulations. Poch and Mannering (1996) highlighted the uphill or downhill grades and a horizontal curve on an opposing approach may influence the sight distance and visibility of drivers and increase the probability of pedestrian crash occurrence.</w:t>
      </w:r>
    </w:p>
    <w:p>
      <w:pPr>
        <w:pStyle w:val="BodyText"/>
        <w:spacing w:before="10"/>
        <w:rPr>
          <w:sz w:val="20"/>
        </w:rPr>
      </w:pPr>
    </w:p>
    <w:p>
      <w:pPr>
        <w:pStyle w:val="BodyText"/>
        <w:ind w:left="1039" w:right="1496"/>
      </w:pPr>
      <w:r>
        <w:rPr/>
        <w:t>Garder (2004) draws the conclusion that most pedestrian crashes happened at locations without any traffic control devices, and that single-lane roundabouts typically have the lowest crash rates among all types of intersections. Zegeer et al. (2006) also reported that signalized traffic control showed up as a variable with the most effect on safety. Stop- sign control did not show up as significant in the behavior model, but it is might because of the small sample size in the dataset. Lee et al. (2005), Poch and Mannering (1996) and Olga et al. (2010) had similar results that traffic controls at intersections are strongly associated with pedestrian safety levels.</w:t>
      </w:r>
    </w:p>
    <w:p>
      <w:pPr>
        <w:pStyle w:val="BodyText"/>
        <w:spacing w:before="10"/>
        <w:rPr>
          <w:sz w:val="20"/>
        </w:rPr>
      </w:pPr>
    </w:p>
    <w:p>
      <w:pPr>
        <w:pStyle w:val="BodyText"/>
        <w:ind w:left="1039" w:right="1556"/>
      </w:pPr>
      <w:r>
        <w:rPr/>
        <w:t>Diogenes et al. (2010) proposed a method to evaluate the potential risk of pedestrian crashes at midblock crossings. Twenty-one midblock crossings with the highest number of pedestrian crashes in Porto Alegre, Brazil, from 1998 to 2006 were selected for evaluation using a Poisson regression model. The results indicated that a combination of interactive risk factors influences the estimated number of pedestrian crashes and that as the number of crossing stages increases the pedestrian crash rate decreases. Sandt and Zegeer (2006) aimed to understand the characteristics of midblock crossing pedestrian crashes to determine appropriate safety treatments. Datasets from Kentucky, Florida and North Carolina were used to determine which variables were significant at midblock crossing locations. Compared to crashes that occurred at intersections, crashes are more likely to occur at the midblock with the following features: no divided road, fewer lanes, urban area, and residential areas and during 2-6 p.m.</w:t>
      </w:r>
    </w:p>
    <w:p>
      <w:pPr>
        <w:pStyle w:val="BodyText"/>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2.3 Traffic Characteristics" w:id="87"/>
      <w:bookmarkEnd w:id="87"/>
      <w:r>
        <w:rPr>
          <w:b w:val="0"/>
          <w:i w:val="0"/>
        </w:rPr>
      </w:r>
      <w:bookmarkStart w:name="2.3.2.3 Traffic Characteristics" w:id="88"/>
      <w:bookmarkEnd w:id="88"/>
      <w:r>
        <w:rPr>
          <w:i/>
        </w:rPr>
        <w:t>T</w:t>
      </w:r>
      <w:r>
        <w:rPr>
          <w:i/>
        </w:rPr>
        <w:t>raffic</w:t>
      </w:r>
      <w:r>
        <w:rPr>
          <w:i/>
          <w:spacing w:val="-1"/>
        </w:rPr>
        <w:t> </w:t>
      </w:r>
      <w:r>
        <w:rPr>
          <w:i/>
        </w:rPr>
        <w:t>Characteristics</w:t>
      </w:r>
    </w:p>
    <w:p>
      <w:pPr>
        <w:pStyle w:val="BodyText"/>
        <w:spacing w:before="8"/>
        <w:rPr>
          <w:b/>
          <w:i/>
          <w:sz w:val="20"/>
        </w:rPr>
      </w:pPr>
    </w:p>
    <w:p>
      <w:pPr>
        <w:pStyle w:val="BodyText"/>
        <w:ind w:left="1039" w:right="1512"/>
      </w:pPr>
      <w:r>
        <w:rPr/>
        <w:t>Empirically, increases in road facility vehicle volume would increase the probability of vehicle-pedestrian conflicts on that facility. Schneider et al. (2004); Zegeer et al. (2006); Pulugurtha et al. (2011); Palamara and Broughton (2013); Miranda-Moreno et al. (2011); Martin (2006); Loukaitou et al. (2007); and Poch and Mannering (1996) all verified this statement and concluded that higher traffic volumes result in higher pedestrian crash frequency. Wier et al. (2009) made the log transformation and Schneider et al. (2010) made the natural log transformation in order to keep normal distribution. Torbic et al. (2010) pointed out that the traffic volume of major roads and minor roads are both</w:t>
      </w:r>
    </w:p>
    <w:p>
      <w:pPr>
        <w:spacing w:after="0"/>
        <w:sectPr>
          <w:pgSz w:w="12240" w:h="15840"/>
          <w:pgMar w:header="0" w:footer="709" w:top="920" w:bottom="980" w:left="1120" w:right="0"/>
        </w:sectPr>
      </w:pPr>
    </w:p>
    <w:p>
      <w:pPr>
        <w:pStyle w:val="BodyText"/>
        <w:spacing w:before="72"/>
        <w:ind w:left="1040" w:right="1489"/>
      </w:pPr>
      <w:r>
        <w:rPr/>
        <w:t>significant variables when predicting pedestrian crashes in intersections. Fitzpatrick et al. (2014) emphasized that high heavy vehicle (trucks) volume would increase the probability of high severity pedestrian crash occurrences. Diogenes et al. (2010) also mentioned that the high public transit vehicle volume would lead to more pedestrian crashes in midblock crossings in Brazil.</w:t>
      </w:r>
    </w:p>
    <w:p>
      <w:pPr>
        <w:pStyle w:val="BodyText"/>
        <w:spacing w:before="10"/>
        <w:rPr>
          <w:sz w:val="20"/>
        </w:rPr>
      </w:pPr>
    </w:p>
    <w:p>
      <w:pPr>
        <w:pStyle w:val="BodyText"/>
        <w:spacing w:before="1"/>
        <w:ind w:left="1040" w:right="1595"/>
      </w:pPr>
      <w:r>
        <w:rPr/>
        <w:t>Similarly, the probability of pedestrian crashes would be greater when the pedestrian volume increases because pedestrians would have more exposure to other road users. Schneider et al. (2004), Pulugurtha et al. (2011) and McMahon et al. (1999) support this conclusion using data from North Carolina intersections.</w:t>
      </w:r>
    </w:p>
    <w:p>
      <w:pPr>
        <w:pStyle w:val="BodyText"/>
        <w:spacing w:before="9"/>
        <w:rPr>
          <w:sz w:val="20"/>
        </w:rPr>
      </w:pPr>
    </w:p>
    <w:p>
      <w:pPr>
        <w:pStyle w:val="BodyText"/>
        <w:spacing w:before="1"/>
        <w:ind w:left="1040" w:right="1481"/>
      </w:pPr>
      <w:r>
        <w:rPr/>
        <w:t>In most studies, high vehicle speed would increase both the frequency rate and severity level of vehicle-pedestrian crashes (Lee et al., 2005; Zegeer et al., 2006; Chimba et al., 2014; Garder, 2004; Sandt and Zegeer, 2006; Martin , 2006; McMahon et al., 1999; Poch and Mannering, 1996). Most studies used the speed limit of the target zone as a predictor variable because it was easy to collect the data. Zegeer et al. (2006) collected the 85</w:t>
      </w:r>
      <w:r>
        <w:rPr>
          <w:vertAlign w:val="superscript"/>
        </w:rPr>
        <w:t>th</w:t>
      </w:r>
      <w:r>
        <w:rPr>
          <w:vertAlign w:val="baseline"/>
        </w:rPr>
        <w:t> percentile of the total vehicle speed, which was closer to the real situation. Senserrick et al. (2014) had different results as most crashes occurred not in low-speed urban areas but in high-speed rural areas.</w:t>
      </w:r>
    </w:p>
    <w:p>
      <w:pPr>
        <w:pStyle w:val="BodyText"/>
        <w:spacing w:before="1"/>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2.4 Land Use" w:id="89"/>
      <w:bookmarkEnd w:id="89"/>
      <w:r>
        <w:rPr>
          <w:b w:val="0"/>
          <w:i w:val="0"/>
        </w:rPr>
      </w:r>
      <w:bookmarkStart w:name="2.3.2.4 Land Use" w:id="90"/>
      <w:bookmarkEnd w:id="90"/>
      <w:r>
        <w:rPr>
          <w:i/>
        </w:rPr>
        <w:t>L</w:t>
      </w:r>
      <w:r>
        <w:rPr>
          <w:i/>
        </w:rPr>
        <w:t>and</w:t>
      </w:r>
      <w:r>
        <w:rPr>
          <w:i/>
          <w:spacing w:val="-1"/>
        </w:rPr>
        <w:t> </w:t>
      </w:r>
      <w:r>
        <w:rPr>
          <w:i/>
        </w:rPr>
        <w:t>Use</w:t>
      </w:r>
    </w:p>
    <w:p>
      <w:pPr>
        <w:pStyle w:val="BodyText"/>
        <w:spacing w:before="7"/>
        <w:rPr>
          <w:b/>
          <w:i/>
          <w:sz w:val="20"/>
        </w:rPr>
      </w:pPr>
    </w:p>
    <w:p>
      <w:pPr>
        <w:pStyle w:val="BodyText"/>
        <w:ind w:left="1040" w:right="1662"/>
      </w:pPr>
      <w:r>
        <w:rPr/>
        <w:t>Senserrick et al. (2014) found that the vast majority of pedestrian casualties occurred in urban areas, but rural areas represent a higher risk of fatal outcomes based on the data from 2004 to 2008 in Australia. Sandt and Zegeer (2006) and Lee et al. (2005) verified that pedestrian crashes occur predominantly in urban areas but rural crashes more often lead to pedestrian deaths, possibly due to higher vehicle speeds, by using the data from Florida and other cities in the United States.</w:t>
      </w:r>
    </w:p>
    <w:p>
      <w:pPr>
        <w:pStyle w:val="BodyText"/>
        <w:spacing w:before="10"/>
        <w:rPr>
          <w:sz w:val="20"/>
        </w:rPr>
      </w:pPr>
    </w:p>
    <w:p>
      <w:pPr>
        <w:pStyle w:val="BodyText"/>
        <w:spacing w:before="1"/>
        <w:ind w:left="1040" w:right="1490"/>
      </w:pPr>
      <w:r>
        <w:rPr/>
        <w:t>Land-use type is a common variable which is associated with vehicle-pedestrian collisions. Land-use variables are potential partial proxies for pedestrian activity and pedestrian attractors. Wier et al. (2009) found that the percentage of neighborhood commercial area of land area and the percentage of residential-neighborhood commercial area of land area had a positive association with vehicle-pedestrian collisions. On the contrary, land area has a negative effect on the crash frequency. Pulugurtha et al. (2011) made the conclusion that land-use predictor variables such as a single-family residential area, urban residential-commercial area, commercial center area, and neighborhood service district have a negative effect on the pedestrian crashes in a given area. The negative effect could be attributed to an increased level of pedestrian activity and motorists tend to be more alert and attentive, indirectly resulting in pedestrian safety.</w:t>
      </w:r>
    </w:p>
    <w:p>
      <w:pPr>
        <w:pStyle w:val="BodyText"/>
        <w:ind w:left="1040" w:right="1490"/>
      </w:pPr>
      <w:r>
        <w:rPr/>
        <w:t>Loukaitou et al. (2007) pointed out that the percentage of commercial and high-density residential areas has a positive effect on pedestrian crashes, but the percentage of vacant, industrial and office land use have a negative effect. Schneider et al. (2010); Zegeer et al. (2006); Chimba et al. (2014); Torbic et al. (2010); Miranda-Moreno et al. (2011); and Poch and Mannering (1996) also mentioned that land-use variables are significant in pedestrian safety models.</w:t>
      </w:r>
    </w:p>
    <w:p>
      <w:pPr>
        <w:pStyle w:val="BodyText"/>
        <w:spacing w:before="9"/>
        <w:rPr>
          <w:sz w:val="20"/>
        </w:rPr>
      </w:pPr>
    </w:p>
    <w:p>
      <w:pPr>
        <w:pStyle w:val="BodyText"/>
        <w:ind w:left="1040" w:right="1515"/>
      </w:pPr>
      <w:r>
        <w:rPr/>
        <w:t>Chimba et al. (2014) included the presence of schools in their model and found that they were positively associated with pedestrian crashes, likely because of higher exposure when school is in session. Miranda-Moreno et al. (2011) had a similar conclusion by</w:t>
      </w:r>
    </w:p>
    <w:p>
      <w:pPr>
        <w:spacing w:after="0"/>
        <w:sectPr>
          <w:pgSz w:w="12240" w:h="15840"/>
          <w:pgMar w:header="0" w:footer="709" w:top="920" w:bottom="980" w:left="1120" w:right="0"/>
        </w:sectPr>
      </w:pPr>
    </w:p>
    <w:p>
      <w:pPr>
        <w:pStyle w:val="BodyText"/>
        <w:spacing w:before="72"/>
        <w:ind w:left="1040" w:right="1469"/>
      </w:pPr>
      <w:r>
        <w:rPr/>
        <w:t>using data from Montreal. The number of schools in the area has a positive effect on pedestrian crash frequencies. Schneider et al. (2004) pointed out that the locations near libraries, stadiums and academic buildings have a higher risk for pedestrian crashes using data from the University of North Carolina, Chapel Hill.</w:t>
      </w:r>
    </w:p>
    <w:p>
      <w:pPr>
        <w:pStyle w:val="BodyText"/>
        <w:spacing w:before="10"/>
        <w:rPr>
          <w:sz w:val="20"/>
        </w:rPr>
      </w:pPr>
    </w:p>
    <w:p>
      <w:pPr>
        <w:pStyle w:val="BodyText"/>
        <w:spacing w:before="1"/>
        <w:ind w:left="1040" w:right="1475"/>
      </w:pPr>
      <w:r>
        <w:rPr/>
        <w:t>Ewing et al. (2003) indicated that block size, resources inventory net density, and Eigenvalue index also affect pedestrian safety levels in an area. These variables are all related to urban sprawl level, thus higher values correspond to a lesser degree of sprawl and lower fatality rates in pedestrian crashes. McMahon et al. (1999) and Martin Allison (2006) pointed out that older neighborhoods are more likely to contain pedestrian crashes compared with newer neighborhoods.</w:t>
      </w:r>
    </w:p>
    <w:p>
      <w:pPr>
        <w:pStyle w:val="BodyText"/>
        <w:rPr>
          <w:sz w:val="21"/>
        </w:rPr>
      </w:pPr>
    </w:p>
    <w:p>
      <w:pPr>
        <w:pStyle w:val="Heading5"/>
        <w:numPr>
          <w:ilvl w:val="3"/>
          <w:numId w:val="13"/>
        </w:numPr>
        <w:tabs>
          <w:tab w:pos="1760" w:val="left" w:leader="none"/>
        </w:tabs>
        <w:spacing w:line="240" w:lineRule="auto" w:before="1" w:after="0"/>
        <w:ind w:left="1760" w:right="0" w:hanging="720"/>
        <w:jc w:val="left"/>
        <w:rPr>
          <w:i/>
        </w:rPr>
      </w:pPr>
      <w:bookmarkStart w:name="2.3.2.5 Demographic and Behavior" w:id="91"/>
      <w:bookmarkEnd w:id="91"/>
      <w:r>
        <w:rPr>
          <w:b w:val="0"/>
          <w:i w:val="0"/>
        </w:rPr>
      </w:r>
      <w:bookmarkStart w:name="2.3.2.5 Demographic and Behavior" w:id="92"/>
      <w:bookmarkEnd w:id="92"/>
      <w:r>
        <w:rPr>
          <w:i/>
        </w:rPr>
        <w:t>D</w:t>
      </w:r>
      <w:r>
        <w:rPr>
          <w:i/>
        </w:rPr>
        <w:t>emographic and</w:t>
      </w:r>
      <w:r>
        <w:rPr>
          <w:i/>
          <w:spacing w:val="-1"/>
        </w:rPr>
        <w:t> </w:t>
      </w:r>
      <w:r>
        <w:rPr>
          <w:i/>
        </w:rPr>
        <w:t>Behavior</w:t>
      </w:r>
    </w:p>
    <w:p>
      <w:pPr>
        <w:pStyle w:val="BodyText"/>
        <w:spacing w:before="7"/>
        <w:rPr>
          <w:b/>
          <w:i/>
          <w:sz w:val="20"/>
        </w:rPr>
      </w:pPr>
    </w:p>
    <w:p>
      <w:pPr>
        <w:pStyle w:val="BodyText"/>
        <w:ind w:left="1040" w:right="1495"/>
      </w:pPr>
      <w:r>
        <w:rPr/>
        <w:t>Wier et al. (2009) indicated that resident population and employment population are both positively associated with pedestrian-related crash frequencies using crash data from San Francisco. Loukaitou et al. (2007) found similar results, with a higher probability of pedestrian collisions in neighborhoods with high population and employment density.</w:t>
      </w:r>
    </w:p>
    <w:p>
      <w:pPr>
        <w:pStyle w:val="BodyText"/>
        <w:ind w:left="1040" w:right="1439"/>
      </w:pPr>
      <w:r>
        <w:rPr/>
        <w:t>Martin (2006) and McMahon et al. (1999) included residential population in their models. Miranda-Moreno et al. (2011) and Ewing et al. (2003) include employment density in their models. Miranda-Moreno also introduced the number of jobs as a variable, and it had the similar effect of employment</w:t>
      </w:r>
      <w:r>
        <w:rPr>
          <w:spacing w:val="-1"/>
        </w:rPr>
        <w:t> </w:t>
      </w:r>
      <w:r>
        <w:rPr/>
        <w:t>density.</w:t>
      </w:r>
    </w:p>
    <w:p>
      <w:pPr>
        <w:pStyle w:val="BodyText"/>
        <w:spacing w:before="10"/>
        <w:rPr>
          <w:sz w:val="20"/>
        </w:rPr>
      </w:pPr>
    </w:p>
    <w:p>
      <w:pPr>
        <w:pStyle w:val="BodyText"/>
        <w:ind w:left="1040" w:right="1569"/>
      </w:pPr>
      <w:r>
        <w:rPr/>
        <w:t>Chimba et al. (2014) indicated that higher rates of crashes are associated with lower household income and a higher percentage of people living below the poverty level. The potential reason might be that households with high average income have more vehicles and walk less in their daily lives. Torbic et al. (2010), Ewing et al. (2003), and Martin Allison (2006) had similar findings about household income. Wier et al. (2009) focused on the percentage of people living below the poverty level and made the same conclusion.</w:t>
      </w:r>
    </w:p>
    <w:p>
      <w:pPr>
        <w:pStyle w:val="BodyText"/>
        <w:spacing w:before="9"/>
        <w:rPr>
          <w:sz w:val="20"/>
        </w:rPr>
      </w:pPr>
    </w:p>
    <w:p>
      <w:pPr>
        <w:pStyle w:val="BodyText"/>
        <w:ind w:left="1040" w:right="1450"/>
      </w:pPr>
      <w:r>
        <w:rPr/>
        <w:t>Chimba et al. (2014) also found that the number of vehicles per housing unit had a negative effect on pedestrian crashes in Tennessee. It was likely because more vehicles in a household could be an indication of decreased pedestrian activity and, hence, less exposure to the risk of pedestrian collisions. Martin (2006) made a similar conclusion in his review of pedestrian safety levels.</w:t>
      </w:r>
    </w:p>
    <w:p>
      <w:pPr>
        <w:pStyle w:val="BodyText"/>
        <w:spacing w:before="10"/>
        <w:rPr>
          <w:sz w:val="20"/>
        </w:rPr>
      </w:pPr>
    </w:p>
    <w:p>
      <w:pPr>
        <w:pStyle w:val="BodyText"/>
        <w:spacing w:before="1"/>
        <w:ind w:left="1040" w:right="1449"/>
      </w:pPr>
      <w:r>
        <w:rPr/>
        <w:t>Lee et al. (2005); Senserrick et al. (2014); Diogenes et al. (2010); Sandt and Zegeer (2006); and Martin (2006) found that there were proportionally more male casualties than female. In addition, males were shown to sustain more serious injuries, to be hit at higher average vehicle speeds, and to have higher mortality rates than female pedestrians.</w:t>
      </w:r>
    </w:p>
    <w:p>
      <w:pPr>
        <w:pStyle w:val="BodyText"/>
        <w:spacing w:before="10"/>
        <w:rPr>
          <w:sz w:val="20"/>
        </w:rPr>
      </w:pPr>
    </w:p>
    <w:p>
      <w:pPr>
        <w:pStyle w:val="BodyText"/>
        <w:ind w:left="1040" w:right="1469"/>
      </w:pPr>
      <w:r>
        <w:rPr/>
        <w:t>Age was found to be a critical factor in relation to the risk of a pedestrian crash and injury. Palamara and Broughton (2013) reported children and older people recorded higher proportions of pedestrian deaths. Senserrick et al. (2014) found that age groups most commonly involved were those aged 18-24, especially on weekends; 75+ especially on weekday days; and 13-17 especially at school commute times. Schneider et al. (2010); Lee et al. (2005); Jang et al.(2013); Chimba et al. (2014); Fitzpatrick et al. (2014); and Sandt and Zegeer (2006) also included an age factor into their analysis, and emphasized children and old people are the most vulnerable pedestrians.</w:t>
      </w:r>
    </w:p>
    <w:p>
      <w:pPr>
        <w:spacing w:after="0"/>
        <w:sectPr>
          <w:pgSz w:w="12240" w:h="15840"/>
          <w:pgMar w:header="0" w:footer="709" w:top="920" w:bottom="980" w:left="1120" w:right="0"/>
        </w:sectPr>
      </w:pPr>
    </w:p>
    <w:p>
      <w:pPr>
        <w:pStyle w:val="BodyText"/>
        <w:spacing w:before="72"/>
        <w:ind w:left="1040" w:right="1441"/>
      </w:pPr>
      <w:r>
        <w:rPr/>
        <w:t>The topic of race and ethnicity is linked with pedestrian safety. Jang et al. (2013), Chimba et al. (2014) and Loukaitou et al. (2007) reported that people who identify as Latino, Black and Hispanic were more likely to be involved in pedestrian-vehicle</w:t>
      </w:r>
      <w:r>
        <w:rPr>
          <w:spacing w:val="-21"/>
        </w:rPr>
        <w:t> </w:t>
      </w:r>
      <w:r>
        <w:rPr/>
        <w:t>crashes.</w:t>
      </w:r>
    </w:p>
    <w:p>
      <w:pPr>
        <w:pStyle w:val="BodyText"/>
        <w:spacing w:before="10"/>
        <w:rPr>
          <w:sz w:val="20"/>
        </w:rPr>
      </w:pPr>
    </w:p>
    <w:p>
      <w:pPr>
        <w:pStyle w:val="BodyText"/>
        <w:spacing w:before="1"/>
        <w:ind w:left="1040" w:right="1508"/>
      </w:pPr>
      <w:r>
        <w:rPr/>
        <w:t>Ewing et al. (2003) included the household size and people’s working age into the model of pedestrian fatal rates in 448 counties in the United States. The natural logarithms of sprawl index, average household size, the percentage of the population of working age, and per capita income accounted for 47% of the variance of traffic fatality rate. Chimba et al. (2014) found that the percentage in the labor force has a significant positive influence on the occurrence of pedestrian crashes.</w:t>
      </w:r>
    </w:p>
    <w:p>
      <w:pPr>
        <w:pStyle w:val="BodyText"/>
        <w:spacing w:before="9"/>
        <w:rPr>
          <w:sz w:val="20"/>
        </w:rPr>
      </w:pPr>
    </w:p>
    <w:p>
      <w:pPr>
        <w:pStyle w:val="BodyText"/>
        <w:spacing w:before="1"/>
        <w:ind w:left="1040" w:right="1422"/>
      </w:pPr>
      <w:r>
        <w:rPr/>
        <w:t>Lee et al. (2005) claimed that pedestrian and drivers’ alcohol and drug use is an important factor affecting pedestrian crashes. Alcohol-impaired pedestrians and drivers were more involved in severe crashes, and young intoxicated males are considered to be a high-risk pedestrian group since alcohol and drug use impairs pedestrians’ perception. Martin (2006) indicated that pedestrians with disabilities or carrying heavy bags are more likely to be involved in pedestrian crashes because they move slowly and have difficulty avoiding vehicles.</w:t>
      </w:r>
    </w:p>
    <w:p>
      <w:pPr>
        <w:pStyle w:val="BodyText"/>
        <w:spacing w:before="10"/>
        <w:rPr>
          <w:sz w:val="20"/>
        </w:rPr>
      </w:pPr>
    </w:p>
    <w:p>
      <w:pPr>
        <w:pStyle w:val="BodyText"/>
        <w:ind w:left="1040" w:right="1463"/>
      </w:pPr>
      <w:r>
        <w:rPr/>
        <w:t>Jang et al. (2013) found that severe injury pedestrian crashes are more likely to happen at night and on weekends because of low visibility and high pedestrian activities, respectively. Fitzpatrick et al. (2014) had a similar conclusion that nighttime is the peak time for pedestrian crash occurrence using Texas crash data from 2007 to 2011. Palamara and Broughton (2013) included time factors for adjustment factors of pedestrian volume at intersections.</w:t>
      </w:r>
    </w:p>
    <w:p>
      <w:pPr>
        <w:pStyle w:val="BodyText"/>
        <w:spacing w:before="1"/>
        <w:rPr>
          <w:sz w:val="21"/>
        </w:rPr>
      </w:pPr>
    </w:p>
    <w:p>
      <w:pPr>
        <w:pStyle w:val="Heading5"/>
        <w:numPr>
          <w:ilvl w:val="3"/>
          <w:numId w:val="13"/>
        </w:numPr>
        <w:tabs>
          <w:tab w:pos="1760" w:val="left" w:leader="none"/>
        </w:tabs>
        <w:spacing w:line="240" w:lineRule="auto" w:before="0" w:after="0"/>
        <w:ind w:left="1760" w:right="0" w:hanging="720"/>
        <w:jc w:val="left"/>
        <w:rPr>
          <w:i/>
        </w:rPr>
      </w:pPr>
      <w:bookmarkStart w:name="2.3.2.6 Weather and Lighting" w:id="93"/>
      <w:bookmarkEnd w:id="93"/>
      <w:r>
        <w:rPr>
          <w:b w:val="0"/>
          <w:i w:val="0"/>
        </w:rPr>
      </w:r>
      <w:bookmarkStart w:name="2.3.2.6 Weather and Lighting" w:id="94"/>
      <w:bookmarkEnd w:id="94"/>
      <w:r>
        <w:rPr>
          <w:i/>
        </w:rPr>
        <w:t>W</w:t>
      </w:r>
      <w:r>
        <w:rPr>
          <w:i/>
        </w:rPr>
        <w:t>eather and</w:t>
      </w:r>
      <w:r>
        <w:rPr>
          <w:i/>
          <w:spacing w:val="-1"/>
        </w:rPr>
        <w:t> </w:t>
      </w:r>
      <w:r>
        <w:rPr>
          <w:i/>
        </w:rPr>
        <w:t>Lighting</w:t>
      </w:r>
    </w:p>
    <w:p>
      <w:pPr>
        <w:pStyle w:val="BodyText"/>
        <w:spacing w:before="7"/>
        <w:rPr>
          <w:b/>
          <w:i/>
          <w:sz w:val="20"/>
        </w:rPr>
      </w:pPr>
    </w:p>
    <w:p>
      <w:pPr>
        <w:pStyle w:val="BodyText"/>
        <w:spacing w:before="1"/>
        <w:ind w:left="1039" w:right="1483"/>
      </w:pPr>
      <w:r>
        <w:rPr/>
        <w:t>Lighting is a serious risk factor in pedestrian crashes because it is related to drivers’ sight and visibility, especially at nighttime. Fitzpatrick et al. (2014) indicated that 82% of the crashes in Texas from 2007 to 2011 occurred in dark conditions, almost half of which were at locations with no lighting. Senserrick et al. (2014) claimed that males and older pedestrians are more likely to be involved in crashes in poorer lighting conditions, particularly when crossing a road away from an intersection. However, Palamara and Broughton (2013) pointed out that the majority of pedestrian crashes occurred during daylight hours in CBD (Central Business District) areas. Lee et al. (2005), Jang et al. (2013), and Fitzpatrick et al. (2014) all included the weather factor in the models and found that rainy weather has a positive influence on both pedestrian crash frequency and severity level.</w:t>
      </w:r>
    </w:p>
    <w:p>
      <w:pPr>
        <w:pStyle w:val="BodyText"/>
        <w:rPr>
          <w:sz w:val="21"/>
        </w:rPr>
      </w:pPr>
    </w:p>
    <w:p>
      <w:pPr>
        <w:pStyle w:val="Heading3"/>
        <w:numPr>
          <w:ilvl w:val="1"/>
          <w:numId w:val="13"/>
        </w:numPr>
        <w:tabs>
          <w:tab w:pos="1039" w:val="left" w:leader="none"/>
          <w:tab w:pos="1040" w:val="left" w:leader="none"/>
        </w:tabs>
        <w:spacing w:line="240" w:lineRule="auto" w:before="1" w:after="0"/>
        <w:ind w:left="1039" w:right="0" w:hanging="719"/>
        <w:jc w:val="left"/>
      </w:pPr>
      <w:bookmarkStart w:name="_TOC_250052" w:id="95"/>
      <w:bookmarkStart w:name="2.4 Summary" w:id="96"/>
      <w:r>
        <w:rPr>
          <w:b w:val="0"/>
        </w:rPr>
      </w:r>
      <w:bookmarkEnd w:id="96"/>
      <w:bookmarkStart w:name="2.4 Summary" w:id="97"/>
      <w:r>
        <w:rPr/>
        <w:t>S</w:t>
      </w:r>
      <w:bookmarkEnd w:id="95"/>
      <w:r>
        <w:rPr/>
        <w:t>UMMARY</w:t>
      </w:r>
    </w:p>
    <w:p>
      <w:pPr>
        <w:pStyle w:val="BodyText"/>
        <w:spacing w:before="237"/>
        <w:ind w:left="320" w:right="1903"/>
      </w:pPr>
      <w:r>
        <w:rPr/>
        <w:t>The objective of this review was to identify potential risk factors for bicycle and pedestrian crashes. The review identified a number of key risk factors. Table 2-3 summarizes the key potential risk factors for bicycles and Table 2-4 for pedestrians. It is clear from the summary table and the review that the two modes share many of the same potential risk factors.</w:t>
      </w:r>
    </w:p>
    <w:p>
      <w:pPr>
        <w:spacing w:after="0"/>
        <w:sectPr>
          <w:pgSz w:w="12240" w:h="15840"/>
          <w:pgMar w:header="0" w:footer="709" w:top="920" w:bottom="980" w:left="1120" w:right="0"/>
        </w:sectPr>
      </w:pPr>
    </w:p>
    <w:p>
      <w:pPr>
        <w:spacing w:before="75"/>
        <w:ind w:left="320" w:right="0" w:firstLine="0"/>
        <w:jc w:val="left"/>
        <w:rPr>
          <w:b/>
          <w:sz w:val="20"/>
        </w:rPr>
      </w:pPr>
      <w:r>
        <w:rPr>
          <w:b/>
          <w:sz w:val="20"/>
        </w:rPr>
        <w:t>Table 2.4: Summary of Identified Potential Risk Factors for Bicycle Crashes</w:t>
      </w:r>
    </w:p>
    <w:tbl>
      <w:tblPr>
        <w:tblW w:w="0" w:type="auto"/>
        <w:jc w:val="left"/>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1"/>
        <w:gridCol w:w="3117"/>
        <w:gridCol w:w="3118"/>
      </w:tblGrid>
      <w:tr>
        <w:trPr>
          <w:trHeight w:val="2902" w:hRule="atLeast"/>
        </w:trPr>
        <w:tc>
          <w:tcPr>
            <w:tcW w:w="3131" w:type="dxa"/>
            <w:tcBorders>
              <w:left w:val="nil"/>
            </w:tcBorders>
          </w:tcPr>
          <w:p>
            <w:pPr>
              <w:pStyle w:val="TableParagraph"/>
              <w:spacing w:line="228" w:lineRule="exact"/>
              <w:ind w:left="127"/>
              <w:rPr>
                <w:b/>
                <w:sz w:val="20"/>
              </w:rPr>
            </w:pPr>
            <w:r>
              <w:rPr>
                <w:b/>
                <w:sz w:val="20"/>
              </w:rPr>
              <w:t>Roadway:</w:t>
            </w:r>
          </w:p>
          <w:p>
            <w:pPr>
              <w:pStyle w:val="TableParagraph"/>
              <w:numPr>
                <w:ilvl w:val="0"/>
                <w:numId w:val="14"/>
              </w:numPr>
              <w:tabs>
                <w:tab w:pos="487" w:val="left" w:leader="none"/>
                <w:tab w:pos="488" w:val="left" w:leader="none"/>
              </w:tabs>
              <w:spacing w:line="243" w:lineRule="exact" w:before="0" w:after="0"/>
              <w:ind w:left="487" w:right="0" w:hanging="360"/>
              <w:jc w:val="left"/>
              <w:rPr>
                <w:sz w:val="20"/>
              </w:rPr>
            </w:pPr>
            <w:r>
              <w:rPr>
                <w:sz w:val="20"/>
              </w:rPr>
              <w:t>Horizontal</w:t>
            </w:r>
            <w:r>
              <w:rPr>
                <w:spacing w:val="-2"/>
                <w:sz w:val="20"/>
              </w:rPr>
              <w:t> </w:t>
            </w:r>
            <w:r>
              <w:rPr>
                <w:sz w:val="20"/>
              </w:rPr>
              <w:t>curves</w:t>
            </w:r>
          </w:p>
          <w:p>
            <w:pPr>
              <w:pStyle w:val="TableParagraph"/>
              <w:numPr>
                <w:ilvl w:val="0"/>
                <w:numId w:val="14"/>
              </w:numPr>
              <w:tabs>
                <w:tab w:pos="487" w:val="left" w:leader="none"/>
                <w:tab w:pos="488" w:val="left" w:leader="none"/>
              </w:tabs>
              <w:spacing w:line="244" w:lineRule="exact" w:before="0" w:after="0"/>
              <w:ind w:left="487" w:right="0" w:hanging="360"/>
              <w:jc w:val="left"/>
              <w:rPr>
                <w:sz w:val="20"/>
              </w:rPr>
            </w:pPr>
            <w:r>
              <w:rPr>
                <w:sz w:val="20"/>
              </w:rPr>
              <w:t>Lane</w:t>
            </w:r>
            <w:r>
              <w:rPr>
                <w:spacing w:val="-2"/>
                <w:sz w:val="20"/>
              </w:rPr>
              <w:t> </w:t>
            </w:r>
            <w:r>
              <w:rPr>
                <w:sz w:val="20"/>
              </w:rPr>
              <w:t>width</w:t>
            </w:r>
          </w:p>
          <w:p>
            <w:pPr>
              <w:pStyle w:val="TableParagraph"/>
              <w:numPr>
                <w:ilvl w:val="0"/>
                <w:numId w:val="14"/>
              </w:numPr>
              <w:tabs>
                <w:tab w:pos="487" w:val="left" w:leader="none"/>
                <w:tab w:pos="488" w:val="left" w:leader="none"/>
              </w:tabs>
              <w:spacing w:line="244" w:lineRule="exact" w:before="0" w:after="0"/>
              <w:ind w:left="487" w:right="0" w:hanging="360"/>
              <w:jc w:val="left"/>
              <w:rPr>
                <w:sz w:val="20"/>
              </w:rPr>
            </w:pPr>
            <w:r>
              <w:rPr>
                <w:sz w:val="20"/>
              </w:rPr>
              <w:t>Number of</w:t>
            </w:r>
            <w:r>
              <w:rPr>
                <w:spacing w:val="-3"/>
                <w:sz w:val="20"/>
              </w:rPr>
              <w:t> </w:t>
            </w:r>
            <w:r>
              <w:rPr>
                <w:sz w:val="20"/>
              </w:rPr>
              <w:t>driveways</w:t>
            </w:r>
          </w:p>
          <w:p>
            <w:pPr>
              <w:pStyle w:val="TableParagraph"/>
              <w:numPr>
                <w:ilvl w:val="0"/>
                <w:numId w:val="14"/>
              </w:numPr>
              <w:tabs>
                <w:tab w:pos="487" w:val="left" w:leader="none"/>
                <w:tab w:pos="488" w:val="left" w:leader="none"/>
              </w:tabs>
              <w:spacing w:line="244" w:lineRule="exact" w:before="0" w:after="0"/>
              <w:ind w:left="487" w:right="0" w:hanging="360"/>
              <w:jc w:val="left"/>
              <w:rPr>
                <w:sz w:val="20"/>
              </w:rPr>
            </w:pPr>
            <w:r>
              <w:rPr>
                <w:sz w:val="20"/>
              </w:rPr>
              <w:t>Presence of bicycle</w:t>
            </w:r>
            <w:r>
              <w:rPr>
                <w:spacing w:val="-13"/>
                <w:sz w:val="20"/>
              </w:rPr>
              <w:t> </w:t>
            </w:r>
            <w:r>
              <w:rPr>
                <w:sz w:val="20"/>
              </w:rPr>
              <w:t>lanes</w:t>
            </w:r>
          </w:p>
          <w:p>
            <w:pPr>
              <w:pStyle w:val="TableParagraph"/>
              <w:numPr>
                <w:ilvl w:val="0"/>
                <w:numId w:val="14"/>
              </w:numPr>
              <w:tabs>
                <w:tab w:pos="487" w:val="left" w:leader="none"/>
                <w:tab w:pos="488" w:val="left" w:leader="none"/>
              </w:tabs>
              <w:spacing w:line="240" w:lineRule="auto" w:before="0" w:after="0"/>
              <w:ind w:left="487" w:right="0" w:hanging="360"/>
              <w:jc w:val="left"/>
              <w:rPr>
                <w:sz w:val="20"/>
              </w:rPr>
            </w:pPr>
            <w:r>
              <w:rPr>
                <w:sz w:val="20"/>
              </w:rPr>
              <w:t>Presence of bicycle</w:t>
            </w:r>
            <w:r>
              <w:rPr>
                <w:spacing w:val="-11"/>
                <w:sz w:val="20"/>
              </w:rPr>
              <w:t> </w:t>
            </w:r>
            <w:r>
              <w:rPr>
                <w:sz w:val="20"/>
              </w:rPr>
              <w:t>paths</w:t>
            </w:r>
          </w:p>
          <w:p>
            <w:pPr>
              <w:pStyle w:val="TableParagraph"/>
              <w:numPr>
                <w:ilvl w:val="0"/>
                <w:numId w:val="14"/>
              </w:numPr>
              <w:tabs>
                <w:tab w:pos="487" w:val="left" w:leader="none"/>
                <w:tab w:pos="488" w:val="left" w:leader="none"/>
              </w:tabs>
              <w:spacing w:line="244" w:lineRule="exact" w:before="0" w:after="0"/>
              <w:ind w:left="487" w:right="0" w:hanging="360"/>
              <w:jc w:val="left"/>
              <w:rPr>
                <w:sz w:val="20"/>
              </w:rPr>
            </w:pPr>
            <w:r>
              <w:rPr>
                <w:sz w:val="20"/>
              </w:rPr>
              <w:t>Presence of bus</w:t>
            </w:r>
            <w:r>
              <w:rPr>
                <w:spacing w:val="-3"/>
                <w:sz w:val="20"/>
              </w:rPr>
              <w:t> </w:t>
            </w:r>
            <w:r>
              <w:rPr>
                <w:sz w:val="20"/>
              </w:rPr>
              <w:t>stops</w:t>
            </w:r>
          </w:p>
          <w:p>
            <w:pPr>
              <w:pStyle w:val="TableParagraph"/>
              <w:numPr>
                <w:ilvl w:val="0"/>
                <w:numId w:val="14"/>
              </w:numPr>
              <w:tabs>
                <w:tab w:pos="487" w:val="left" w:leader="none"/>
                <w:tab w:pos="488" w:val="left" w:leader="none"/>
              </w:tabs>
              <w:spacing w:line="244" w:lineRule="exact" w:before="0" w:after="0"/>
              <w:ind w:left="487" w:right="0" w:hanging="360"/>
              <w:jc w:val="left"/>
              <w:rPr>
                <w:sz w:val="20"/>
              </w:rPr>
            </w:pPr>
            <w:r>
              <w:rPr>
                <w:sz w:val="20"/>
              </w:rPr>
              <w:t>Presence of</w:t>
            </w:r>
            <w:r>
              <w:rPr>
                <w:spacing w:val="-8"/>
                <w:sz w:val="20"/>
              </w:rPr>
              <w:t> </w:t>
            </w:r>
            <w:r>
              <w:rPr>
                <w:sz w:val="20"/>
              </w:rPr>
              <w:t>median</w:t>
            </w:r>
          </w:p>
          <w:p>
            <w:pPr>
              <w:pStyle w:val="TableParagraph"/>
              <w:numPr>
                <w:ilvl w:val="0"/>
                <w:numId w:val="14"/>
              </w:numPr>
              <w:tabs>
                <w:tab w:pos="486" w:val="left" w:leader="none"/>
                <w:tab w:pos="487" w:val="left" w:leader="none"/>
              </w:tabs>
              <w:spacing w:line="240" w:lineRule="auto" w:before="0" w:after="0"/>
              <w:ind w:left="486" w:right="0" w:hanging="359"/>
              <w:jc w:val="left"/>
              <w:rPr>
                <w:sz w:val="20"/>
              </w:rPr>
            </w:pPr>
            <w:r>
              <w:rPr>
                <w:sz w:val="20"/>
              </w:rPr>
              <w:t>Presence of</w:t>
            </w:r>
            <w:r>
              <w:rPr>
                <w:spacing w:val="-8"/>
                <w:sz w:val="20"/>
              </w:rPr>
              <w:t> </w:t>
            </w:r>
            <w:r>
              <w:rPr>
                <w:sz w:val="20"/>
              </w:rPr>
              <w:t>parking</w:t>
            </w:r>
          </w:p>
          <w:p>
            <w:pPr>
              <w:pStyle w:val="TableParagraph"/>
              <w:numPr>
                <w:ilvl w:val="0"/>
                <w:numId w:val="14"/>
              </w:numPr>
              <w:tabs>
                <w:tab w:pos="486" w:val="left" w:leader="none"/>
                <w:tab w:pos="487" w:val="left" w:leader="none"/>
              </w:tabs>
              <w:spacing w:line="244" w:lineRule="exact" w:before="0" w:after="0"/>
              <w:ind w:left="486" w:right="0" w:hanging="360"/>
              <w:jc w:val="left"/>
              <w:rPr>
                <w:sz w:val="20"/>
              </w:rPr>
            </w:pPr>
            <w:r>
              <w:rPr>
                <w:sz w:val="20"/>
              </w:rPr>
              <w:t>Vertical grade</w:t>
            </w:r>
            <w:r>
              <w:rPr>
                <w:spacing w:val="-3"/>
                <w:sz w:val="20"/>
              </w:rPr>
              <w:t> </w:t>
            </w:r>
            <w:r>
              <w:rPr>
                <w:sz w:val="20"/>
              </w:rPr>
              <w:t>(slope)</w:t>
            </w:r>
          </w:p>
          <w:p>
            <w:pPr>
              <w:pStyle w:val="TableParagraph"/>
              <w:numPr>
                <w:ilvl w:val="0"/>
                <w:numId w:val="14"/>
              </w:numPr>
              <w:tabs>
                <w:tab w:pos="486" w:val="left" w:leader="none"/>
                <w:tab w:pos="487" w:val="left" w:leader="none"/>
              </w:tabs>
              <w:spacing w:line="244" w:lineRule="exact" w:before="0" w:after="0"/>
              <w:ind w:left="486" w:right="0" w:hanging="360"/>
              <w:jc w:val="left"/>
              <w:rPr>
                <w:sz w:val="20"/>
              </w:rPr>
            </w:pPr>
            <w:r>
              <w:rPr>
                <w:sz w:val="20"/>
              </w:rPr>
              <w:t>Width of bicycle</w:t>
            </w:r>
            <w:r>
              <w:rPr>
                <w:spacing w:val="-4"/>
                <w:sz w:val="20"/>
              </w:rPr>
              <w:t> </w:t>
            </w:r>
            <w:r>
              <w:rPr>
                <w:sz w:val="20"/>
              </w:rPr>
              <w:t>lanes</w:t>
            </w:r>
          </w:p>
        </w:tc>
        <w:tc>
          <w:tcPr>
            <w:tcW w:w="3117" w:type="dxa"/>
          </w:tcPr>
          <w:p>
            <w:pPr>
              <w:pStyle w:val="TableParagraph"/>
              <w:spacing w:line="228" w:lineRule="exact"/>
              <w:ind w:left="107"/>
              <w:rPr>
                <w:b/>
                <w:sz w:val="20"/>
              </w:rPr>
            </w:pPr>
            <w:r>
              <w:rPr>
                <w:b/>
                <w:sz w:val="20"/>
              </w:rPr>
              <w:t>Traffic Characteristics:</w:t>
            </w:r>
          </w:p>
          <w:p>
            <w:pPr>
              <w:pStyle w:val="TableParagraph"/>
              <w:numPr>
                <w:ilvl w:val="0"/>
                <w:numId w:val="15"/>
              </w:numPr>
              <w:tabs>
                <w:tab w:pos="467" w:val="left" w:leader="none"/>
                <w:tab w:pos="468" w:val="left" w:leader="none"/>
              </w:tabs>
              <w:spacing w:line="243" w:lineRule="exact" w:before="0" w:after="0"/>
              <w:ind w:left="467" w:right="0" w:hanging="360"/>
              <w:jc w:val="left"/>
              <w:rPr>
                <w:sz w:val="20"/>
              </w:rPr>
            </w:pPr>
            <w:r>
              <w:rPr>
                <w:sz w:val="20"/>
              </w:rPr>
              <w:t>Average daily</w:t>
            </w:r>
            <w:r>
              <w:rPr>
                <w:spacing w:val="-3"/>
                <w:sz w:val="20"/>
              </w:rPr>
              <w:t> </w:t>
            </w:r>
            <w:r>
              <w:rPr>
                <w:sz w:val="20"/>
              </w:rPr>
              <w:t>traffic</w:t>
            </w:r>
          </w:p>
          <w:p>
            <w:pPr>
              <w:pStyle w:val="TableParagraph"/>
              <w:numPr>
                <w:ilvl w:val="0"/>
                <w:numId w:val="15"/>
              </w:numPr>
              <w:tabs>
                <w:tab w:pos="467" w:val="left" w:leader="none"/>
                <w:tab w:pos="468" w:val="left" w:leader="none"/>
              </w:tabs>
              <w:spacing w:line="244" w:lineRule="exact" w:before="0" w:after="0"/>
              <w:ind w:left="467" w:right="0" w:hanging="360"/>
              <w:jc w:val="left"/>
              <w:rPr>
                <w:sz w:val="20"/>
              </w:rPr>
            </w:pPr>
            <w:r>
              <w:rPr>
                <w:sz w:val="20"/>
              </w:rPr>
              <w:t>Functional</w:t>
            </w:r>
            <w:r>
              <w:rPr>
                <w:spacing w:val="-8"/>
                <w:sz w:val="20"/>
              </w:rPr>
              <w:t> </w:t>
            </w:r>
            <w:r>
              <w:rPr>
                <w:sz w:val="20"/>
              </w:rPr>
              <w:t>class</w:t>
            </w:r>
          </w:p>
          <w:p>
            <w:pPr>
              <w:pStyle w:val="TableParagraph"/>
              <w:numPr>
                <w:ilvl w:val="0"/>
                <w:numId w:val="15"/>
              </w:numPr>
              <w:tabs>
                <w:tab w:pos="467" w:val="left" w:leader="none"/>
                <w:tab w:pos="468" w:val="left" w:leader="none"/>
              </w:tabs>
              <w:spacing w:line="240" w:lineRule="auto" w:before="0" w:after="0"/>
              <w:ind w:left="467" w:right="549" w:hanging="360"/>
              <w:jc w:val="left"/>
              <w:rPr>
                <w:sz w:val="20"/>
              </w:rPr>
            </w:pPr>
            <w:r>
              <w:rPr>
                <w:sz w:val="20"/>
              </w:rPr>
              <w:t>Number of left- and right- turning</w:t>
            </w:r>
            <w:r>
              <w:rPr>
                <w:spacing w:val="-2"/>
                <w:sz w:val="20"/>
              </w:rPr>
              <w:t> </w:t>
            </w:r>
            <w:r>
              <w:rPr>
                <w:sz w:val="20"/>
              </w:rPr>
              <w:t>vehicles</w:t>
            </w:r>
          </w:p>
          <w:p>
            <w:pPr>
              <w:pStyle w:val="TableParagraph"/>
              <w:numPr>
                <w:ilvl w:val="0"/>
                <w:numId w:val="15"/>
              </w:numPr>
              <w:tabs>
                <w:tab w:pos="467" w:val="left" w:leader="none"/>
                <w:tab w:pos="468" w:val="left" w:leader="none"/>
              </w:tabs>
              <w:spacing w:line="244" w:lineRule="exact" w:before="0" w:after="0"/>
              <w:ind w:left="467" w:right="0" w:hanging="360"/>
              <w:jc w:val="left"/>
              <w:rPr>
                <w:sz w:val="20"/>
              </w:rPr>
            </w:pPr>
            <w:r>
              <w:rPr>
                <w:sz w:val="20"/>
              </w:rPr>
              <w:t>Operating vehicle</w:t>
            </w:r>
            <w:r>
              <w:rPr>
                <w:spacing w:val="-3"/>
                <w:sz w:val="20"/>
              </w:rPr>
              <w:t> </w:t>
            </w:r>
            <w:r>
              <w:rPr>
                <w:sz w:val="20"/>
              </w:rPr>
              <w:t>speed</w:t>
            </w:r>
          </w:p>
          <w:p>
            <w:pPr>
              <w:pStyle w:val="TableParagraph"/>
              <w:numPr>
                <w:ilvl w:val="0"/>
                <w:numId w:val="15"/>
              </w:numPr>
              <w:tabs>
                <w:tab w:pos="467" w:val="left" w:leader="none"/>
                <w:tab w:pos="468" w:val="left" w:leader="none"/>
              </w:tabs>
              <w:spacing w:line="244" w:lineRule="exact" w:before="0" w:after="0"/>
              <w:ind w:left="467" w:right="0" w:hanging="360"/>
              <w:jc w:val="left"/>
              <w:rPr>
                <w:sz w:val="20"/>
              </w:rPr>
            </w:pPr>
            <w:r>
              <w:rPr>
                <w:sz w:val="20"/>
              </w:rPr>
              <w:t>Percent heavy</w:t>
            </w:r>
            <w:r>
              <w:rPr>
                <w:spacing w:val="-5"/>
                <w:sz w:val="20"/>
              </w:rPr>
              <w:t> </w:t>
            </w:r>
            <w:r>
              <w:rPr>
                <w:sz w:val="20"/>
              </w:rPr>
              <w:t>vehicles</w:t>
            </w:r>
          </w:p>
          <w:p>
            <w:pPr>
              <w:pStyle w:val="TableParagraph"/>
              <w:numPr>
                <w:ilvl w:val="0"/>
                <w:numId w:val="15"/>
              </w:numPr>
              <w:tabs>
                <w:tab w:pos="467" w:val="left" w:leader="none"/>
                <w:tab w:pos="468" w:val="left" w:leader="none"/>
              </w:tabs>
              <w:spacing w:line="244" w:lineRule="exact" w:before="0" w:after="0"/>
              <w:ind w:left="467" w:right="0" w:hanging="360"/>
              <w:jc w:val="left"/>
              <w:rPr>
                <w:sz w:val="20"/>
              </w:rPr>
            </w:pPr>
            <w:r>
              <w:rPr>
                <w:sz w:val="20"/>
              </w:rPr>
              <w:t>Posted speed</w:t>
            </w:r>
            <w:r>
              <w:rPr>
                <w:spacing w:val="-2"/>
                <w:sz w:val="20"/>
              </w:rPr>
              <w:t> </w:t>
            </w:r>
            <w:r>
              <w:rPr>
                <w:sz w:val="20"/>
              </w:rPr>
              <w:t>limit</w:t>
            </w:r>
          </w:p>
        </w:tc>
        <w:tc>
          <w:tcPr>
            <w:tcW w:w="3118" w:type="dxa"/>
            <w:tcBorders>
              <w:right w:val="nil"/>
            </w:tcBorders>
          </w:tcPr>
          <w:p>
            <w:pPr>
              <w:pStyle w:val="TableParagraph"/>
              <w:spacing w:line="228" w:lineRule="exact"/>
              <w:ind w:left="107"/>
              <w:rPr>
                <w:b/>
                <w:sz w:val="20"/>
              </w:rPr>
            </w:pPr>
            <w:r>
              <w:rPr>
                <w:b/>
                <w:sz w:val="20"/>
              </w:rPr>
              <w:t>Demographic and Behavior:</w:t>
            </w:r>
          </w:p>
          <w:p>
            <w:pPr>
              <w:pStyle w:val="TableParagraph"/>
              <w:numPr>
                <w:ilvl w:val="0"/>
                <w:numId w:val="16"/>
              </w:numPr>
              <w:tabs>
                <w:tab w:pos="466" w:val="left" w:leader="none"/>
                <w:tab w:pos="467" w:val="left" w:leader="none"/>
              </w:tabs>
              <w:spacing w:line="243" w:lineRule="exact" w:before="0" w:after="0"/>
              <w:ind w:left="466" w:right="0" w:hanging="359"/>
              <w:jc w:val="left"/>
              <w:rPr>
                <w:sz w:val="20"/>
              </w:rPr>
            </w:pPr>
            <w:r>
              <w:rPr>
                <w:sz w:val="20"/>
              </w:rPr>
              <w:t>Age</w:t>
            </w:r>
          </w:p>
          <w:p>
            <w:pPr>
              <w:pStyle w:val="TableParagraph"/>
              <w:numPr>
                <w:ilvl w:val="0"/>
                <w:numId w:val="16"/>
              </w:numPr>
              <w:tabs>
                <w:tab w:pos="466" w:val="left" w:leader="none"/>
                <w:tab w:pos="467" w:val="left" w:leader="none"/>
              </w:tabs>
              <w:spacing w:line="244" w:lineRule="exact" w:before="0" w:after="0"/>
              <w:ind w:left="466" w:right="0" w:hanging="359"/>
              <w:jc w:val="left"/>
              <w:rPr>
                <w:sz w:val="20"/>
              </w:rPr>
            </w:pPr>
            <w:r>
              <w:rPr>
                <w:sz w:val="20"/>
              </w:rPr>
              <w:t>Driver drug/alcohol</w:t>
            </w:r>
            <w:r>
              <w:rPr>
                <w:spacing w:val="-4"/>
                <w:sz w:val="20"/>
              </w:rPr>
              <w:t> </w:t>
            </w:r>
            <w:r>
              <w:rPr>
                <w:sz w:val="20"/>
              </w:rPr>
              <w:t>use</w:t>
            </w:r>
          </w:p>
          <w:p>
            <w:pPr>
              <w:pStyle w:val="TableParagraph"/>
              <w:numPr>
                <w:ilvl w:val="0"/>
                <w:numId w:val="16"/>
              </w:numPr>
              <w:tabs>
                <w:tab w:pos="466" w:val="left" w:leader="none"/>
                <w:tab w:pos="467" w:val="left" w:leader="none"/>
              </w:tabs>
              <w:spacing w:line="244" w:lineRule="exact" w:before="0" w:after="0"/>
              <w:ind w:left="466" w:right="0" w:hanging="359"/>
              <w:jc w:val="left"/>
              <w:rPr>
                <w:sz w:val="20"/>
              </w:rPr>
            </w:pPr>
            <w:r>
              <w:rPr>
                <w:sz w:val="20"/>
              </w:rPr>
              <w:t>Gender</w:t>
            </w:r>
          </w:p>
          <w:p>
            <w:pPr>
              <w:pStyle w:val="TableParagraph"/>
              <w:numPr>
                <w:ilvl w:val="0"/>
                <w:numId w:val="16"/>
              </w:numPr>
              <w:tabs>
                <w:tab w:pos="466" w:val="left" w:leader="none"/>
                <w:tab w:pos="467" w:val="left" w:leader="none"/>
              </w:tabs>
              <w:spacing w:line="244" w:lineRule="exact" w:before="0" w:after="0"/>
              <w:ind w:left="466" w:right="0" w:hanging="360"/>
              <w:jc w:val="left"/>
              <w:rPr>
                <w:sz w:val="20"/>
              </w:rPr>
            </w:pPr>
            <w:r>
              <w:rPr>
                <w:sz w:val="20"/>
              </w:rPr>
              <w:t>Inappropriate</w:t>
            </w:r>
            <w:r>
              <w:rPr>
                <w:spacing w:val="-1"/>
                <w:sz w:val="20"/>
              </w:rPr>
              <w:t> </w:t>
            </w:r>
            <w:r>
              <w:rPr>
                <w:sz w:val="20"/>
              </w:rPr>
              <w:t>speed</w:t>
            </w:r>
          </w:p>
          <w:p>
            <w:pPr>
              <w:pStyle w:val="TableParagraph"/>
              <w:numPr>
                <w:ilvl w:val="0"/>
                <w:numId w:val="16"/>
              </w:numPr>
              <w:tabs>
                <w:tab w:pos="466" w:val="left" w:leader="none"/>
                <w:tab w:pos="467" w:val="left" w:leader="none"/>
              </w:tabs>
              <w:spacing w:line="240" w:lineRule="auto" w:before="0" w:after="0"/>
              <w:ind w:left="466" w:right="0" w:hanging="360"/>
              <w:jc w:val="left"/>
              <w:rPr>
                <w:sz w:val="20"/>
              </w:rPr>
            </w:pPr>
            <w:r>
              <w:rPr>
                <w:sz w:val="20"/>
              </w:rPr>
              <w:t>Inattention</w:t>
            </w:r>
          </w:p>
          <w:p>
            <w:pPr>
              <w:pStyle w:val="TableParagraph"/>
              <w:numPr>
                <w:ilvl w:val="0"/>
                <w:numId w:val="16"/>
              </w:numPr>
              <w:tabs>
                <w:tab w:pos="466" w:val="left" w:leader="none"/>
                <w:tab w:pos="467" w:val="left" w:leader="none"/>
              </w:tabs>
              <w:spacing w:line="244" w:lineRule="exact" w:before="0" w:after="0"/>
              <w:ind w:left="466" w:right="0" w:hanging="360"/>
              <w:jc w:val="left"/>
              <w:rPr>
                <w:sz w:val="20"/>
              </w:rPr>
            </w:pPr>
            <w:r>
              <w:rPr>
                <w:sz w:val="20"/>
              </w:rPr>
              <w:t>Pedestrian drug/alcohol</w:t>
            </w:r>
            <w:r>
              <w:rPr>
                <w:spacing w:val="-5"/>
                <w:sz w:val="20"/>
              </w:rPr>
              <w:t> </w:t>
            </w:r>
            <w:r>
              <w:rPr>
                <w:sz w:val="20"/>
              </w:rPr>
              <w:t>use</w:t>
            </w:r>
          </w:p>
          <w:p>
            <w:pPr>
              <w:pStyle w:val="TableParagraph"/>
              <w:numPr>
                <w:ilvl w:val="0"/>
                <w:numId w:val="16"/>
              </w:numPr>
              <w:tabs>
                <w:tab w:pos="466" w:val="left" w:leader="none"/>
                <w:tab w:pos="467" w:val="left" w:leader="none"/>
              </w:tabs>
              <w:spacing w:line="240" w:lineRule="auto" w:before="0" w:after="0"/>
              <w:ind w:left="466" w:right="122" w:hanging="360"/>
              <w:jc w:val="left"/>
              <w:rPr>
                <w:sz w:val="20"/>
              </w:rPr>
            </w:pPr>
            <w:r>
              <w:rPr>
                <w:sz w:val="20"/>
              </w:rPr>
              <w:t>Protective measures (helmet/wear fluorescent</w:t>
            </w:r>
            <w:r>
              <w:rPr>
                <w:spacing w:val="-13"/>
                <w:sz w:val="20"/>
              </w:rPr>
              <w:t> </w:t>
            </w:r>
            <w:r>
              <w:rPr>
                <w:sz w:val="20"/>
              </w:rPr>
              <w:t>color)</w:t>
            </w:r>
          </w:p>
        </w:tc>
      </w:tr>
      <w:tr>
        <w:trPr>
          <w:trHeight w:val="2439" w:hRule="atLeast"/>
        </w:trPr>
        <w:tc>
          <w:tcPr>
            <w:tcW w:w="3131" w:type="dxa"/>
            <w:tcBorders>
              <w:left w:val="nil"/>
            </w:tcBorders>
          </w:tcPr>
          <w:p>
            <w:pPr>
              <w:pStyle w:val="TableParagraph"/>
              <w:spacing w:line="228" w:lineRule="exact"/>
              <w:ind w:left="127"/>
              <w:rPr>
                <w:b/>
                <w:sz w:val="20"/>
              </w:rPr>
            </w:pPr>
            <w:r>
              <w:rPr>
                <w:b/>
                <w:sz w:val="20"/>
              </w:rPr>
              <w:t>Intersections:</w:t>
            </w:r>
          </w:p>
          <w:p>
            <w:pPr>
              <w:pStyle w:val="TableParagraph"/>
              <w:numPr>
                <w:ilvl w:val="0"/>
                <w:numId w:val="17"/>
              </w:numPr>
              <w:tabs>
                <w:tab w:pos="487" w:val="left" w:leader="none"/>
                <w:tab w:pos="488" w:val="left" w:leader="none"/>
              </w:tabs>
              <w:spacing w:line="240" w:lineRule="auto" w:before="0" w:after="0"/>
              <w:ind w:left="487" w:right="576" w:hanging="360"/>
              <w:jc w:val="left"/>
              <w:rPr>
                <w:sz w:val="20"/>
              </w:rPr>
            </w:pPr>
            <w:r>
              <w:rPr>
                <w:sz w:val="20"/>
              </w:rPr>
              <w:t>Distance to nearest traffic signal</w:t>
            </w:r>
          </w:p>
          <w:p>
            <w:pPr>
              <w:pStyle w:val="TableParagraph"/>
              <w:numPr>
                <w:ilvl w:val="0"/>
                <w:numId w:val="17"/>
              </w:numPr>
              <w:tabs>
                <w:tab w:pos="486" w:val="left" w:leader="none"/>
                <w:tab w:pos="487" w:val="left" w:leader="none"/>
              </w:tabs>
              <w:spacing w:line="244" w:lineRule="exact" w:before="0" w:after="0"/>
              <w:ind w:left="486" w:right="0" w:hanging="359"/>
              <w:jc w:val="left"/>
              <w:rPr>
                <w:sz w:val="20"/>
              </w:rPr>
            </w:pPr>
            <w:r>
              <w:rPr>
                <w:sz w:val="20"/>
              </w:rPr>
              <w:t>Number of left-turn</w:t>
            </w:r>
            <w:r>
              <w:rPr>
                <w:spacing w:val="-4"/>
                <w:sz w:val="20"/>
              </w:rPr>
              <w:t> </w:t>
            </w:r>
            <w:r>
              <w:rPr>
                <w:sz w:val="20"/>
              </w:rPr>
              <w:t>lanes</w:t>
            </w:r>
          </w:p>
          <w:p>
            <w:pPr>
              <w:pStyle w:val="TableParagraph"/>
              <w:numPr>
                <w:ilvl w:val="0"/>
                <w:numId w:val="17"/>
              </w:numPr>
              <w:tabs>
                <w:tab w:pos="486" w:val="left" w:leader="none"/>
                <w:tab w:pos="487" w:val="left" w:leader="none"/>
              </w:tabs>
              <w:spacing w:line="244" w:lineRule="exact" w:before="0" w:after="0"/>
              <w:ind w:left="486" w:right="0" w:hanging="360"/>
              <w:jc w:val="left"/>
              <w:rPr>
                <w:sz w:val="20"/>
              </w:rPr>
            </w:pPr>
            <w:r>
              <w:rPr>
                <w:sz w:val="20"/>
              </w:rPr>
              <w:t>Number of right-turn</w:t>
            </w:r>
            <w:r>
              <w:rPr>
                <w:spacing w:val="-6"/>
                <w:sz w:val="20"/>
              </w:rPr>
              <w:t> </w:t>
            </w:r>
            <w:r>
              <w:rPr>
                <w:sz w:val="20"/>
              </w:rPr>
              <w:t>lanes</w:t>
            </w:r>
          </w:p>
          <w:p>
            <w:pPr>
              <w:pStyle w:val="TableParagraph"/>
              <w:numPr>
                <w:ilvl w:val="0"/>
                <w:numId w:val="17"/>
              </w:numPr>
              <w:tabs>
                <w:tab w:pos="486" w:val="left" w:leader="none"/>
                <w:tab w:pos="487" w:val="left" w:leader="none"/>
              </w:tabs>
              <w:spacing w:line="244" w:lineRule="exact" w:before="0" w:after="0"/>
              <w:ind w:left="486" w:right="0" w:hanging="360"/>
              <w:jc w:val="left"/>
              <w:rPr>
                <w:sz w:val="20"/>
              </w:rPr>
            </w:pPr>
            <w:r>
              <w:rPr>
                <w:sz w:val="20"/>
              </w:rPr>
              <w:t>Number of traffic</w:t>
            </w:r>
            <w:r>
              <w:rPr>
                <w:spacing w:val="-4"/>
                <w:sz w:val="20"/>
              </w:rPr>
              <w:t> </w:t>
            </w:r>
            <w:r>
              <w:rPr>
                <w:sz w:val="20"/>
              </w:rPr>
              <w:t>lanes</w:t>
            </w:r>
          </w:p>
          <w:p>
            <w:pPr>
              <w:pStyle w:val="TableParagraph"/>
              <w:numPr>
                <w:ilvl w:val="0"/>
                <w:numId w:val="17"/>
              </w:numPr>
              <w:tabs>
                <w:tab w:pos="486" w:val="left" w:leader="none"/>
                <w:tab w:pos="487" w:val="left" w:leader="none"/>
              </w:tabs>
              <w:spacing w:line="244" w:lineRule="exact" w:before="0" w:after="0"/>
              <w:ind w:left="486" w:right="0" w:hanging="360"/>
              <w:jc w:val="left"/>
              <w:rPr>
                <w:sz w:val="20"/>
              </w:rPr>
            </w:pPr>
            <w:r>
              <w:rPr>
                <w:sz w:val="20"/>
              </w:rPr>
              <w:t>Presence of a</w:t>
            </w:r>
            <w:r>
              <w:rPr>
                <w:spacing w:val="-4"/>
                <w:sz w:val="20"/>
              </w:rPr>
              <w:t> </w:t>
            </w:r>
            <w:r>
              <w:rPr>
                <w:sz w:val="20"/>
              </w:rPr>
              <w:t>roundabout</w:t>
            </w:r>
          </w:p>
          <w:p>
            <w:pPr>
              <w:pStyle w:val="TableParagraph"/>
              <w:numPr>
                <w:ilvl w:val="0"/>
                <w:numId w:val="17"/>
              </w:numPr>
              <w:tabs>
                <w:tab w:pos="486" w:val="left" w:leader="none"/>
                <w:tab w:pos="487" w:val="left" w:leader="none"/>
              </w:tabs>
              <w:spacing w:line="240" w:lineRule="auto" w:before="0" w:after="0"/>
              <w:ind w:left="486" w:right="0" w:hanging="360"/>
              <w:jc w:val="left"/>
              <w:rPr>
                <w:sz w:val="20"/>
              </w:rPr>
            </w:pPr>
            <w:r>
              <w:rPr>
                <w:sz w:val="20"/>
              </w:rPr>
              <w:t>Presence of</w:t>
            </w:r>
            <w:r>
              <w:rPr>
                <w:spacing w:val="-3"/>
                <w:sz w:val="20"/>
              </w:rPr>
              <w:t> </w:t>
            </w:r>
            <w:r>
              <w:rPr>
                <w:sz w:val="20"/>
              </w:rPr>
              <w:t>crosswalk</w:t>
            </w:r>
          </w:p>
          <w:p>
            <w:pPr>
              <w:pStyle w:val="TableParagraph"/>
              <w:numPr>
                <w:ilvl w:val="0"/>
                <w:numId w:val="17"/>
              </w:numPr>
              <w:tabs>
                <w:tab w:pos="486" w:val="left" w:leader="none"/>
                <w:tab w:pos="487" w:val="left" w:leader="none"/>
              </w:tabs>
              <w:spacing w:line="244" w:lineRule="exact" w:before="0" w:after="0"/>
              <w:ind w:left="486" w:right="0" w:hanging="360"/>
              <w:jc w:val="left"/>
              <w:rPr>
                <w:sz w:val="20"/>
              </w:rPr>
            </w:pPr>
            <w:r>
              <w:rPr>
                <w:sz w:val="20"/>
              </w:rPr>
              <w:t>Presence of traffic</w:t>
            </w:r>
            <w:r>
              <w:rPr>
                <w:spacing w:val="-4"/>
                <w:sz w:val="20"/>
              </w:rPr>
              <w:t> </w:t>
            </w:r>
            <w:r>
              <w:rPr>
                <w:sz w:val="20"/>
              </w:rPr>
              <w:t>signal</w:t>
            </w:r>
          </w:p>
          <w:p>
            <w:pPr>
              <w:pStyle w:val="TableParagraph"/>
              <w:numPr>
                <w:ilvl w:val="0"/>
                <w:numId w:val="17"/>
              </w:numPr>
              <w:tabs>
                <w:tab w:pos="487" w:val="left" w:leader="none"/>
                <w:tab w:pos="488" w:val="left" w:leader="none"/>
              </w:tabs>
              <w:spacing w:line="244" w:lineRule="exact" w:before="0" w:after="0"/>
              <w:ind w:left="487" w:right="0" w:hanging="360"/>
              <w:jc w:val="left"/>
              <w:rPr>
                <w:sz w:val="20"/>
              </w:rPr>
            </w:pPr>
            <w:r>
              <w:rPr>
                <w:sz w:val="20"/>
              </w:rPr>
              <w:t>Type of traffic</w:t>
            </w:r>
            <w:r>
              <w:rPr>
                <w:spacing w:val="-3"/>
                <w:sz w:val="20"/>
              </w:rPr>
              <w:t> </w:t>
            </w:r>
            <w:r>
              <w:rPr>
                <w:sz w:val="20"/>
              </w:rPr>
              <w:t>control</w:t>
            </w:r>
          </w:p>
        </w:tc>
        <w:tc>
          <w:tcPr>
            <w:tcW w:w="3117" w:type="dxa"/>
          </w:tcPr>
          <w:p>
            <w:pPr>
              <w:pStyle w:val="TableParagraph"/>
              <w:spacing w:line="228" w:lineRule="exact"/>
              <w:ind w:left="107"/>
              <w:rPr>
                <w:b/>
                <w:sz w:val="20"/>
              </w:rPr>
            </w:pPr>
            <w:r>
              <w:rPr>
                <w:b/>
                <w:sz w:val="20"/>
              </w:rPr>
              <w:t>Land Use:</w:t>
            </w:r>
          </w:p>
          <w:p>
            <w:pPr>
              <w:pStyle w:val="TableParagraph"/>
              <w:numPr>
                <w:ilvl w:val="0"/>
                <w:numId w:val="18"/>
              </w:numPr>
              <w:tabs>
                <w:tab w:pos="467" w:val="left" w:leader="none"/>
                <w:tab w:pos="468" w:val="left" w:leader="none"/>
              </w:tabs>
              <w:spacing w:line="243" w:lineRule="exact" w:before="0" w:after="0"/>
              <w:ind w:left="467" w:right="0" w:hanging="360"/>
              <w:jc w:val="left"/>
              <w:rPr>
                <w:sz w:val="20"/>
              </w:rPr>
            </w:pPr>
            <w:r>
              <w:rPr>
                <w:sz w:val="20"/>
              </w:rPr>
              <w:t>Commercial</w:t>
            </w:r>
            <w:r>
              <w:rPr>
                <w:spacing w:val="-2"/>
                <w:sz w:val="20"/>
              </w:rPr>
              <w:t> </w:t>
            </w:r>
            <w:r>
              <w:rPr>
                <w:sz w:val="20"/>
              </w:rPr>
              <w:t>area</w:t>
            </w:r>
          </w:p>
          <w:p>
            <w:pPr>
              <w:pStyle w:val="TableParagraph"/>
              <w:numPr>
                <w:ilvl w:val="0"/>
                <w:numId w:val="18"/>
              </w:numPr>
              <w:tabs>
                <w:tab w:pos="467" w:val="left" w:leader="none"/>
                <w:tab w:pos="468" w:val="left" w:leader="none"/>
              </w:tabs>
              <w:spacing w:line="240" w:lineRule="auto" w:before="0" w:after="0"/>
              <w:ind w:left="467" w:right="0" w:hanging="360"/>
              <w:jc w:val="left"/>
              <w:rPr>
                <w:sz w:val="20"/>
              </w:rPr>
            </w:pPr>
            <w:r>
              <w:rPr>
                <w:sz w:val="20"/>
              </w:rPr>
              <w:t>Industrial</w:t>
            </w:r>
            <w:r>
              <w:rPr>
                <w:spacing w:val="-2"/>
                <w:sz w:val="20"/>
              </w:rPr>
              <w:t> </w:t>
            </w:r>
            <w:r>
              <w:rPr>
                <w:sz w:val="20"/>
              </w:rPr>
              <w:t>area</w:t>
            </w:r>
          </w:p>
          <w:p>
            <w:pPr>
              <w:pStyle w:val="TableParagraph"/>
              <w:numPr>
                <w:ilvl w:val="0"/>
                <w:numId w:val="18"/>
              </w:numPr>
              <w:tabs>
                <w:tab w:pos="467" w:val="left" w:leader="none"/>
                <w:tab w:pos="468" w:val="left" w:leader="none"/>
              </w:tabs>
              <w:spacing w:line="244" w:lineRule="exact" w:before="0" w:after="0"/>
              <w:ind w:left="467" w:right="0" w:hanging="360"/>
              <w:jc w:val="left"/>
              <w:rPr>
                <w:sz w:val="20"/>
              </w:rPr>
            </w:pPr>
            <w:r>
              <w:rPr>
                <w:sz w:val="20"/>
              </w:rPr>
              <w:t>Institutional</w:t>
            </w:r>
            <w:r>
              <w:rPr>
                <w:spacing w:val="-2"/>
                <w:sz w:val="20"/>
              </w:rPr>
              <w:t> </w:t>
            </w:r>
            <w:r>
              <w:rPr>
                <w:sz w:val="20"/>
              </w:rPr>
              <w:t>area</w:t>
            </w:r>
          </w:p>
          <w:p>
            <w:pPr>
              <w:pStyle w:val="TableParagraph"/>
              <w:numPr>
                <w:ilvl w:val="0"/>
                <w:numId w:val="18"/>
              </w:numPr>
              <w:tabs>
                <w:tab w:pos="467" w:val="left" w:leader="none"/>
                <w:tab w:pos="468" w:val="left" w:leader="none"/>
              </w:tabs>
              <w:spacing w:line="244" w:lineRule="exact" w:before="0" w:after="0"/>
              <w:ind w:left="467" w:right="0" w:hanging="360"/>
              <w:jc w:val="left"/>
              <w:rPr>
                <w:sz w:val="20"/>
              </w:rPr>
            </w:pPr>
            <w:r>
              <w:rPr>
                <w:sz w:val="20"/>
              </w:rPr>
              <w:t>Residential</w:t>
            </w:r>
            <w:r>
              <w:rPr>
                <w:spacing w:val="-2"/>
                <w:sz w:val="20"/>
              </w:rPr>
              <w:t> </w:t>
            </w:r>
            <w:r>
              <w:rPr>
                <w:sz w:val="20"/>
              </w:rPr>
              <w:t>area</w:t>
            </w:r>
          </w:p>
        </w:tc>
        <w:tc>
          <w:tcPr>
            <w:tcW w:w="3118" w:type="dxa"/>
            <w:tcBorders>
              <w:right w:val="nil"/>
            </w:tcBorders>
          </w:tcPr>
          <w:p>
            <w:pPr>
              <w:pStyle w:val="TableParagraph"/>
              <w:spacing w:line="228" w:lineRule="exact"/>
              <w:ind w:left="107"/>
              <w:rPr>
                <w:b/>
                <w:sz w:val="20"/>
              </w:rPr>
            </w:pPr>
            <w:r>
              <w:rPr>
                <w:b/>
                <w:sz w:val="20"/>
              </w:rPr>
              <w:t>Lighting and Weather:</w:t>
            </w:r>
          </w:p>
          <w:p>
            <w:pPr>
              <w:pStyle w:val="TableParagraph"/>
              <w:numPr>
                <w:ilvl w:val="0"/>
                <w:numId w:val="19"/>
              </w:numPr>
              <w:tabs>
                <w:tab w:pos="466" w:val="left" w:leader="none"/>
                <w:tab w:pos="467" w:val="left" w:leader="none"/>
              </w:tabs>
              <w:spacing w:line="243" w:lineRule="exact" w:before="0" w:after="0"/>
              <w:ind w:left="466" w:right="0" w:hanging="359"/>
              <w:jc w:val="left"/>
              <w:rPr>
                <w:sz w:val="20"/>
              </w:rPr>
            </w:pPr>
            <w:r>
              <w:rPr>
                <w:sz w:val="20"/>
              </w:rPr>
              <w:t>Lighting adequacy</w:t>
            </w:r>
            <w:r>
              <w:rPr>
                <w:spacing w:val="-2"/>
                <w:sz w:val="20"/>
              </w:rPr>
              <w:t> </w:t>
            </w:r>
            <w:r>
              <w:rPr>
                <w:sz w:val="20"/>
              </w:rPr>
              <w:t>data</w:t>
            </w:r>
          </w:p>
          <w:p>
            <w:pPr>
              <w:pStyle w:val="TableParagraph"/>
              <w:numPr>
                <w:ilvl w:val="0"/>
                <w:numId w:val="19"/>
              </w:numPr>
              <w:tabs>
                <w:tab w:pos="466" w:val="left" w:leader="none"/>
                <w:tab w:pos="467" w:val="left" w:leader="none"/>
              </w:tabs>
              <w:spacing w:line="240" w:lineRule="auto" w:before="0" w:after="0"/>
              <w:ind w:left="466" w:right="0" w:hanging="360"/>
              <w:jc w:val="left"/>
              <w:rPr>
                <w:sz w:val="20"/>
              </w:rPr>
            </w:pPr>
            <w:r>
              <w:rPr>
                <w:sz w:val="20"/>
              </w:rPr>
              <w:t>Visibility</w:t>
            </w:r>
          </w:p>
          <w:p>
            <w:pPr>
              <w:pStyle w:val="TableParagraph"/>
              <w:numPr>
                <w:ilvl w:val="0"/>
                <w:numId w:val="19"/>
              </w:numPr>
              <w:tabs>
                <w:tab w:pos="466" w:val="left" w:leader="none"/>
                <w:tab w:pos="467" w:val="left" w:leader="none"/>
              </w:tabs>
              <w:spacing w:line="240" w:lineRule="auto" w:before="0" w:after="0"/>
              <w:ind w:left="466" w:right="0" w:hanging="360"/>
              <w:jc w:val="left"/>
              <w:rPr>
                <w:sz w:val="20"/>
              </w:rPr>
            </w:pPr>
            <w:r>
              <w:rPr>
                <w:sz w:val="20"/>
              </w:rPr>
              <w:t>Weather</w:t>
            </w:r>
            <w:r>
              <w:rPr>
                <w:spacing w:val="-1"/>
                <w:sz w:val="20"/>
              </w:rPr>
              <w:t> </w:t>
            </w:r>
            <w:r>
              <w:rPr>
                <w:sz w:val="20"/>
              </w:rPr>
              <w:t>conditions</w:t>
            </w:r>
          </w:p>
        </w:tc>
      </w:tr>
    </w:tbl>
    <w:p>
      <w:pPr>
        <w:spacing w:after="0" w:line="240" w:lineRule="auto"/>
        <w:jc w:val="left"/>
        <w:rPr>
          <w:sz w:val="20"/>
        </w:rPr>
        <w:sectPr>
          <w:pgSz w:w="12240" w:h="15840"/>
          <w:pgMar w:header="0" w:footer="709" w:top="920" w:bottom="980" w:left="1120" w:right="0"/>
        </w:sectPr>
      </w:pPr>
    </w:p>
    <w:p>
      <w:pPr>
        <w:spacing w:before="75"/>
        <w:ind w:left="320" w:right="0" w:firstLine="0"/>
        <w:jc w:val="left"/>
        <w:rPr>
          <w:b/>
          <w:sz w:val="20"/>
        </w:rPr>
      </w:pPr>
      <w:r>
        <w:rPr>
          <w:b/>
          <w:sz w:val="20"/>
        </w:rPr>
        <w:t>Table 2.5: Summary of Identified Potential Risk Factors for Pedestrian Crashes</w:t>
      </w:r>
    </w:p>
    <w:tbl>
      <w:tblPr>
        <w:tblW w:w="0" w:type="auto"/>
        <w:jc w:val="left"/>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31"/>
        <w:gridCol w:w="3117"/>
        <w:gridCol w:w="3118"/>
      </w:tblGrid>
      <w:tr>
        <w:trPr>
          <w:trHeight w:val="4096" w:hRule="atLeast"/>
        </w:trPr>
        <w:tc>
          <w:tcPr>
            <w:tcW w:w="3131" w:type="dxa"/>
            <w:tcBorders>
              <w:left w:val="nil"/>
            </w:tcBorders>
          </w:tcPr>
          <w:p>
            <w:pPr>
              <w:pStyle w:val="TableParagraph"/>
              <w:spacing w:line="228" w:lineRule="exact"/>
              <w:ind w:left="127"/>
              <w:rPr>
                <w:b/>
                <w:sz w:val="20"/>
              </w:rPr>
            </w:pPr>
            <w:r>
              <w:rPr>
                <w:b/>
                <w:sz w:val="20"/>
              </w:rPr>
              <w:t>Roadway:</w:t>
            </w:r>
          </w:p>
          <w:p>
            <w:pPr>
              <w:pStyle w:val="TableParagraph"/>
              <w:numPr>
                <w:ilvl w:val="0"/>
                <w:numId w:val="20"/>
              </w:numPr>
              <w:tabs>
                <w:tab w:pos="464" w:val="left" w:leader="none"/>
                <w:tab w:pos="465" w:val="left" w:leader="none"/>
              </w:tabs>
              <w:spacing w:line="243" w:lineRule="exact" w:before="0" w:after="0"/>
              <w:ind w:left="464" w:right="0" w:hanging="360"/>
              <w:jc w:val="left"/>
              <w:rPr>
                <w:sz w:val="20"/>
              </w:rPr>
            </w:pPr>
            <w:r>
              <w:rPr>
                <w:sz w:val="20"/>
              </w:rPr>
              <w:t>Average sidewalk</w:t>
            </w:r>
            <w:r>
              <w:rPr>
                <w:spacing w:val="-2"/>
                <w:sz w:val="20"/>
              </w:rPr>
              <w:t> </w:t>
            </w:r>
            <w:r>
              <w:rPr>
                <w:sz w:val="20"/>
              </w:rPr>
              <w:t>width</w:t>
            </w:r>
          </w:p>
          <w:p>
            <w:pPr>
              <w:pStyle w:val="TableParagraph"/>
              <w:numPr>
                <w:ilvl w:val="0"/>
                <w:numId w:val="20"/>
              </w:numPr>
              <w:tabs>
                <w:tab w:pos="464" w:val="left" w:leader="none"/>
                <w:tab w:pos="465" w:val="left" w:leader="none"/>
              </w:tabs>
              <w:spacing w:line="240" w:lineRule="auto" w:before="0" w:after="0"/>
              <w:ind w:left="464" w:right="216" w:hanging="360"/>
              <w:jc w:val="left"/>
              <w:rPr>
                <w:sz w:val="20"/>
              </w:rPr>
            </w:pPr>
            <w:r>
              <w:rPr>
                <w:sz w:val="20"/>
              </w:rPr>
              <w:t>Distance to the closest marked crosswalk or</w:t>
            </w:r>
            <w:r>
              <w:rPr>
                <w:spacing w:val="-4"/>
                <w:sz w:val="20"/>
              </w:rPr>
              <w:t> </w:t>
            </w:r>
            <w:r>
              <w:rPr>
                <w:sz w:val="20"/>
              </w:rPr>
              <w:t>intersections</w:t>
            </w:r>
          </w:p>
          <w:p>
            <w:pPr>
              <w:pStyle w:val="TableParagraph"/>
              <w:numPr>
                <w:ilvl w:val="0"/>
                <w:numId w:val="20"/>
              </w:numPr>
              <w:tabs>
                <w:tab w:pos="464" w:val="left" w:leader="none"/>
                <w:tab w:pos="465" w:val="left" w:leader="none"/>
              </w:tabs>
              <w:spacing w:line="244" w:lineRule="exact" w:before="0" w:after="0"/>
              <w:ind w:left="464" w:right="0" w:hanging="360"/>
              <w:jc w:val="left"/>
              <w:rPr>
                <w:sz w:val="20"/>
              </w:rPr>
            </w:pPr>
            <w:r>
              <w:rPr>
                <w:sz w:val="20"/>
              </w:rPr>
              <w:t>Lane</w:t>
            </w:r>
            <w:r>
              <w:rPr>
                <w:spacing w:val="-2"/>
                <w:sz w:val="20"/>
              </w:rPr>
              <w:t> </w:t>
            </w:r>
            <w:r>
              <w:rPr>
                <w:sz w:val="20"/>
              </w:rPr>
              <w:t>widths</w:t>
            </w:r>
          </w:p>
          <w:p>
            <w:pPr>
              <w:pStyle w:val="TableParagraph"/>
              <w:numPr>
                <w:ilvl w:val="0"/>
                <w:numId w:val="20"/>
              </w:numPr>
              <w:tabs>
                <w:tab w:pos="463" w:val="left" w:leader="none"/>
                <w:tab w:pos="464" w:val="left" w:leader="none"/>
              </w:tabs>
              <w:spacing w:line="240" w:lineRule="auto" w:before="0" w:after="0"/>
              <w:ind w:left="463" w:right="231" w:hanging="359"/>
              <w:jc w:val="left"/>
              <w:rPr>
                <w:sz w:val="20"/>
              </w:rPr>
            </w:pPr>
            <w:r>
              <w:rPr>
                <w:sz w:val="20"/>
              </w:rPr>
              <w:t>Maximum number of crossing stages</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Number of</w:t>
            </w:r>
            <w:r>
              <w:rPr>
                <w:spacing w:val="-3"/>
                <w:sz w:val="20"/>
              </w:rPr>
              <w:t> </w:t>
            </w:r>
            <w:r>
              <w:rPr>
                <w:sz w:val="20"/>
              </w:rPr>
              <w:t>driveways</w:t>
            </w:r>
          </w:p>
          <w:p>
            <w:pPr>
              <w:pStyle w:val="TableParagraph"/>
              <w:numPr>
                <w:ilvl w:val="0"/>
                <w:numId w:val="20"/>
              </w:numPr>
              <w:tabs>
                <w:tab w:pos="463" w:val="left" w:leader="none"/>
                <w:tab w:pos="464" w:val="left" w:leader="none"/>
              </w:tabs>
              <w:spacing w:line="240" w:lineRule="auto" w:before="0" w:after="0"/>
              <w:ind w:left="463" w:right="0" w:hanging="360"/>
              <w:jc w:val="left"/>
              <w:rPr>
                <w:sz w:val="20"/>
              </w:rPr>
            </w:pPr>
            <w:r>
              <w:rPr>
                <w:sz w:val="20"/>
              </w:rPr>
              <w:t>Number of traffic</w:t>
            </w:r>
            <w:r>
              <w:rPr>
                <w:spacing w:val="-5"/>
                <w:sz w:val="20"/>
              </w:rPr>
              <w:t> </w:t>
            </w:r>
            <w:r>
              <w:rPr>
                <w:sz w:val="20"/>
              </w:rPr>
              <w:t>directions</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Number of traffic</w:t>
            </w:r>
            <w:r>
              <w:rPr>
                <w:spacing w:val="-4"/>
                <w:sz w:val="20"/>
              </w:rPr>
              <w:t> </w:t>
            </w:r>
            <w:r>
              <w:rPr>
                <w:sz w:val="20"/>
              </w:rPr>
              <w:t>lanes</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Paved shoulder</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Presence of bus</w:t>
            </w:r>
            <w:r>
              <w:rPr>
                <w:spacing w:val="-3"/>
                <w:sz w:val="20"/>
              </w:rPr>
              <w:t> </w:t>
            </w:r>
            <w:r>
              <w:rPr>
                <w:sz w:val="20"/>
              </w:rPr>
              <w:t>stop</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Presence of marked</w:t>
            </w:r>
            <w:r>
              <w:rPr>
                <w:spacing w:val="-5"/>
                <w:sz w:val="20"/>
              </w:rPr>
              <w:t> </w:t>
            </w:r>
            <w:r>
              <w:rPr>
                <w:sz w:val="20"/>
              </w:rPr>
              <w:t>crosswalk</w:t>
            </w:r>
          </w:p>
          <w:p>
            <w:pPr>
              <w:pStyle w:val="TableParagraph"/>
              <w:numPr>
                <w:ilvl w:val="0"/>
                <w:numId w:val="20"/>
              </w:numPr>
              <w:tabs>
                <w:tab w:pos="463" w:val="left" w:leader="none"/>
                <w:tab w:pos="464" w:val="left" w:leader="none"/>
              </w:tabs>
              <w:spacing w:line="240" w:lineRule="auto" w:before="0" w:after="0"/>
              <w:ind w:left="463" w:right="0" w:hanging="360"/>
              <w:jc w:val="left"/>
              <w:rPr>
                <w:sz w:val="20"/>
              </w:rPr>
            </w:pPr>
            <w:r>
              <w:rPr>
                <w:sz w:val="20"/>
              </w:rPr>
              <w:t>Presence of</w:t>
            </w:r>
            <w:r>
              <w:rPr>
                <w:spacing w:val="-3"/>
                <w:sz w:val="20"/>
              </w:rPr>
              <w:t> </w:t>
            </w:r>
            <w:r>
              <w:rPr>
                <w:sz w:val="20"/>
              </w:rPr>
              <w:t>median</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Presence of paved</w:t>
            </w:r>
            <w:r>
              <w:rPr>
                <w:spacing w:val="-5"/>
                <w:sz w:val="20"/>
              </w:rPr>
              <w:t> </w:t>
            </w:r>
            <w:r>
              <w:rPr>
                <w:sz w:val="20"/>
              </w:rPr>
              <w:t>sidewalk</w:t>
            </w:r>
          </w:p>
          <w:p>
            <w:pPr>
              <w:pStyle w:val="TableParagraph"/>
              <w:numPr>
                <w:ilvl w:val="0"/>
                <w:numId w:val="20"/>
              </w:numPr>
              <w:tabs>
                <w:tab w:pos="463" w:val="left" w:leader="none"/>
                <w:tab w:pos="464" w:val="left" w:leader="none"/>
              </w:tabs>
              <w:spacing w:line="244" w:lineRule="exact" w:before="0" w:after="0"/>
              <w:ind w:left="463" w:right="0" w:hanging="360"/>
              <w:jc w:val="left"/>
              <w:rPr>
                <w:sz w:val="20"/>
              </w:rPr>
            </w:pPr>
            <w:r>
              <w:rPr>
                <w:sz w:val="20"/>
              </w:rPr>
              <w:t>Total road</w:t>
            </w:r>
            <w:r>
              <w:rPr>
                <w:spacing w:val="-3"/>
                <w:sz w:val="20"/>
              </w:rPr>
              <w:t> </w:t>
            </w:r>
            <w:r>
              <w:rPr>
                <w:sz w:val="20"/>
              </w:rPr>
              <w:t>width</w:t>
            </w:r>
          </w:p>
        </w:tc>
        <w:tc>
          <w:tcPr>
            <w:tcW w:w="3117" w:type="dxa"/>
          </w:tcPr>
          <w:p>
            <w:pPr>
              <w:pStyle w:val="TableParagraph"/>
              <w:spacing w:line="228" w:lineRule="exact"/>
              <w:ind w:left="107"/>
              <w:rPr>
                <w:b/>
                <w:sz w:val="20"/>
              </w:rPr>
            </w:pPr>
            <w:r>
              <w:rPr>
                <w:b/>
                <w:sz w:val="20"/>
              </w:rPr>
              <w:t>Traffic Characteristics:</w:t>
            </w:r>
          </w:p>
          <w:p>
            <w:pPr>
              <w:pStyle w:val="TableParagraph"/>
              <w:numPr>
                <w:ilvl w:val="0"/>
                <w:numId w:val="21"/>
              </w:numPr>
              <w:tabs>
                <w:tab w:pos="444" w:val="left" w:leader="none"/>
                <w:tab w:pos="445" w:val="left" w:leader="none"/>
              </w:tabs>
              <w:spacing w:line="243" w:lineRule="exact" w:before="0" w:after="0"/>
              <w:ind w:left="444" w:right="0" w:hanging="360"/>
              <w:jc w:val="left"/>
              <w:rPr>
                <w:sz w:val="20"/>
              </w:rPr>
            </w:pPr>
            <w:r>
              <w:rPr>
                <w:sz w:val="20"/>
              </w:rPr>
              <w:t>Average daily</w:t>
            </w:r>
            <w:r>
              <w:rPr>
                <w:spacing w:val="-3"/>
                <w:sz w:val="20"/>
              </w:rPr>
              <w:t> </w:t>
            </w:r>
            <w:r>
              <w:rPr>
                <w:sz w:val="20"/>
              </w:rPr>
              <w:t>traffic</w:t>
            </w:r>
          </w:p>
          <w:p>
            <w:pPr>
              <w:pStyle w:val="TableParagraph"/>
              <w:numPr>
                <w:ilvl w:val="0"/>
                <w:numId w:val="21"/>
              </w:numPr>
              <w:tabs>
                <w:tab w:pos="444" w:val="left" w:leader="none"/>
                <w:tab w:pos="445" w:val="left" w:leader="none"/>
              </w:tabs>
              <w:spacing w:line="244" w:lineRule="exact" w:before="0" w:after="0"/>
              <w:ind w:left="444" w:right="0" w:hanging="360"/>
              <w:jc w:val="left"/>
              <w:rPr>
                <w:sz w:val="20"/>
              </w:rPr>
            </w:pPr>
            <w:r>
              <w:rPr>
                <w:sz w:val="20"/>
              </w:rPr>
              <w:t>Functional</w:t>
            </w:r>
            <w:r>
              <w:rPr>
                <w:spacing w:val="-8"/>
                <w:sz w:val="20"/>
              </w:rPr>
              <w:t> </w:t>
            </w:r>
            <w:r>
              <w:rPr>
                <w:sz w:val="20"/>
              </w:rPr>
              <w:t>class</w:t>
            </w:r>
          </w:p>
          <w:p>
            <w:pPr>
              <w:pStyle w:val="TableParagraph"/>
              <w:numPr>
                <w:ilvl w:val="0"/>
                <w:numId w:val="21"/>
              </w:numPr>
              <w:tabs>
                <w:tab w:pos="444" w:val="left" w:leader="none"/>
                <w:tab w:pos="445" w:val="left" w:leader="none"/>
              </w:tabs>
              <w:spacing w:line="240" w:lineRule="auto" w:before="0" w:after="0"/>
              <w:ind w:left="444" w:right="571" w:hanging="360"/>
              <w:jc w:val="left"/>
              <w:rPr>
                <w:sz w:val="20"/>
              </w:rPr>
            </w:pPr>
            <w:r>
              <w:rPr>
                <w:sz w:val="20"/>
              </w:rPr>
              <w:t>Number of left- and right- turning</w:t>
            </w:r>
            <w:r>
              <w:rPr>
                <w:spacing w:val="-2"/>
                <w:sz w:val="20"/>
              </w:rPr>
              <w:t> </w:t>
            </w:r>
            <w:r>
              <w:rPr>
                <w:sz w:val="20"/>
              </w:rPr>
              <w:t>vehicles</w:t>
            </w:r>
          </w:p>
          <w:p>
            <w:pPr>
              <w:pStyle w:val="TableParagraph"/>
              <w:numPr>
                <w:ilvl w:val="0"/>
                <w:numId w:val="21"/>
              </w:numPr>
              <w:tabs>
                <w:tab w:pos="444" w:val="left" w:leader="none"/>
                <w:tab w:pos="445" w:val="left" w:leader="none"/>
              </w:tabs>
              <w:spacing w:line="244" w:lineRule="exact" w:before="0" w:after="0"/>
              <w:ind w:left="444" w:right="0" w:hanging="360"/>
              <w:jc w:val="left"/>
              <w:rPr>
                <w:sz w:val="20"/>
              </w:rPr>
            </w:pPr>
            <w:r>
              <w:rPr>
                <w:sz w:val="20"/>
              </w:rPr>
              <w:t>Operating vehicle</w:t>
            </w:r>
            <w:r>
              <w:rPr>
                <w:spacing w:val="-3"/>
                <w:sz w:val="20"/>
              </w:rPr>
              <w:t> </w:t>
            </w:r>
            <w:r>
              <w:rPr>
                <w:sz w:val="20"/>
              </w:rPr>
              <w:t>speed</w:t>
            </w:r>
          </w:p>
          <w:p>
            <w:pPr>
              <w:pStyle w:val="TableParagraph"/>
              <w:numPr>
                <w:ilvl w:val="0"/>
                <w:numId w:val="21"/>
              </w:numPr>
              <w:tabs>
                <w:tab w:pos="444" w:val="left" w:leader="none"/>
                <w:tab w:pos="445" w:val="left" w:leader="none"/>
              </w:tabs>
              <w:spacing w:line="244" w:lineRule="exact" w:before="0" w:after="0"/>
              <w:ind w:left="444" w:right="0" w:hanging="360"/>
              <w:jc w:val="left"/>
              <w:rPr>
                <w:sz w:val="20"/>
              </w:rPr>
            </w:pPr>
            <w:r>
              <w:rPr>
                <w:sz w:val="20"/>
              </w:rPr>
              <w:t>Pedestrian crossings</w:t>
            </w:r>
            <w:r>
              <w:rPr>
                <w:spacing w:val="-3"/>
                <w:sz w:val="20"/>
              </w:rPr>
              <w:t> </w:t>
            </w:r>
            <w:r>
              <w:rPr>
                <w:sz w:val="20"/>
              </w:rPr>
              <w:t>volume</w:t>
            </w:r>
          </w:p>
          <w:p>
            <w:pPr>
              <w:pStyle w:val="TableParagraph"/>
              <w:numPr>
                <w:ilvl w:val="0"/>
                <w:numId w:val="21"/>
              </w:numPr>
              <w:tabs>
                <w:tab w:pos="444" w:val="left" w:leader="none"/>
                <w:tab w:pos="445" w:val="left" w:leader="none"/>
              </w:tabs>
              <w:spacing w:line="244" w:lineRule="exact" w:before="0" w:after="0"/>
              <w:ind w:left="444" w:right="0" w:hanging="360"/>
              <w:jc w:val="left"/>
              <w:rPr>
                <w:sz w:val="20"/>
              </w:rPr>
            </w:pPr>
            <w:r>
              <w:rPr>
                <w:sz w:val="20"/>
              </w:rPr>
              <w:t>Percent heavy</w:t>
            </w:r>
            <w:r>
              <w:rPr>
                <w:spacing w:val="-4"/>
                <w:sz w:val="20"/>
              </w:rPr>
              <w:t> </w:t>
            </w:r>
            <w:r>
              <w:rPr>
                <w:sz w:val="20"/>
              </w:rPr>
              <w:t>vehicles</w:t>
            </w:r>
          </w:p>
          <w:p>
            <w:pPr>
              <w:pStyle w:val="TableParagraph"/>
              <w:numPr>
                <w:ilvl w:val="0"/>
                <w:numId w:val="21"/>
              </w:numPr>
              <w:tabs>
                <w:tab w:pos="444" w:val="left" w:leader="none"/>
                <w:tab w:pos="445" w:val="left" w:leader="none"/>
              </w:tabs>
              <w:spacing w:line="240" w:lineRule="auto" w:before="0" w:after="0"/>
              <w:ind w:left="444" w:right="468" w:hanging="360"/>
              <w:jc w:val="left"/>
              <w:rPr>
                <w:sz w:val="20"/>
              </w:rPr>
            </w:pPr>
            <w:r>
              <w:rPr>
                <w:sz w:val="20"/>
              </w:rPr>
              <w:t>Percentage of public</w:t>
            </w:r>
            <w:r>
              <w:rPr>
                <w:spacing w:val="-12"/>
                <w:sz w:val="20"/>
              </w:rPr>
              <w:t> </w:t>
            </w:r>
            <w:r>
              <w:rPr>
                <w:sz w:val="20"/>
              </w:rPr>
              <w:t>transit vehicles</w:t>
            </w:r>
          </w:p>
          <w:p>
            <w:pPr>
              <w:pStyle w:val="TableParagraph"/>
              <w:numPr>
                <w:ilvl w:val="0"/>
                <w:numId w:val="21"/>
              </w:numPr>
              <w:tabs>
                <w:tab w:pos="443" w:val="left" w:leader="none"/>
                <w:tab w:pos="444" w:val="left" w:leader="none"/>
              </w:tabs>
              <w:spacing w:line="244" w:lineRule="exact" w:before="0" w:after="0"/>
              <w:ind w:left="443" w:right="0" w:hanging="359"/>
              <w:jc w:val="left"/>
              <w:rPr>
                <w:sz w:val="20"/>
              </w:rPr>
            </w:pPr>
            <w:r>
              <w:rPr>
                <w:sz w:val="20"/>
              </w:rPr>
              <w:t>Posted speed</w:t>
            </w:r>
            <w:r>
              <w:rPr>
                <w:spacing w:val="-1"/>
                <w:sz w:val="20"/>
              </w:rPr>
              <w:t> </w:t>
            </w:r>
            <w:r>
              <w:rPr>
                <w:sz w:val="20"/>
              </w:rPr>
              <w:t>limit</w:t>
            </w:r>
          </w:p>
          <w:p>
            <w:pPr>
              <w:pStyle w:val="TableParagraph"/>
              <w:numPr>
                <w:ilvl w:val="0"/>
                <w:numId w:val="21"/>
              </w:numPr>
              <w:tabs>
                <w:tab w:pos="443" w:val="left" w:leader="none"/>
                <w:tab w:pos="444" w:val="left" w:leader="none"/>
              </w:tabs>
              <w:spacing w:line="244" w:lineRule="exact" w:before="0" w:after="0"/>
              <w:ind w:left="443" w:right="0" w:hanging="360"/>
              <w:jc w:val="left"/>
              <w:rPr>
                <w:sz w:val="20"/>
              </w:rPr>
            </w:pPr>
            <w:r>
              <w:rPr>
                <w:sz w:val="20"/>
              </w:rPr>
              <w:t>Time of a</w:t>
            </w:r>
            <w:r>
              <w:rPr>
                <w:spacing w:val="-2"/>
                <w:sz w:val="20"/>
              </w:rPr>
              <w:t> </w:t>
            </w:r>
            <w:r>
              <w:rPr>
                <w:sz w:val="20"/>
              </w:rPr>
              <w:t>day</w:t>
            </w:r>
          </w:p>
          <w:p>
            <w:pPr>
              <w:pStyle w:val="TableParagraph"/>
              <w:numPr>
                <w:ilvl w:val="0"/>
                <w:numId w:val="21"/>
              </w:numPr>
              <w:tabs>
                <w:tab w:pos="443" w:val="left" w:leader="none"/>
                <w:tab w:pos="444" w:val="left" w:leader="none"/>
              </w:tabs>
              <w:spacing w:line="244" w:lineRule="exact" w:before="0" w:after="0"/>
              <w:ind w:left="443" w:right="0" w:hanging="360"/>
              <w:jc w:val="left"/>
              <w:rPr>
                <w:sz w:val="20"/>
              </w:rPr>
            </w:pPr>
            <w:r>
              <w:rPr>
                <w:sz w:val="20"/>
              </w:rPr>
              <w:t>Weekend/Weekday</w:t>
            </w:r>
          </w:p>
        </w:tc>
        <w:tc>
          <w:tcPr>
            <w:tcW w:w="3118" w:type="dxa"/>
            <w:tcBorders>
              <w:right w:val="nil"/>
            </w:tcBorders>
          </w:tcPr>
          <w:p>
            <w:pPr>
              <w:pStyle w:val="TableParagraph"/>
              <w:spacing w:line="228" w:lineRule="exact"/>
              <w:ind w:left="107"/>
              <w:rPr>
                <w:b/>
                <w:sz w:val="20"/>
              </w:rPr>
            </w:pPr>
            <w:r>
              <w:rPr>
                <w:b/>
                <w:sz w:val="20"/>
              </w:rPr>
              <w:t>Demographic and Behavior:</w:t>
            </w:r>
          </w:p>
          <w:p>
            <w:pPr>
              <w:pStyle w:val="TableParagraph"/>
              <w:numPr>
                <w:ilvl w:val="0"/>
                <w:numId w:val="22"/>
              </w:numPr>
              <w:tabs>
                <w:tab w:pos="444" w:val="left" w:leader="none"/>
                <w:tab w:pos="445" w:val="left" w:leader="none"/>
              </w:tabs>
              <w:spacing w:line="243" w:lineRule="exact" w:before="0" w:after="0"/>
              <w:ind w:left="443" w:right="0" w:hanging="359"/>
              <w:jc w:val="left"/>
              <w:rPr>
                <w:sz w:val="20"/>
              </w:rPr>
            </w:pPr>
            <w:r>
              <w:rPr>
                <w:sz w:val="20"/>
              </w:rPr>
              <w:t>Age&lt;18 and Age</w:t>
            </w:r>
            <w:r>
              <w:rPr>
                <w:spacing w:val="-3"/>
                <w:sz w:val="20"/>
              </w:rPr>
              <w:t> </w:t>
            </w:r>
            <w:r>
              <w:rPr>
                <w:sz w:val="20"/>
              </w:rPr>
              <w:t>&gt;65Age</w:t>
            </w:r>
          </w:p>
          <w:p>
            <w:pPr>
              <w:pStyle w:val="TableParagraph"/>
              <w:numPr>
                <w:ilvl w:val="0"/>
                <w:numId w:val="22"/>
              </w:numPr>
              <w:tabs>
                <w:tab w:pos="444" w:val="left" w:leader="none"/>
                <w:tab w:pos="445" w:val="left" w:leader="none"/>
              </w:tabs>
              <w:spacing w:line="244" w:lineRule="exact" w:before="0" w:after="0"/>
              <w:ind w:left="443" w:right="0" w:hanging="359"/>
              <w:jc w:val="left"/>
              <w:rPr>
                <w:sz w:val="20"/>
              </w:rPr>
            </w:pPr>
            <w:r>
              <w:rPr>
                <w:sz w:val="20"/>
              </w:rPr>
              <w:t>Driver drug/alcohol</w:t>
            </w:r>
            <w:r>
              <w:rPr>
                <w:spacing w:val="-4"/>
                <w:sz w:val="20"/>
              </w:rPr>
              <w:t> </w:t>
            </w:r>
            <w:r>
              <w:rPr>
                <w:sz w:val="20"/>
              </w:rPr>
              <w:t>use</w:t>
            </w:r>
          </w:p>
          <w:p>
            <w:pPr>
              <w:pStyle w:val="TableParagraph"/>
              <w:numPr>
                <w:ilvl w:val="0"/>
                <w:numId w:val="22"/>
              </w:numPr>
              <w:tabs>
                <w:tab w:pos="444" w:val="left" w:leader="none"/>
                <w:tab w:pos="445" w:val="left" w:leader="none"/>
              </w:tabs>
              <w:spacing w:line="244" w:lineRule="exact" w:before="0" w:after="0"/>
              <w:ind w:left="443" w:right="0" w:hanging="359"/>
              <w:jc w:val="left"/>
              <w:rPr>
                <w:sz w:val="20"/>
              </w:rPr>
            </w:pPr>
            <w:r>
              <w:rPr>
                <w:sz w:val="20"/>
              </w:rPr>
              <w:t>Employee</w:t>
            </w:r>
            <w:r>
              <w:rPr>
                <w:spacing w:val="-1"/>
                <w:sz w:val="20"/>
              </w:rPr>
              <w:t> </w:t>
            </w:r>
            <w:r>
              <w:rPr>
                <w:sz w:val="20"/>
              </w:rPr>
              <w:t>population</w:t>
            </w:r>
          </w:p>
          <w:p>
            <w:pPr>
              <w:pStyle w:val="TableParagraph"/>
              <w:numPr>
                <w:ilvl w:val="0"/>
                <w:numId w:val="22"/>
              </w:numPr>
              <w:tabs>
                <w:tab w:pos="443" w:val="left" w:leader="none"/>
                <w:tab w:pos="444" w:val="left" w:leader="none"/>
              </w:tabs>
              <w:spacing w:line="244" w:lineRule="exact" w:before="0" w:after="0"/>
              <w:ind w:left="443" w:right="0" w:hanging="359"/>
              <w:jc w:val="left"/>
              <w:rPr>
                <w:sz w:val="20"/>
              </w:rPr>
            </w:pPr>
            <w:r>
              <w:rPr>
                <w:sz w:val="20"/>
              </w:rPr>
              <w:t>Gender</w:t>
            </w:r>
          </w:p>
          <w:p>
            <w:pPr>
              <w:pStyle w:val="TableParagraph"/>
              <w:numPr>
                <w:ilvl w:val="0"/>
                <w:numId w:val="22"/>
              </w:numPr>
              <w:tabs>
                <w:tab w:pos="443" w:val="left" w:leader="none"/>
                <w:tab w:pos="444" w:val="left" w:leader="none"/>
              </w:tabs>
              <w:spacing w:line="240" w:lineRule="auto" w:before="0" w:after="0"/>
              <w:ind w:left="443" w:right="0" w:hanging="360"/>
              <w:jc w:val="left"/>
              <w:rPr>
                <w:sz w:val="20"/>
              </w:rPr>
            </w:pPr>
            <w:r>
              <w:rPr>
                <w:sz w:val="20"/>
              </w:rPr>
              <w:t>Household size</w:t>
            </w:r>
          </w:p>
          <w:p>
            <w:pPr>
              <w:pStyle w:val="TableParagraph"/>
              <w:numPr>
                <w:ilvl w:val="0"/>
                <w:numId w:val="22"/>
              </w:numPr>
              <w:tabs>
                <w:tab w:pos="443" w:val="left" w:leader="none"/>
                <w:tab w:pos="444" w:val="left" w:leader="none"/>
              </w:tabs>
              <w:spacing w:line="244" w:lineRule="exact" w:before="0" w:after="0"/>
              <w:ind w:left="443" w:right="0" w:hanging="360"/>
              <w:jc w:val="left"/>
              <w:rPr>
                <w:sz w:val="20"/>
              </w:rPr>
            </w:pPr>
            <w:r>
              <w:rPr>
                <w:sz w:val="20"/>
              </w:rPr>
              <w:t>Mean household</w:t>
            </w:r>
            <w:r>
              <w:rPr>
                <w:spacing w:val="-2"/>
                <w:sz w:val="20"/>
              </w:rPr>
              <w:t> </w:t>
            </w:r>
            <w:r>
              <w:rPr>
                <w:sz w:val="20"/>
              </w:rPr>
              <w:t>income</w:t>
            </w:r>
          </w:p>
          <w:p>
            <w:pPr>
              <w:pStyle w:val="TableParagraph"/>
              <w:numPr>
                <w:ilvl w:val="0"/>
                <w:numId w:val="22"/>
              </w:numPr>
              <w:tabs>
                <w:tab w:pos="443" w:val="left" w:leader="none"/>
                <w:tab w:pos="444" w:val="left" w:leader="none"/>
              </w:tabs>
              <w:spacing w:line="244" w:lineRule="exact" w:before="0" w:after="0"/>
              <w:ind w:left="443" w:right="0" w:hanging="360"/>
              <w:jc w:val="left"/>
              <w:rPr>
                <w:sz w:val="20"/>
              </w:rPr>
            </w:pPr>
            <w:r>
              <w:rPr>
                <w:sz w:val="20"/>
              </w:rPr>
              <w:t>Pedestrian drug/alcohol</w:t>
            </w:r>
            <w:r>
              <w:rPr>
                <w:spacing w:val="-5"/>
                <w:sz w:val="20"/>
              </w:rPr>
              <w:t> </w:t>
            </w:r>
            <w:r>
              <w:rPr>
                <w:sz w:val="20"/>
              </w:rPr>
              <w:t>use</w:t>
            </w:r>
          </w:p>
          <w:p>
            <w:pPr>
              <w:pStyle w:val="TableParagraph"/>
              <w:numPr>
                <w:ilvl w:val="0"/>
                <w:numId w:val="22"/>
              </w:numPr>
              <w:tabs>
                <w:tab w:pos="443" w:val="left" w:leader="none"/>
                <w:tab w:pos="444" w:val="left" w:leader="none"/>
              </w:tabs>
              <w:spacing w:line="240" w:lineRule="auto" w:before="0" w:after="0"/>
              <w:ind w:left="443" w:right="796" w:hanging="360"/>
              <w:jc w:val="left"/>
              <w:rPr>
                <w:sz w:val="20"/>
              </w:rPr>
            </w:pPr>
            <w:r>
              <w:rPr>
                <w:sz w:val="20"/>
              </w:rPr>
              <w:t>Proportion of people of working age</w:t>
            </w:r>
          </w:p>
          <w:p>
            <w:pPr>
              <w:pStyle w:val="TableParagraph"/>
              <w:numPr>
                <w:ilvl w:val="0"/>
                <w:numId w:val="22"/>
              </w:numPr>
              <w:tabs>
                <w:tab w:pos="443" w:val="left" w:leader="none"/>
                <w:tab w:pos="444" w:val="left" w:leader="none"/>
              </w:tabs>
              <w:spacing w:line="244" w:lineRule="exact" w:before="0" w:after="0"/>
              <w:ind w:left="443" w:right="0" w:hanging="360"/>
              <w:jc w:val="left"/>
              <w:rPr>
                <w:sz w:val="20"/>
              </w:rPr>
            </w:pPr>
            <w:r>
              <w:rPr>
                <w:sz w:val="20"/>
              </w:rPr>
              <w:t>Race</w:t>
            </w:r>
          </w:p>
          <w:p>
            <w:pPr>
              <w:pStyle w:val="TableParagraph"/>
              <w:numPr>
                <w:ilvl w:val="0"/>
                <w:numId w:val="22"/>
              </w:numPr>
              <w:tabs>
                <w:tab w:pos="443" w:val="left" w:leader="none"/>
                <w:tab w:pos="444" w:val="left" w:leader="none"/>
              </w:tabs>
              <w:spacing w:line="244" w:lineRule="exact" w:before="0" w:after="0"/>
              <w:ind w:left="443" w:right="0" w:hanging="360"/>
              <w:jc w:val="left"/>
              <w:rPr>
                <w:sz w:val="20"/>
              </w:rPr>
            </w:pPr>
            <w:r>
              <w:rPr>
                <w:sz w:val="20"/>
              </w:rPr>
              <w:t>Resident</w:t>
            </w:r>
            <w:r>
              <w:rPr>
                <w:spacing w:val="-3"/>
                <w:sz w:val="20"/>
              </w:rPr>
              <w:t> </w:t>
            </w:r>
            <w:r>
              <w:rPr>
                <w:sz w:val="20"/>
              </w:rPr>
              <w:t>population</w:t>
            </w:r>
          </w:p>
          <w:p>
            <w:pPr>
              <w:pStyle w:val="TableParagraph"/>
              <w:numPr>
                <w:ilvl w:val="0"/>
                <w:numId w:val="22"/>
              </w:numPr>
              <w:tabs>
                <w:tab w:pos="443" w:val="left" w:leader="none"/>
                <w:tab w:pos="444" w:val="left" w:leader="none"/>
              </w:tabs>
              <w:spacing w:line="244" w:lineRule="exact" w:before="0" w:after="0"/>
              <w:ind w:left="443" w:right="0" w:hanging="360"/>
              <w:jc w:val="left"/>
              <w:rPr>
                <w:sz w:val="20"/>
              </w:rPr>
            </w:pPr>
            <w:r>
              <w:rPr>
                <w:sz w:val="20"/>
              </w:rPr>
              <w:t>Single-family</w:t>
            </w:r>
            <w:r>
              <w:rPr>
                <w:spacing w:val="-2"/>
                <w:sz w:val="20"/>
              </w:rPr>
              <w:t> </w:t>
            </w:r>
            <w:r>
              <w:rPr>
                <w:sz w:val="20"/>
              </w:rPr>
              <w:t>residential</w:t>
            </w:r>
          </w:p>
          <w:p>
            <w:pPr>
              <w:pStyle w:val="TableParagraph"/>
              <w:numPr>
                <w:ilvl w:val="0"/>
                <w:numId w:val="22"/>
              </w:numPr>
              <w:tabs>
                <w:tab w:pos="443" w:val="left" w:leader="none"/>
                <w:tab w:pos="444" w:val="left" w:leader="none"/>
              </w:tabs>
              <w:spacing w:line="240" w:lineRule="auto" w:before="0" w:after="0"/>
              <w:ind w:left="443" w:right="341" w:hanging="360"/>
              <w:jc w:val="left"/>
              <w:rPr>
                <w:sz w:val="20"/>
              </w:rPr>
            </w:pPr>
            <w:r>
              <w:rPr>
                <w:sz w:val="20"/>
              </w:rPr>
              <w:t>Vehicles numbers in</w:t>
            </w:r>
            <w:r>
              <w:rPr>
                <w:spacing w:val="-13"/>
                <w:sz w:val="20"/>
              </w:rPr>
              <w:t> </w:t>
            </w:r>
            <w:r>
              <w:rPr>
                <w:sz w:val="20"/>
              </w:rPr>
              <w:t>housing unit</w:t>
            </w:r>
          </w:p>
        </w:tc>
      </w:tr>
      <w:tr>
        <w:trPr>
          <w:trHeight w:val="3837" w:hRule="atLeast"/>
        </w:trPr>
        <w:tc>
          <w:tcPr>
            <w:tcW w:w="3131" w:type="dxa"/>
            <w:tcBorders>
              <w:left w:val="nil"/>
            </w:tcBorders>
          </w:tcPr>
          <w:p>
            <w:pPr>
              <w:pStyle w:val="TableParagraph"/>
              <w:spacing w:line="228" w:lineRule="exact"/>
              <w:ind w:left="127"/>
              <w:rPr>
                <w:b/>
                <w:sz w:val="20"/>
              </w:rPr>
            </w:pPr>
            <w:r>
              <w:rPr>
                <w:b/>
                <w:sz w:val="20"/>
              </w:rPr>
              <w:t>Intersections:</w:t>
            </w:r>
          </w:p>
          <w:p>
            <w:pPr>
              <w:pStyle w:val="TableParagraph"/>
              <w:numPr>
                <w:ilvl w:val="0"/>
                <w:numId w:val="23"/>
              </w:numPr>
              <w:tabs>
                <w:tab w:pos="464" w:val="left" w:leader="none"/>
                <w:tab w:pos="465" w:val="left" w:leader="none"/>
              </w:tabs>
              <w:spacing w:line="240" w:lineRule="auto" w:before="0" w:after="0"/>
              <w:ind w:left="464" w:right="278" w:hanging="360"/>
              <w:jc w:val="left"/>
              <w:rPr>
                <w:sz w:val="20"/>
              </w:rPr>
            </w:pPr>
            <w:r>
              <w:rPr>
                <w:sz w:val="20"/>
              </w:rPr>
              <w:t>Horizontal curve on</w:t>
            </w:r>
            <w:r>
              <w:rPr>
                <w:spacing w:val="-13"/>
                <w:sz w:val="20"/>
              </w:rPr>
              <w:t> </w:t>
            </w:r>
            <w:r>
              <w:rPr>
                <w:sz w:val="20"/>
              </w:rPr>
              <w:t>opposing approach</w:t>
            </w:r>
          </w:p>
          <w:p>
            <w:pPr>
              <w:pStyle w:val="TableParagraph"/>
              <w:numPr>
                <w:ilvl w:val="0"/>
                <w:numId w:val="23"/>
              </w:numPr>
              <w:tabs>
                <w:tab w:pos="464" w:val="left" w:leader="none"/>
                <w:tab w:pos="465" w:val="left" w:leader="none"/>
              </w:tabs>
              <w:spacing w:line="243" w:lineRule="exact" w:before="0" w:after="0"/>
              <w:ind w:left="464" w:right="0" w:hanging="360"/>
              <w:jc w:val="left"/>
              <w:rPr>
                <w:sz w:val="20"/>
              </w:rPr>
            </w:pPr>
            <w:r>
              <w:rPr>
                <w:sz w:val="20"/>
              </w:rPr>
              <w:t>Midblock location</w:t>
            </w:r>
          </w:p>
          <w:p>
            <w:pPr>
              <w:pStyle w:val="TableParagraph"/>
              <w:numPr>
                <w:ilvl w:val="0"/>
                <w:numId w:val="23"/>
              </w:numPr>
              <w:tabs>
                <w:tab w:pos="464" w:val="left" w:leader="none"/>
                <w:tab w:pos="465" w:val="left" w:leader="none"/>
              </w:tabs>
              <w:spacing w:line="244" w:lineRule="exact" w:before="0" w:after="0"/>
              <w:ind w:left="464" w:right="0" w:hanging="360"/>
              <w:jc w:val="left"/>
              <w:rPr>
                <w:sz w:val="20"/>
              </w:rPr>
            </w:pPr>
            <w:r>
              <w:rPr>
                <w:sz w:val="20"/>
              </w:rPr>
              <w:t>Number of</w:t>
            </w:r>
            <w:r>
              <w:rPr>
                <w:spacing w:val="-3"/>
                <w:sz w:val="20"/>
              </w:rPr>
              <w:t> </w:t>
            </w:r>
            <w:r>
              <w:rPr>
                <w:sz w:val="20"/>
              </w:rPr>
              <w:t>lanes</w:t>
            </w:r>
          </w:p>
          <w:p>
            <w:pPr>
              <w:pStyle w:val="TableParagraph"/>
              <w:numPr>
                <w:ilvl w:val="0"/>
                <w:numId w:val="23"/>
              </w:numPr>
              <w:tabs>
                <w:tab w:pos="464" w:val="left" w:leader="none"/>
                <w:tab w:pos="465" w:val="left" w:leader="none"/>
              </w:tabs>
              <w:spacing w:line="240" w:lineRule="auto" w:before="0" w:after="0"/>
              <w:ind w:left="464" w:right="0" w:hanging="360"/>
              <w:jc w:val="left"/>
              <w:rPr>
                <w:sz w:val="20"/>
              </w:rPr>
            </w:pPr>
            <w:r>
              <w:rPr>
                <w:sz w:val="20"/>
              </w:rPr>
              <w:t>Number of left-turn</w:t>
            </w:r>
            <w:r>
              <w:rPr>
                <w:spacing w:val="-3"/>
                <w:sz w:val="20"/>
              </w:rPr>
              <w:t> </w:t>
            </w:r>
            <w:r>
              <w:rPr>
                <w:sz w:val="20"/>
              </w:rPr>
              <w:t>lanes</w:t>
            </w:r>
          </w:p>
          <w:p>
            <w:pPr>
              <w:pStyle w:val="TableParagraph"/>
              <w:numPr>
                <w:ilvl w:val="0"/>
                <w:numId w:val="23"/>
              </w:numPr>
              <w:tabs>
                <w:tab w:pos="463" w:val="left" w:leader="none"/>
                <w:tab w:pos="464" w:val="left" w:leader="none"/>
              </w:tabs>
              <w:spacing w:line="244" w:lineRule="exact" w:before="0" w:after="0"/>
              <w:ind w:left="463" w:right="0" w:hanging="359"/>
              <w:jc w:val="left"/>
              <w:rPr>
                <w:sz w:val="20"/>
              </w:rPr>
            </w:pPr>
            <w:r>
              <w:rPr>
                <w:sz w:val="20"/>
              </w:rPr>
              <w:t>Number of right-turn</w:t>
            </w:r>
            <w:r>
              <w:rPr>
                <w:spacing w:val="-5"/>
                <w:sz w:val="20"/>
              </w:rPr>
              <w:t> </w:t>
            </w:r>
            <w:r>
              <w:rPr>
                <w:sz w:val="20"/>
              </w:rPr>
              <w:t>lanes</w:t>
            </w:r>
          </w:p>
          <w:p>
            <w:pPr>
              <w:pStyle w:val="TableParagraph"/>
              <w:numPr>
                <w:ilvl w:val="0"/>
                <w:numId w:val="23"/>
              </w:numPr>
              <w:tabs>
                <w:tab w:pos="463" w:val="left" w:leader="none"/>
                <w:tab w:pos="464" w:val="left" w:leader="none"/>
              </w:tabs>
              <w:spacing w:line="240" w:lineRule="auto" w:before="0" w:after="0"/>
              <w:ind w:left="463" w:right="159" w:hanging="359"/>
              <w:jc w:val="left"/>
              <w:rPr>
                <w:sz w:val="20"/>
              </w:rPr>
            </w:pPr>
            <w:r>
              <w:rPr>
                <w:sz w:val="20"/>
              </w:rPr>
              <w:t>Number of through lanes being crossed</w:t>
            </w:r>
          </w:p>
          <w:p>
            <w:pPr>
              <w:pStyle w:val="TableParagraph"/>
              <w:numPr>
                <w:ilvl w:val="0"/>
                <w:numId w:val="23"/>
              </w:numPr>
              <w:tabs>
                <w:tab w:pos="463" w:val="left" w:leader="none"/>
                <w:tab w:pos="464" w:val="left" w:leader="none"/>
              </w:tabs>
              <w:spacing w:line="244" w:lineRule="exact" w:before="0" w:after="0"/>
              <w:ind w:left="463" w:right="0" w:hanging="359"/>
              <w:jc w:val="left"/>
              <w:rPr>
                <w:sz w:val="20"/>
              </w:rPr>
            </w:pPr>
            <w:r>
              <w:rPr>
                <w:sz w:val="20"/>
              </w:rPr>
              <w:t>Pedestrian delay (cycle</w:t>
            </w:r>
            <w:r>
              <w:rPr>
                <w:spacing w:val="-8"/>
                <w:sz w:val="20"/>
              </w:rPr>
              <w:t> </w:t>
            </w:r>
            <w:r>
              <w:rPr>
                <w:sz w:val="20"/>
              </w:rPr>
              <w:t>length)</w:t>
            </w:r>
          </w:p>
          <w:p>
            <w:pPr>
              <w:pStyle w:val="TableParagraph"/>
              <w:numPr>
                <w:ilvl w:val="0"/>
                <w:numId w:val="23"/>
              </w:numPr>
              <w:tabs>
                <w:tab w:pos="463" w:val="left" w:leader="none"/>
                <w:tab w:pos="464" w:val="left" w:leader="none"/>
              </w:tabs>
              <w:spacing w:line="244" w:lineRule="exact" w:before="0" w:after="0"/>
              <w:ind w:left="463" w:right="0" w:hanging="360"/>
              <w:jc w:val="left"/>
              <w:rPr>
                <w:sz w:val="20"/>
              </w:rPr>
            </w:pPr>
            <w:r>
              <w:rPr>
                <w:sz w:val="20"/>
              </w:rPr>
              <w:t>Presence of enhanced</w:t>
            </w:r>
            <w:r>
              <w:rPr>
                <w:spacing w:val="-6"/>
                <w:sz w:val="20"/>
              </w:rPr>
              <w:t> </w:t>
            </w:r>
            <w:r>
              <w:rPr>
                <w:sz w:val="20"/>
              </w:rPr>
              <w:t>crossing</w:t>
            </w:r>
          </w:p>
          <w:p>
            <w:pPr>
              <w:pStyle w:val="TableParagraph"/>
              <w:numPr>
                <w:ilvl w:val="0"/>
                <w:numId w:val="23"/>
              </w:numPr>
              <w:tabs>
                <w:tab w:pos="463" w:val="left" w:leader="none"/>
                <w:tab w:pos="464" w:val="left" w:leader="none"/>
              </w:tabs>
              <w:spacing w:line="244" w:lineRule="exact" w:before="0" w:after="0"/>
              <w:ind w:left="463" w:right="0" w:hanging="360"/>
              <w:jc w:val="left"/>
              <w:rPr>
                <w:sz w:val="20"/>
              </w:rPr>
            </w:pPr>
            <w:r>
              <w:rPr>
                <w:sz w:val="20"/>
              </w:rPr>
              <w:t>Presence of</w:t>
            </w:r>
            <w:r>
              <w:rPr>
                <w:spacing w:val="-3"/>
                <w:sz w:val="20"/>
              </w:rPr>
              <w:t> </w:t>
            </w:r>
            <w:r>
              <w:rPr>
                <w:sz w:val="20"/>
              </w:rPr>
              <w:t>intersection</w:t>
            </w:r>
          </w:p>
          <w:p>
            <w:pPr>
              <w:pStyle w:val="TableParagraph"/>
              <w:numPr>
                <w:ilvl w:val="0"/>
                <w:numId w:val="23"/>
              </w:numPr>
              <w:tabs>
                <w:tab w:pos="463" w:val="left" w:leader="none"/>
                <w:tab w:pos="464" w:val="left" w:leader="none"/>
              </w:tabs>
              <w:spacing w:line="240" w:lineRule="auto" w:before="0" w:after="0"/>
              <w:ind w:left="463" w:right="294" w:hanging="360"/>
              <w:jc w:val="left"/>
              <w:rPr>
                <w:sz w:val="20"/>
              </w:rPr>
            </w:pPr>
            <w:r>
              <w:rPr>
                <w:sz w:val="20"/>
              </w:rPr>
              <w:t>Presence of median (major or minor)</w:t>
            </w:r>
          </w:p>
          <w:p>
            <w:pPr>
              <w:pStyle w:val="TableParagraph"/>
              <w:numPr>
                <w:ilvl w:val="0"/>
                <w:numId w:val="23"/>
              </w:numPr>
              <w:tabs>
                <w:tab w:pos="463" w:val="left" w:leader="none"/>
                <w:tab w:pos="464" w:val="left" w:leader="none"/>
              </w:tabs>
              <w:spacing w:line="240" w:lineRule="auto" w:before="0" w:after="0"/>
              <w:ind w:left="463" w:right="0" w:hanging="360"/>
              <w:jc w:val="left"/>
              <w:rPr>
                <w:sz w:val="20"/>
              </w:rPr>
            </w:pPr>
            <w:r>
              <w:rPr>
                <w:sz w:val="20"/>
              </w:rPr>
              <w:t>Type of traffic</w:t>
            </w:r>
            <w:r>
              <w:rPr>
                <w:spacing w:val="-3"/>
                <w:sz w:val="20"/>
              </w:rPr>
              <w:t> </w:t>
            </w:r>
            <w:r>
              <w:rPr>
                <w:sz w:val="20"/>
              </w:rPr>
              <w:t>control</w:t>
            </w:r>
          </w:p>
        </w:tc>
        <w:tc>
          <w:tcPr>
            <w:tcW w:w="3117" w:type="dxa"/>
          </w:tcPr>
          <w:p>
            <w:pPr>
              <w:pStyle w:val="TableParagraph"/>
              <w:spacing w:line="228" w:lineRule="exact"/>
              <w:ind w:left="107"/>
              <w:rPr>
                <w:b/>
                <w:sz w:val="20"/>
              </w:rPr>
            </w:pPr>
            <w:r>
              <w:rPr>
                <w:b/>
                <w:sz w:val="20"/>
              </w:rPr>
              <w:t>Land Use:</w:t>
            </w:r>
          </w:p>
          <w:p>
            <w:pPr>
              <w:pStyle w:val="TableParagraph"/>
              <w:numPr>
                <w:ilvl w:val="0"/>
                <w:numId w:val="24"/>
              </w:numPr>
              <w:tabs>
                <w:tab w:pos="444" w:val="left" w:leader="none"/>
                <w:tab w:pos="445" w:val="left" w:leader="none"/>
              </w:tabs>
              <w:spacing w:line="243" w:lineRule="exact" w:before="0" w:after="0"/>
              <w:ind w:left="444" w:right="0" w:hanging="360"/>
              <w:jc w:val="left"/>
              <w:rPr>
                <w:sz w:val="20"/>
              </w:rPr>
            </w:pPr>
            <w:r>
              <w:rPr>
                <w:sz w:val="20"/>
              </w:rPr>
              <w:t>Block size</w:t>
            </w:r>
          </w:p>
          <w:p>
            <w:pPr>
              <w:pStyle w:val="TableParagraph"/>
              <w:numPr>
                <w:ilvl w:val="0"/>
                <w:numId w:val="24"/>
              </w:numPr>
              <w:tabs>
                <w:tab w:pos="444" w:val="left" w:leader="none"/>
                <w:tab w:pos="445" w:val="left" w:leader="none"/>
              </w:tabs>
              <w:spacing w:line="240" w:lineRule="auto" w:before="0" w:after="0"/>
              <w:ind w:left="444" w:right="359" w:hanging="360"/>
              <w:jc w:val="left"/>
              <w:rPr>
                <w:sz w:val="20"/>
              </w:rPr>
            </w:pPr>
            <w:r>
              <w:rPr>
                <w:sz w:val="20"/>
              </w:rPr>
              <w:t>Natural Resources Inventory net</w:t>
            </w:r>
            <w:r>
              <w:rPr>
                <w:spacing w:val="-2"/>
                <w:sz w:val="20"/>
              </w:rPr>
              <w:t> </w:t>
            </w:r>
            <w:r>
              <w:rPr>
                <w:sz w:val="20"/>
              </w:rPr>
              <w:t>density</w:t>
            </w:r>
          </w:p>
          <w:p>
            <w:pPr>
              <w:pStyle w:val="TableParagraph"/>
              <w:numPr>
                <w:ilvl w:val="0"/>
                <w:numId w:val="24"/>
              </w:numPr>
              <w:tabs>
                <w:tab w:pos="444" w:val="left" w:leader="none"/>
                <w:tab w:pos="445" w:val="left" w:leader="none"/>
              </w:tabs>
              <w:spacing w:line="244" w:lineRule="exact" w:before="0" w:after="0"/>
              <w:ind w:left="444" w:right="0" w:hanging="360"/>
              <w:jc w:val="left"/>
              <w:rPr>
                <w:sz w:val="20"/>
              </w:rPr>
            </w:pPr>
            <w:r>
              <w:rPr>
                <w:sz w:val="20"/>
              </w:rPr>
              <w:t>Neighborhood</w:t>
            </w:r>
            <w:r>
              <w:rPr>
                <w:spacing w:val="-3"/>
                <w:sz w:val="20"/>
              </w:rPr>
              <w:t> </w:t>
            </w:r>
            <w:r>
              <w:rPr>
                <w:sz w:val="20"/>
              </w:rPr>
              <w:t>business</w:t>
            </w:r>
          </w:p>
          <w:p>
            <w:pPr>
              <w:pStyle w:val="TableParagraph"/>
              <w:numPr>
                <w:ilvl w:val="0"/>
                <w:numId w:val="24"/>
              </w:numPr>
              <w:tabs>
                <w:tab w:pos="444" w:val="left" w:leader="none"/>
                <w:tab w:pos="445" w:val="left" w:leader="none"/>
              </w:tabs>
              <w:spacing w:line="240" w:lineRule="auto" w:before="0" w:after="0"/>
              <w:ind w:left="444" w:right="0" w:hanging="360"/>
              <w:jc w:val="left"/>
              <w:rPr>
                <w:sz w:val="20"/>
              </w:rPr>
            </w:pPr>
            <w:r>
              <w:rPr>
                <w:sz w:val="20"/>
              </w:rPr>
              <w:t>Neighborhood service</w:t>
            </w:r>
            <w:r>
              <w:rPr>
                <w:spacing w:val="-6"/>
                <w:sz w:val="20"/>
              </w:rPr>
              <w:t> </w:t>
            </w:r>
            <w:r>
              <w:rPr>
                <w:sz w:val="20"/>
              </w:rPr>
              <w:t>district</w:t>
            </w:r>
          </w:p>
          <w:p>
            <w:pPr>
              <w:pStyle w:val="TableParagraph"/>
              <w:numPr>
                <w:ilvl w:val="0"/>
                <w:numId w:val="24"/>
              </w:numPr>
              <w:tabs>
                <w:tab w:pos="443" w:val="left" w:leader="none"/>
                <w:tab w:pos="444" w:val="left" w:leader="none"/>
              </w:tabs>
              <w:spacing w:line="244" w:lineRule="exact" w:before="0" w:after="0"/>
              <w:ind w:left="443" w:right="0" w:hanging="359"/>
              <w:jc w:val="left"/>
              <w:rPr>
                <w:sz w:val="20"/>
              </w:rPr>
            </w:pPr>
            <w:r>
              <w:rPr>
                <w:sz w:val="20"/>
              </w:rPr>
              <w:t>Presence of school</w:t>
            </w:r>
            <w:r>
              <w:rPr>
                <w:spacing w:val="-4"/>
                <w:sz w:val="20"/>
              </w:rPr>
              <w:t> </w:t>
            </w:r>
            <w:r>
              <w:rPr>
                <w:sz w:val="20"/>
              </w:rPr>
              <w:t>zone</w:t>
            </w:r>
          </w:p>
          <w:p>
            <w:pPr>
              <w:pStyle w:val="TableParagraph"/>
              <w:numPr>
                <w:ilvl w:val="0"/>
                <w:numId w:val="24"/>
              </w:numPr>
              <w:tabs>
                <w:tab w:pos="443" w:val="left" w:leader="none"/>
                <w:tab w:pos="444" w:val="left" w:leader="none"/>
              </w:tabs>
              <w:spacing w:line="240" w:lineRule="auto" w:before="0" w:after="0"/>
              <w:ind w:left="443" w:right="583" w:hanging="359"/>
              <w:jc w:val="left"/>
              <w:rPr>
                <w:sz w:val="20"/>
              </w:rPr>
            </w:pPr>
            <w:r>
              <w:rPr>
                <w:spacing w:val="-1"/>
                <w:sz w:val="20"/>
              </w:rPr>
              <w:t>Residential-neighborhood </w:t>
            </w:r>
            <w:r>
              <w:rPr>
                <w:sz w:val="20"/>
              </w:rPr>
              <w:t>commercial</w:t>
            </w:r>
          </w:p>
          <w:p>
            <w:pPr>
              <w:pStyle w:val="TableParagraph"/>
              <w:numPr>
                <w:ilvl w:val="0"/>
                <w:numId w:val="24"/>
              </w:numPr>
              <w:tabs>
                <w:tab w:pos="443" w:val="left" w:leader="none"/>
                <w:tab w:pos="444" w:val="left" w:leader="none"/>
              </w:tabs>
              <w:spacing w:line="240" w:lineRule="auto" w:before="0" w:after="0"/>
              <w:ind w:left="443" w:right="0" w:hanging="359"/>
              <w:jc w:val="left"/>
              <w:rPr>
                <w:sz w:val="20"/>
              </w:rPr>
            </w:pPr>
            <w:r>
              <w:rPr>
                <w:sz w:val="20"/>
              </w:rPr>
              <w:t>Urban/rural</w:t>
            </w:r>
            <w:r>
              <w:rPr>
                <w:spacing w:val="-2"/>
                <w:sz w:val="20"/>
              </w:rPr>
              <w:t> </w:t>
            </w:r>
            <w:r>
              <w:rPr>
                <w:sz w:val="20"/>
              </w:rPr>
              <w:t>areas</w:t>
            </w:r>
          </w:p>
        </w:tc>
        <w:tc>
          <w:tcPr>
            <w:tcW w:w="3118" w:type="dxa"/>
            <w:tcBorders>
              <w:right w:val="nil"/>
            </w:tcBorders>
          </w:tcPr>
          <w:p>
            <w:pPr>
              <w:pStyle w:val="TableParagraph"/>
              <w:spacing w:line="228" w:lineRule="exact"/>
              <w:ind w:left="107"/>
              <w:rPr>
                <w:b/>
                <w:sz w:val="20"/>
              </w:rPr>
            </w:pPr>
            <w:r>
              <w:rPr>
                <w:b/>
                <w:sz w:val="20"/>
              </w:rPr>
              <w:t>Lighting and Weather:</w:t>
            </w:r>
          </w:p>
          <w:p>
            <w:pPr>
              <w:pStyle w:val="TableParagraph"/>
              <w:numPr>
                <w:ilvl w:val="0"/>
                <w:numId w:val="25"/>
              </w:numPr>
              <w:tabs>
                <w:tab w:pos="444" w:val="left" w:leader="none"/>
                <w:tab w:pos="445" w:val="left" w:leader="none"/>
              </w:tabs>
              <w:spacing w:line="243" w:lineRule="exact" w:before="0" w:after="0"/>
              <w:ind w:left="444" w:right="0" w:hanging="360"/>
              <w:jc w:val="left"/>
              <w:rPr>
                <w:sz w:val="20"/>
              </w:rPr>
            </w:pPr>
            <w:r>
              <w:rPr>
                <w:sz w:val="20"/>
              </w:rPr>
              <w:t>Lighting</w:t>
            </w:r>
            <w:r>
              <w:rPr>
                <w:spacing w:val="-2"/>
                <w:sz w:val="20"/>
              </w:rPr>
              <w:t> </w:t>
            </w:r>
            <w:r>
              <w:rPr>
                <w:sz w:val="20"/>
              </w:rPr>
              <w:t>(dark/daylight)</w:t>
            </w:r>
          </w:p>
          <w:p>
            <w:pPr>
              <w:pStyle w:val="TableParagraph"/>
              <w:numPr>
                <w:ilvl w:val="0"/>
                <w:numId w:val="25"/>
              </w:numPr>
              <w:tabs>
                <w:tab w:pos="444" w:val="left" w:leader="none"/>
                <w:tab w:pos="445" w:val="left" w:leader="none"/>
              </w:tabs>
              <w:spacing w:line="244" w:lineRule="exact" w:before="0" w:after="0"/>
              <w:ind w:left="444" w:right="0" w:hanging="360"/>
              <w:jc w:val="left"/>
              <w:rPr>
                <w:sz w:val="20"/>
              </w:rPr>
            </w:pPr>
            <w:r>
              <w:rPr>
                <w:sz w:val="20"/>
              </w:rPr>
              <w:t>Lighting adequacy</w:t>
            </w:r>
            <w:r>
              <w:rPr>
                <w:spacing w:val="-2"/>
                <w:sz w:val="20"/>
              </w:rPr>
              <w:t> </w:t>
            </w:r>
            <w:r>
              <w:rPr>
                <w:sz w:val="20"/>
              </w:rPr>
              <w:t>data</w:t>
            </w:r>
          </w:p>
          <w:p>
            <w:pPr>
              <w:pStyle w:val="TableParagraph"/>
              <w:numPr>
                <w:ilvl w:val="0"/>
                <w:numId w:val="25"/>
              </w:numPr>
              <w:tabs>
                <w:tab w:pos="443" w:val="left" w:leader="none"/>
                <w:tab w:pos="444" w:val="left" w:leader="none"/>
              </w:tabs>
              <w:spacing w:line="244" w:lineRule="exact" w:before="0" w:after="0"/>
              <w:ind w:left="443" w:right="0" w:hanging="359"/>
              <w:jc w:val="left"/>
              <w:rPr>
                <w:sz w:val="20"/>
              </w:rPr>
            </w:pPr>
            <w:r>
              <w:rPr>
                <w:sz w:val="20"/>
              </w:rPr>
              <w:t>Visibility</w:t>
            </w:r>
          </w:p>
          <w:p>
            <w:pPr>
              <w:pStyle w:val="TableParagraph"/>
              <w:numPr>
                <w:ilvl w:val="0"/>
                <w:numId w:val="25"/>
              </w:numPr>
              <w:tabs>
                <w:tab w:pos="443" w:val="left" w:leader="none"/>
                <w:tab w:pos="444" w:val="left" w:leader="none"/>
              </w:tabs>
              <w:spacing w:line="244" w:lineRule="exact" w:before="0" w:after="0"/>
              <w:ind w:left="443" w:right="0" w:hanging="360"/>
              <w:jc w:val="left"/>
              <w:rPr>
                <w:sz w:val="20"/>
              </w:rPr>
            </w:pPr>
            <w:r>
              <w:rPr>
                <w:sz w:val="20"/>
              </w:rPr>
              <w:t>Weather</w:t>
            </w:r>
            <w:r>
              <w:rPr>
                <w:spacing w:val="-2"/>
                <w:sz w:val="20"/>
              </w:rPr>
              <w:t> </w:t>
            </w:r>
            <w:r>
              <w:rPr>
                <w:sz w:val="20"/>
              </w:rPr>
              <w:t>(clear/other/raining)</w:t>
            </w:r>
          </w:p>
        </w:tc>
      </w:tr>
    </w:tbl>
    <w:p>
      <w:pPr>
        <w:spacing w:after="0" w:line="244" w:lineRule="exact"/>
        <w:jc w:val="left"/>
        <w:rPr>
          <w:sz w:val="20"/>
        </w:rPr>
        <w:sectPr>
          <w:pgSz w:w="12240" w:h="15840"/>
          <w:pgMar w:header="0" w:footer="709" w:top="920" w:bottom="980" w:left="1120" w:right="0"/>
        </w:sectPr>
      </w:pPr>
    </w:p>
    <w:p>
      <w:pPr>
        <w:pStyle w:val="BodyText"/>
        <w:spacing w:before="1"/>
        <w:rPr>
          <w:b/>
          <w:sz w:val="11"/>
        </w:rPr>
      </w:pPr>
    </w:p>
    <w:p>
      <w:pPr>
        <w:pStyle w:val="Heading2"/>
        <w:numPr>
          <w:ilvl w:val="1"/>
          <w:numId w:val="26"/>
        </w:numPr>
        <w:tabs>
          <w:tab w:pos="3813" w:val="left" w:leader="none"/>
          <w:tab w:pos="3814" w:val="left" w:leader="none"/>
        </w:tabs>
        <w:spacing w:line="240" w:lineRule="auto" w:before="87" w:after="0"/>
        <w:ind w:left="3813" w:right="0" w:hanging="720"/>
        <w:jc w:val="left"/>
      </w:pPr>
      <w:bookmarkStart w:name="_TOC_250051" w:id="98"/>
      <w:bookmarkStart w:name="3.0 DATA COLLECTION" w:id="99"/>
      <w:r>
        <w:rPr>
          <w:b w:val="0"/>
        </w:rPr>
      </w:r>
      <w:bookmarkEnd w:id="99"/>
      <w:bookmarkStart w:name="3.0 DATA COLLECTION" w:id="100"/>
      <w:r>
        <w:rPr>
          <w:spacing w:val="-13"/>
        </w:rPr>
        <w:t>D</w:t>
      </w:r>
      <w:r>
        <w:rPr>
          <w:spacing w:val="-13"/>
        </w:rPr>
        <w:t>ATA</w:t>
      </w:r>
      <w:r>
        <w:rPr>
          <w:spacing w:val="-18"/>
        </w:rPr>
        <w:t> </w:t>
      </w:r>
      <w:bookmarkEnd w:id="98"/>
      <w:r>
        <w:rPr/>
        <w:t>COLLECTION</w:t>
      </w:r>
    </w:p>
    <w:p>
      <w:pPr>
        <w:pStyle w:val="BodyText"/>
        <w:spacing w:before="7"/>
        <w:rPr>
          <w:b/>
          <w:sz w:val="41"/>
        </w:rPr>
      </w:pPr>
    </w:p>
    <w:p>
      <w:pPr>
        <w:pStyle w:val="BodyText"/>
        <w:ind w:left="320" w:right="1543"/>
      </w:pPr>
      <w:r>
        <w:rPr/>
        <w:t>This chapter describes the data collection methods (including sampling approach and selection criteria), the elements collected and methods for data collection, and process for linking to crash data.</w:t>
      </w:r>
    </w:p>
    <w:p>
      <w:pPr>
        <w:pStyle w:val="BodyText"/>
        <w:spacing w:before="2"/>
        <w:rPr>
          <w:sz w:val="21"/>
        </w:rPr>
      </w:pPr>
    </w:p>
    <w:p>
      <w:pPr>
        <w:pStyle w:val="Heading3"/>
        <w:numPr>
          <w:ilvl w:val="1"/>
          <w:numId w:val="26"/>
        </w:numPr>
        <w:tabs>
          <w:tab w:pos="895" w:val="left" w:leader="none"/>
          <w:tab w:pos="896" w:val="left" w:leader="none"/>
        </w:tabs>
        <w:spacing w:line="240" w:lineRule="auto" w:before="0" w:after="0"/>
        <w:ind w:left="895" w:right="0" w:hanging="575"/>
        <w:jc w:val="left"/>
      </w:pPr>
      <w:bookmarkStart w:name="_TOC_250050" w:id="101"/>
      <w:bookmarkStart w:name="3.1 SAMPLING APPROACH" w:id="102"/>
      <w:r>
        <w:rPr>
          <w:b w:val="0"/>
        </w:rPr>
      </w:r>
      <w:bookmarkEnd w:id="102"/>
      <w:bookmarkStart w:name="3.1 SAMPLING APPROACH" w:id="103"/>
      <w:r>
        <w:rPr/>
        <w:t>S</w:t>
      </w:r>
      <w:r>
        <w:rPr/>
        <w:t>AMPLING</w:t>
      </w:r>
      <w:r>
        <w:rPr>
          <w:spacing w:val="-1"/>
        </w:rPr>
        <w:t> </w:t>
      </w:r>
      <w:bookmarkEnd w:id="101"/>
      <w:r>
        <w:rPr/>
        <w:t>APPROACH</w:t>
      </w:r>
    </w:p>
    <w:p>
      <w:pPr>
        <w:pStyle w:val="BodyText"/>
        <w:spacing w:before="236"/>
        <w:ind w:left="320" w:right="1462"/>
      </w:pPr>
      <w:r>
        <w:rPr/>
        <w:t>A random sampling approach was used to select segments and intersections for data collection to ensure that any heterogeneous characteristics associated with land use, functional class and other data elements could be captured in the modeling. The criteria for selection, development of the sample and procedure for the random draw is described.</w:t>
      </w:r>
    </w:p>
    <w:p>
      <w:pPr>
        <w:pStyle w:val="BodyText"/>
        <w:spacing w:before="2"/>
        <w:rPr>
          <w:sz w:val="21"/>
        </w:rPr>
      </w:pPr>
    </w:p>
    <w:p>
      <w:pPr>
        <w:pStyle w:val="Heading3"/>
        <w:numPr>
          <w:ilvl w:val="2"/>
          <w:numId w:val="26"/>
        </w:numPr>
        <w:tabs>
          <w:tab w:pos="1040" w:val="left" w:leader="none"/>
        </w:tabs>
        <w:spacing w:line="240" w:lineRule="auto" w:before="0" w:after="0"/>
        <w:ind w:left="1039" w:right="0" w:hanging="719"/>
        <w:jc w:val="left"/>
      </w:pPr>
      <w:bookmarkStart w:name="_TOC_250049" w:id="104"/>
      <w:bookmarkStart w:name="3.1.1 Criteria" w:id="105"/>
      <w:r>
        <w:rPr>
          <w:b w:val="0"/>
        </w:rPr>
      </w:r>
      <w:bookmarkEnd w:id="105"/>
      <w:bookmarkStart w:name="3.1.1 Criteria" w:id="106"/>
      <w:r>
        <w:rPr/>
        <w:t>C</w:t>
      </w:r>
      <w:bookmarkEnd w:id="104"/>
      <w:r>
        <w:rPr/>
        <w:t>riteria</w:t>
      </w:r>
    </w:p>
    <w:p>
      <w:pPr>
        <w:pStyle w:val="BodyText"/>
        <w:spacing w:before="236"/>
        <w:ind w:left="319" w:right="1618"/>
      </w:pPr>
      <w:r>
        <w:rPr/>
        <w:t>The research team collected data on a subset of all public roads (all public roads are eligible for funding in the ARTS program). The research team used the following criteria to develop the sample pool:</w:t>
      </w:r>
    </w:p>
    <w:p>
      <w:pPr>
        <w:pStyle w:val="BodyText"/>
        <w:rPr>
          <w:sz w:val="21"/>
        </w:rPr>
      </w:pPr>
    </w:p>
    <w:p>
      <w:pPr>
        <w:pStyle w:val="ListParagraph"/>
        <w:numPr>
          <w:ilvl w:val="3"/>
          <w:numId w:val="26"/>
        </w:numPr>
        <w:tabs>
          <w:tab w:pos="1039" w:val="left" w:leader="none"/>
          <w:tab w:pos="1040" w:val="left" w:leader="none"/>
        </w:tabs>
        <w:spacing w:line="240" w:lineRule="auto" w:before="0" w:after="0"/>
        <w:ind w:left="1040" w:right="0" w:hanging="360"/>
        <w:jc w:val="left"/>
        <w:rPr>
          <w:sz w:val="24"/>
        </w:rPr>
      </w:pPr>
      <w:r>
        <w:rPr>
          <w:sz w:val="24"/>
        </w:rPr>
        <w:t>Both state and non-state owned roadways are</w:t>
      </w:r>
      <w:r>
        <w:rPr>
          <w:spacing w:val="-2"/>
          <w:sz w:val="24"/>
        </w:rPr>
        <w:t> </w:t>
      </w:r>
      <w:r>
        <w:rPr>
          <w:sz w:val="24"/>
        </w:rPr>
        <w:t>included;</w:t>
      </w:r>
    </w:p>
    <w:p>
      <w:pPr>
        <w:pStyle w:val="ListParagraph"/>
        <w:numPr>
          <w:ilvl w:val="3"/>
          <w:numId w:val="26"/>
        </w:numPr>
        <w:tabs>
          <w:tab w:pos="1039" w:val="left" w:leader="none"/>
          <w:tab w:pos="1040" w:val="left" w:leader="none"/>
        </w:tabs>
        <w:spacing w:line="240" w:lineRule="auto" w:before="239" w:after="0"/>
        <w:ind w:left="1040" w:right="0" w:hanging="360"/>
        <w:jc w:val="left"/>
        <w:rPr>
          <w:sz w:val="24"/>
        </w:rPr>
      </w:pPr>
      <w:r>
        <w:rPr>
          <w:sz w:val="24"/>
        </w:rPr>
        <w:t>Connection ramp segments of state highway systems were filtered</w:t>
      </w:r>
      <w:r>
        <w:rPr>
          <w:spacing w:val="-5"/>
          <w:sz w:val="24"/>
        </w:rPr>
        <w:t> </w:t>
      </w:r>
      <w:r>
        <w:rPr>
          <w:sz w:val="24"/>
        </w:rPr>
        <w:t>out:</w:t>
      </w:r>
    </w:p>
    <w:p>
      <w:pPr>
        <w:pStyle w:val="ListParagraph"/>
        <w:numPr>
          <w:ilvl w:val="3"/>
          <w:numId w:val="26"/>
        </w:numPr>
        <w:tabs>
          <w:tab w:pos="1039" w:val="left" w:leader="none"/>
          <w:tab w:pos="1040" w:val="left" w:leader="none"/>
        </w:tabs>
        <w:spacing w:line="240" w:lineRule="auto" w:before="239" w:after="0"/>
        <w:ind w:left="1040" w:right="0" w:hanging="360"/>
        <w:jc w:val="left"/>
        <w:rPr>
          <w:sz w:val="24"/>
        </w:rPr>
      </w:pPr>
      <w:r>
        <w:rPr>
          <w:sz w:val="24"/>
        </w:rPr>
        <w:t>Roadway segments are in an urban area;</w:t>
      </w:r>
      <w:r>
        <w:rPr>
          <w:spacing w:val="-3"/>
          <w:sz w:val="24"/>
        </w:rPr>
        <w:t> </w:t>
      </w:r>
      <w:r>
        <w:rPr>
          <w:sz w:val="24"/>
        </w:rPr>
        <w:t>and</w:t>
      </w:r>
    </w:p>
    <w:p>
      <w:pPr>
        <w:pStyle w:val="ListParagraph"/>
        <w:numPr>
          <w:ilvl w:val="3"/>
          <w:numId w:val="26"/>
        </w:numPr>
        <w:tabs>
          <w:tab w:pos="1039" w:val="left" w:leader="none"/>
          <w:tab w:pos="1040" w:val="left" w:leader="none"/>
        </w:tabs>
        <w:spacing w:line="240" w:lineRule="auto" w:before="239" w:after="0"/>
        <w:ind w:left="1040" w:right="0" w:hanging="360"/>
        <w:jc w:val="left"/>
        <w:rPr>
          <w:sz w:val="24"/>
        </w:rPr>
      </w:pPr>
      <w:r>
        <w:rPr>
          <w:sz w:val="24"/>
        </w:rPr>
        <w:t>Roadway segments are arterial (minor or principal) functional</w:t>
      </w:r>
      <w:r>
        <w:rPr>
          <w:spacing w:val="-4"/>
          <w:sz w:val="24"/>
        </w:rPr>
        <w:t> </w:t>
      </w:r>
      <w:r>
        <w:rPr>
          <w:sz w:val="24"/>
        </w:rPr>
        <w:t>classification.</w:t>
      </w:r>
    </w:p>
    <w:p>
      <w:pPr>
        <w:pStyle w:val="BodyText"/>
        <w:spacing w:before="238"/>
        <w:ind w:left="319" w:right="1624"/>
      </w:pPr>
      <w:r>
        <w:rPr/>
        <w:t>Though people walking and biking are exposed to risk in all areas of Oregon, the majority of crashes occur in urban areas (87% of pedestrian crashes and 92% of bicycle crashes in 2013, based on a review of the crash data GIS files). To define urban areas, the project team used city limit boundaries provided in ODOT GIS files. The use of the city boundaries resulted in some segments that were not necessarily “urban” in character. This definition also excluded roads in unincorporated county jurisdiction that might be urban in nature.</w:t>
      </w:r>
    </w:p>
    <w:p>
      <w:pPr>
        <w:pStyle w:val="BodyText"/>
        <w:spacing w:before="10"/>
        <w:rPr>
          <w:sz w:val="20"/>
        </w:rPr>
      </w:pPr>
    </w:p>
    <w:p>
      <w:pPr>
        <w:pStyle w:val="BodyText"/>
        <w:ind w:left="319" w:right="1463"/>
      </w:pPr>
      <w:hyperlink w:history="true" w:anchor="_bookmark11">
        <w:r>
          <w:rPr/>
          <w:t>Figure 3.1</w:t>
        </w:r>
      </w:hyperlink>
      <w:r>
        <w:rPr/>
        <w:t> shows all roadways meeting the criteria in the state clipped to only arterials in urban areas. As expected, there is a large concentration of roadways in the Willamette Valley but other areas of the state are represented. </w:t>
      </w:r>
      <w:hyperlink w:history="true" w:anchor="_bookmark12">
        <w:r>
          <w:rPr/>
          <w:t>Figure 3.2</w:t>
        </w:r>
      </w:hyperlink>
      <w:r>
        <w:rPr/>
        <w:t> illustrates the pedestrian and bicycle crashes (on all roadways) mapped for Bend, OR, from 2009-2013. In the figure, only arterial roadways are shown and the dots represent crashes on lines. The figure shows that most of the pedestrian and bicycle crashes occurred on these roadways.</w:t>
      </w:r>
    </w:p>
    <w:p>
      <w:pPr>
        <w:pStyle w:val="BodyText"/>
        <w:spacing w:before="10"/>
        <w:rPr>
          <w:sz w:val="20"/>
        </w:rPr>
      </w:pPr>
    </w:p>
    <w:p>
      <w:pPr>
        <w:pStyle w:val="BodyText"/>
        <w:spacing w:before="1"/>
        <w:ind w:left="319" w:right="1517"/>
      </w:pPr>
      <w:r>
        <w:rPr/>
        <w:t>There are approximately 1,800 miles of roadway for potential sampling (arterials in urban areas) which are split between principal arterials (800 miles) and minor arterials (1,000 miles). Region 1 and 2 have similar miles available for data collection and have approximately 70% of the roadway mileage available for data collection.</w:t>
      </w:r>
    </w:p>
    <w:p>
      <w:pPr>
        <w:spacing w:after="0"/>
        <w:sectPr>
          <w:pgSz w:w="12240" w:h="15840"/>
          <w:pgMar w:header="0" w:footer="709" w:top="1500" w:bottom="980" w:left="1120" w:right="0"/>
        </w:sectPr>
      </w:pPr>
    </w:p>
    <w:p>
      <w:pPr>
        <w:pStyle w:val="BodyText"/>
        <w:spacing w:before="72"/>
        <w:ind w:left="320" w:right="1474"/>
      </w:pPr>
      <w:r>
        <w:rPr/>
        <w:t>In this GIS file, each roadway is broken up into many smaller segments. After a preliminary inspection of the roadway segments identified in the previous step, the research team considered some segments too short for practical data collection. Thus, the research team eliminated short segments (i.e., less than 0.05 miles) from the potential sample sites. About 200 miles of potential samples were filtered out for length. </w:t>
      </w:r>
      <w:hyperlink w:history="true" w:anchor="_bookmark13">
        <w:r>
          <w:rPr/>
          <w:t>Table 3.1</w:t>
        </w:r>
      </w:hyperlink>
      <w:r>
        <w:rPr/>
        <w:t> presents the breakdown of the candidate roadway miles by region and arterial type (principal and minor) after filtering. </w:t>
      </w:r>
      <w:hyperlink w:history="true" w:anchor="_bookmark14">
        <w:r>
          <w:rPr/>
          <w:t>Table 3.2</w:t>
        </w:r>
      </w:hyperlink>
      <w:r>
        <w:rPr/>
        <w:t> shows the number of potential segments after filtering for this minimum length. The resulting sample pool consisted of approximately 1,600 miles. As shown in </w:t>
      </w:r>
      <w:hyperlink w:history="true" w:anchor="_bookmark15">
        <w:r>
          <w:rPr/>
          <w:t>Table 3.3</w:t>
        </w:r>
      </w:hyperlink>
      <w:r>
        <w:rPr/>
        <w:t>, the average length of any one segment is roughly 0.10 mile (528 feet).</w:t>
      </w:r>
    </w:p>
    <w:p>
      <w:pPr>
        <w:pStyle w:val="BodyText"/>
        <w:rPr>
          <w:sz w:val="20"/>
        </w:rPr>
      </w:pPr>
    </w:p>
    <w:p>
      <w:pPr>
        <w:pStyle w:val="BodyText"/>
        <w:rPr>
          <w:sz w:val="20"/>
        </w:rPr>
      </w:pPr>
    </w:p>
    <w:p>
      <w:pPr>
        <w:pStyle w:val="BodyText"/>
        <w:spacing w:before="4"/>
      </w:pPr>
      <w:r>
        <w:rPr/>
        <w:drawing>
          <wp:anchor distT="0" distB="0" distL="0" distR="0" allowOverlap="1" layoutInCell="1" locked="0" behindDoc="0" simplePos="0" relativeHeight="8">
            <wp:simplePos x="0" y="0"/>
            <wp:positionH relativeFrom="page">
              <wp:posOffset>1368068</wp:posOffset>
            </wp:positionH>
            <wp:positionV relativeFrom="paragraph">
              <wp:posOffset>202944</wp:posOffset>
            </wp:positionV>
            <wp:extent cx="5031502" cy="2983229"/>
            <wp:effectExtent l="0" t="0" r="0" b="0"/>
            <wp:wrapTopAndBottom/>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1" cstate="print"/>
                    <a:stretch>
                      <a:fillRect/>
                    </a:stretch>
                  </pic:blipFill>
                  <pic:spPr>
                    <a:xfrm>
                      <a:off x="0" y="0"/>
                      <a:ext cx="5031502" cy="2983229"/>
                    </a:xfrm>
                    <a:prstGeom prst="rect">
                      <a:avLst/>
                    </a:prstGeom>
                  </pic:spPr>
                </pic:pic>
              </a:graphicData>
            </a:graphic>
          </wp:anchor>
        </w:drawing>
      </w:r>
    </w:p>
    <w:p>
      <w:pPr>
        <w:pStyle w:val="BodyText"/>
        <w:spacing w:before="8"/>
        <w:rPr>
          <w:sz w:val="35"/>
        </w:rPr>
      </w:pPr>
    </w:p>
    <w:p>
      <w:pPr>
        <w:spacing w:before="0"/>
        <w:ind w:left="1850" w:right="0" w:firstLine="0"/>
        <w:jc w:val="left"/>
        <w:rPr>
          <w:sz w:val="20"/>
        </w:rPr>
      </w:pPr>
      <w:bookmarkStart w:name="_bookmark11" w:id="107"/>
      <w:bookmarkEnd w:id="107"/>
      <w:r>
        <w:rPr/>
      </w:r>
      <w:r>
        <w:rPr>
          <w:sz w:val="20"/>
        </w:rPr>
        <w:t>Figure 3.1: Filtered Functionally Classified Roadways Clipped to Urban Areas</w:t>
      </w:r>
    </w:p>
    <w:p>
      <w:pPr>
        <w:spacing w:after="0"/>
        <w:jc w:val="left"/>
        <w:rPr>
          <w:sz w:val="20"/>
        </w:rPr>
        <w:sectPr>
          <w:pgSz w:w="12240" w:h="15840"/>
          <w:pgMar w:header="0" w:footer="709" w:top="920" w:bottom="980" w:left="1120" w:right="0"/>
        </w:sectPr>
      </w:pPr>
    </w:p>
    <w:p>
      <w:pPr>
        <w:pStyle w:val="BodyText"/>
        <w:ind w:left="1734"/>
        <w:rPr>
          <w:sz w:val="20"/>
        </w:rPr>
      </w:pPr>
      <w:r>
        <w:rPr>
          <w:sz w:val="20"/>
        </w:rPr>
        <w:drawing>
          <wp:inline distT="0" distB="0" distL="0" distR="0">
            <wp:extent cx="3869636" cy="3652837"/>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22" cstate="print"/>
                    <a:stretch>
                      <a:fillRect/>
                    </a:stretch>
                  </pic:blipFill>
                  <pic:spPr>
                    <a:xfrm>
                      <a:off x="0" y="0"/>
                      <a:ext cx="3869636" cy="3652837"/>
                    </a:xfrm>
                    <a:prstGeom prst="rect">
                      <a:avLst/>
                    </a:prstGeom>
                  </pic:spPr>
                </pic:pic>
              </a:graphicData>
            </a:graphic>
          </wp:inline>
        </w:drawing>
      </w:r>
      <w:r>
        <w:rPr>
          <w:sz w:val="20"/>
        </w:rPr>
      </w:r>
    </w:p>
    <w:p>
      <w:pPr>
        <w:pStyle w:val="BodyText"/>
        <w:spacing w:before="10"/>
        <w:rPr>
          <w:sz w:val="14"/>
        </w:rPr>
      </w:pPr>
    </w:p>
    <w:p>
      <w:pPr>
        <w:spacing w:before="92"/>
        <w:ind w:left="1085" w:right="0" w:firstLine="0"/>
        <w:jc w:val="left"/>
        <w:rPr>
          <w:sz w:val="20"/>
        </w:rPr>
      </w:pPr>
      <w:bookmarkStart w:name="_bookmark12" w:id="108"/>
      <w:bookmarkEnd w:id="108"/>
      <w:r>
        <w:rPr/>
      </w:r>
      <w:r>
        <w:rPr>
          <w:sz w:val="20"/>
        </w:rPr>
        <w:t>Figure 3.2: Filtered Roadways with Pedestrian and Bicycle Crashes Shown, 2009-2013, Bend OR</w:t>
      </w:r>
    </w:p>
    <w:p>
      <w:pPr>
        <w:pStyle w:val="BodyText"/>
        <w:rPr>
          <w:sz w:val="22"/>
        </w:rPr>
      </w:pPr>
    </w:p>
    <w:p>
      <w:pPr>
        <w:pStyle w:val="BodyText"/>
        <w:spacing w:before="11"/>
        <w:rPr>
          <w:sz w:val="19"/>
        </w:rPr>
      </w:pPr>
    </w:p>
    <w:p>
      <w:pPr>
        <w:spacing w:before="0"/>
        <w:ind w:left="320" w:right="0" w:firstLine="0"/>
        <w:jc w:val="left"/>
        <w:rPr>
          <w:b/>
          <w:sz w:val="20"/>
        </w:rPr>
      </w:pPr>
      <w:bookmarkStart w:name="_bookmark13" w:id="109"/>
      <w:bookmarkEnd w:id="109"/>
      <w:r>
        <w:rPr/>
      </w:r>
      <w:r>
        <w:rPr>
          <w:b/>
          <w:sz w:val="20"/>
        </w:rPr>
        <w:t>Table 3.1: Summary of Potential Segments by ODOT Region, Miles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85"/>
        <w:gridCol w:w="1384"/>
        <w:gridCol w:w="1383"/>
        <w:gridCol w:w="1160"/>
        <w:gridCol w:w="1455"/>
        <w:gridCol w:w="1456"/>
        <w:gridCol w:w="1455"/>
      </w:tblGrid>
      <w:tr>
        <w:trPr>
          <w:trHeight w:val="229" w:hRule="atLeast"/>
        </w:trPr>
        <w:tc>
          <w:tcPr>
            <w:tcW w:w="1085" w:type="dxa"/>
            <w:vMerge w:val="restart"/>
            <w:tcBorders>
              <w:left w:val="nil"/>
              <w:bottom w:val="single" w:sz="4" w:space="0" w:color="000000"/>
              <w:right w:val="single" w:sz="4" w:space="0" w:color="000000"/>
            </w:tcBorders>
          </w:tcPr>
          <w:p>
            <w:pPr>
              <w:pStyle w:val="TableParagraph"/>
              <w:spacing w:before="13"/>
              <w:ind w:left="269"/>
              <w:rPr>
                <w:b/>
                <w:sz w:val="20"/>
              </w:rPr>
            </w:pPr>
            <w:r>
              <w:rPr>
                <w:b/>
                <w:sz w:val="20"/>
              </w:rPr>
              <w:t>ODOT</w:t>
            </w:r>
          </w:p>
          <w:p>
            <w:pPr>
              <w:pStyle w:val="TableParagraph"/>
              <w:spacing w:line="225" w:lineRule="exact" w:before="1"/>
              <w:ind w:left="264"/>
              <w:rPr>
                <w:b/>
                <w:sz w:val="20"/>
              </w:rPr>
            </w:pPr>
            <w:r>
              <w:rPr>
                <w:b/>
                <w:sz w:val="20"/>
              </w:rPr>
              <w:t>Region</w:t>
            </w:r>
          </w:p>
        </w:tc>
        <w:tc>
          <w:tcPr>
            <w:tcW w:w="2767" w:type="dxa"/>
            <w:gridSpan w:val="2"/>
            <w:tcBorders>
              <w:left w:val="single" w:sz="4" w:space="0" w:color="000000"/>
              <w:right w:val="single" w:sz="4" w:space="0" w:color="000000"/>
            </w:tcBorders>
          </w:tcPr>
          <w:p>
            <w:pPr>
              <w:pStyle w:val="TableParagraph"/>
              <w:spacing w:line="209" w:lineRule="exact"/>
              <w:ind w:left="629"/>
              <w:rPr>
                <w:b/>
                <w:sz w:val="20"/>
              </w:rPr>
            </w:pPr>
            <w:r>
              <w:rPr>
                <w:b/>
                <w:sz w:val="20"/>
              </w:rPr>
              <w:t>Principal Arterial</w:t>
            </w:r>
          </w:p>
        </w:tc>
        <w:tc>
          <w:tcPr>
            <w:tcW w:w="2615" w:type="dxa"/>
            <w:gridSpan w:val="2"/>
            <w:tcBorders>
              <w:left w:val="single" w:sz="4" w:space="0" w:color="000000"/>
              <w:right w:val="single" w:sz="4" w:space="0" w:color="000000"/>
            </w:tcBorders>
          </w:tcPr>
          <w:p>
            <w:pPr>
              <w:pStyle w:val="TableParagraph"/>
              <w:spacing w:line="209" w:lineRule="exact"/>
              <w:ind w:left="673"/>
              <w:rPr>
                <w:b/>
                <w:sz w:val="20"/>
              </w:rPr>
            </w:pPr>
            <w:r>
              <w:rPr>
                <w:b/>
                <w:sz w:val="20"/>
              </w:rPr>
              <w:t>Minor Arterial</w:t>
            </w:r>
          </w:p>
        </w:tc>
        <w:tc>
          <w:tcPr>
            <w:tcW w:w="2911" w:type="dxa"/>
            <w:gridSpan w:val="2"/>
            <w:tcBorders>
              <w:left w:val="single" w:sz="4" w:space="0" w:color="000000"/>
              <w:right w:val="nil"/>
            </w:tcBorders>
          </w:tcPr>
          <w:p>
            <w:pPr>
              <w:pStyle w:val="TableParagraph"/>
              <w:spacing w:line="209" w:lineRule="exact"/>
              <w:ind w:left="1214" w:right="1196"/>
              <w:jc w:val="center"/>
              <w:rPr>
                <w:b/>
                <w:sz w:val="20"/>
              </w:rPr>
            </w:pPr>
            <w:r>
              <w:rPr>
                <w:b/>
                <w:sz w:val="20"/>
              </w:rPr>
              <w:t>Total</w:t>
            </w:r>
          </w:p>
        </w:tc>
      </w:tr>
      <w:tr>
        <w:trPr>
          <w:trHeight w:val="230" w:hRule="atLeast"/>
        </w:trPr>
        <w:tc>
          <w:tcPr>
            <w:tcW w:w="1085" w:type="dxa"/>
            <w:vMerge/>
            <w:tcBorders>
              <w:top w:val="nil"/>
              <w:left w:val="nil"/>
              <w:bottom w:val="single" w:sz="4" w:space="0" w:color="000000"/>
              <w:right w:val="single" w:sz="4" w:space="0" w:color="000000"/>
            </w:tcBorders>
          </w:tcPr>
          <w:p>
            <w:pPr>
              <w:rPr>
                <w:sz w:val="2"/>
                <w:szCs w:val="2"/>
              </w:rPr>
            </w:pPr>
          </w:p>
        </w:tc>
        <w:tc>
          <w:tcPr>
            <w:tcW w:w="1384" w:type="dxa"/>
            <w:tcBorders>
              <w:left w:val="single" w:sz="4" w:space="0" w:color="000000"/>
              <w:bottom w:val="single" w:sz="4" w:space="0" w:color="000000"/>
              <w:right w:val="single" w:sz="4" w:space="0" w:color="000000"/>
            </w:tcBorders>
          </w:tcPr>
          <w:p>
            <w:pPr>
              <w:pStyle w:val="TableParagraph"/>
              <w:spacing w:line="210" w:lineRule="exact"/>
              <w:ind w:left="405" w:right="376"/>
              <w:jc w:val="center"/>
              <w:rPr>
                <w:b/>
                <w:sz w:val="20"/>
              </w:rPr>
            </w:pPr>
            <w:r>
              <w:rPr>
                <w:b/>
                <w:sz w:val="20"/>
              </w:rPr>
              <w:t>Miles</w:t>
            </w:r>
          </w:p>
        </w:tc>
        <w:tc>
          <w:tcPr>
            <w:tcW w:w="1383" w:type="dxa"/>
            <w:tcBorders>
              <w:left w:val="single" w:sz="4" w:space="0" w:color="000000"/>
              <w:bottom w:val="single" w:sz="4" w:space="0" w:color="000000"/>
              <w:right w:val="single" w:sz="4" w:space="0" w:color="000000"/>
            </w:tcBorders>
          </w:tcPr>
          <w:p>
            <w:pPr>
              <w:pStyle w:val="TableParagraph"/>
              <w:spacing w:line="210" w:lineRule="exact"/>
              <w:ind w:left="160" w:right="134"/>
              <w:jc w:val="center"/>
              <w:rPr>
                <w:b/>
                <w:sz w:val="20"/>
              </w:rPr>
            </w:pPr>
            <w:r>
              <w:rPr>
                <w:b/>
                <w:sz w:val="20"/>
              </w:rPr>
              <w:t>Percent (%)</w:t>
            </w:r>
          </w:p>
        </w:tc>
        <w:tc>
          <w:tcPr>
            <w:tcW w:w="1160" w:type="dxa"/>
            <w:tcBorders>
              <w:left w:val="single" w:sz="4" w:space="0" w:color="000000"/>
              <w:bottom w:val="single" w:sz="4" w:space="0" w:color="000000"/>
              <w:right w:val="single" w:sz="4" w:space="0" w:color="000000"/>
            </w:tcBorders>
          </w:tcPr>
          <w:p>
            <w:pPr>
              <w:pStyle w:val="TableParagraph"/>
              <w:spacing w:line="210" w:lineRule="exact"/>
              <w:ind w:right="326"/>
              <w:jc w:val="right"/>
              <w:rPr>
                <w:b/>
                <w:sz w:val="20"/>
              </w:rPr>
            </w:pPr>
            <w:r>
              <w:rPr>
                <w:b/>
                <w:sz w:val="20"/>
              </w:rPr>
              <w:t>Miles</w:t>
            </w:r>
          </w:p>
        </w:tc>
        <w:tc>
          <w:tcPr>
            <w:tcW w:w="1455" w:type="dxa"/>
            <w:tcBorders>
              <w:left w:val="single" w:sz="4" w:space="0" w:color="000000"/>
              <w:bottom w:val="single" w:sz="4" w:space="0" w:color="000000"/>
              <w:right w:val="single" w:sz="4" w:space="0" w:color="000000"/>
            </w:tcBorders>
          </w:tcPr>
          <w:p>
            <w:pPr>
              <w:pStyle w:val="TableParagraph"/>
              <w:spacing w:line="210" w:lineRule="exact"/>
              <w:ind w:left="194" w:right="171"/>
              <w:jc w:val="center"/>
              <w:rPr>
                <w:b/>
                <w:sz w:val="20"/>
              </w:rPr>
            </w:pPr>
            <w:r>
              <w:rPr>
                <w:b/>
                <w:sz w:val="20"/>
              </w:rPr>
              <w:t>Percent (%)</w:t>
            </w:r>
          </w:p>
        </w:tc>
        <w:tc>
          <w:tcPr>
            <w:tcW w:w="1456" w:type="dxa"/>
            <w:tcBorders>
              <w:left w:val="single" w:sz="4" w:space="0" w:color="000000"/>
              <w:bottom w:val="single" w:sz="4" w:space="0" w:color="000000"/>
              <w:right w:val="single" w:sz="4" w:space="0" w:color="000000"/>
            </w:tcBorders>
          </w:tcPr>
          <w:p>
            <w:pPr>
              <w:pStyle w:val="TableParagraph"/>
              <w:spacing w:line="210" w:lineRule="exact"/>
              <w:ind w:left="387" w:right="366"/>
              <w:jc w:val="center"/>
              <w:rPr>
                <w:b/>
                <w:sz w:val="20"/>
              </w:rPr>
            </w:pPr>
            <w:r>
              <w:rPr>
                <w:b/>
                <w:sz w:val="20"/>
              </w:rPr>
              <w:t>Miles</w:t>
            </w:r>
          </w:p>
        </w:tc>
        <w:tc>
          <w:tcPr>
            <w:tcW w:w="1455" w:type="dxa"/>
            <w:tcBorders>
              <w:left w:val="single" w:sz="4" w:space="0" w:color="000000"/>
              <w:bottom w:val="single" w:sz="4" w:space="0" w:color="000000"/>
              <w:right w:val="nil"/>
            </w:tcBorders>
          </w:tcPr>
          <w:p>
            <w:pPr>
              <w:pStyle w:val="TableParagraph"/>
              <w:spacing w:line="210" w:lineRule="exact"/>
              <w:ind w:left="193" w:right="177"/>
              <w:jc w:val="center"/>
              <w:rPr>
                <w:b/>
                <w:sz w:val="20"/>
              </w:rPr>
            </w:pPr>
            <w:r>
              <w:rPr>
                <w:b/>
                <w:sz w:val="20"/>
              </w:rPr>
              <w:t>Percent (%)</w:t>
            </w:r>
          </w:p>
        </w:tc>
      </w:tr>
      <w:tr>
        <w:trPr>
          <w:trHeight w:val="230" w:hRule="atLeast"/>
        </w:trPr>
        <w:tc>
          <w:tcPr>
            <w:tcW w:w="1085" w:type="dxa"/>
            <w:tcBorders>
              <w:top w:val="single" w:sz="4" w:space="0" w:color="000000"/>
              <w:left w:val="nil"/>
              <w:bottom w:val="single" w:sz="4" w:space="0" w:color="000000"/>
              <w:right w:val="single" w:sz="4" w:space="0" w:color="000000"/>
            </w:tcBorders>
          </w:tcPr>
          <w:p>
            <w:pPr>
              <w:pStyle w:val="TableParagraph"/>
              <w:spacing w:line="210" w:lineRule="exact"/>
              <w:ind w:left="48"/>
              <w:jc w:val="center"/>
              <w:rPr>
                <w:sz w:val="20"/>
              </w:rPr>
            </w:pPr>
            <w:r>
              <w:rPr>
                <w:w w:val="100"/>
                <w:sz w:val="20"/>
              </w:rPr>
              <w:t>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05" w:right="378"/>
              <w:jc w:val="center"/>
              <w:rPr>
                <w:sz w:val="20"/>
              </w:rPr>
            </w:pPr>
            <w:r>
              <w:rPr>
                <w:sz w:val="20"/>
              </w:rPr>
              <w:t>196.19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60" w:right="132"/>
              <w:jc w:val="center"/>
              <w:rPr>
                <w:sz w:val="20"/>
              </w:rPr>
            </w:pPr>
            <w:r>
              <w:rPr>
                <w:sz w:val="20"/>
              </w:rPr>
              <w:t>27.5</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84"/>
              <w:jc w:val="right"/>
              <w:rPr>
                <w:sz w:val="20"/>
              </w:rPr>
            </w:pPr>
            <w:r>
              <w:rPr>
                <w:sz w:val="20"/>
              </w:rPr>
              <w:t>310.43</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8"/>
              <w:jc w:val="center"/>
              <w:rPr>
                <w:sz w:val="20"/>
              </w:rPr>
            </w:pPr>
            <w:r>
              <w:rPr>
                <w:sz w:val="20"/>
              </w:rPr>
              <w:t>37.2</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89" w:right="366"/>
              <w:jc w:val="center"/>
              <w:rPr>
                <w:sz w:val="20"/>
              </w:rPr>
            </w:pPr>
            <w:r>
              <w:rPr>
                <w:sz w:val="20"/>
              </w:rPr>
              <w:t>506.62</w:t>
            </w:r>
          </w:p>
        </w:tc>
        <w:tc>
          <w:tcPr>
            <w:tcW w:w="1455" w:type="dxa"/>
            <w:tcBorders>
              <w:top w:val="single" w:sz="4" w:space="0" w:color="000000"/>
              <w:left w:val="single" w:sz="4" w:space="0" w:color="000000"/>
              <w:bottom w:val="single" w:sz="4" w:space="0" w:color="000000"/>
              <w:right w:val="nil"/>
            </w:tcBorders>
          </w:tcPr>
          <w:p>
            <w:pPr>
              <w:pStyle w:val="TableParagraph"/>
              <w:spacing w:line="210" w:lineRule="exact"/>
              <w:ind w:left="193" w:right="174"/>
              <w:jc w:val="center"/>
              <w:rPr>
                <w:sz w:val="20"/>
              </w:rPr>
            </w:pPr>
            <w:r>
              <w:rPr>
                <w:sz w:val="20"/>
              </w:rPr>
              <w:t>32.8</w:t>
            </w:r>
          </w:p>
        </w:tc>
      </w:tr>
      <w:tr>
        <w:trPr>
          <w:trHeight w:val="230" w:hRule="atLeast"/>
        </w:trPr>
        <w:tc>
          <w:tcPr>
            <w:tcW w:w="1085" w:type="dxa"/>
            <w:tcBorders>
              <w:top w:val="single" w:sz="4" w:space="0" w:color="000000"/>
              <w:left w:val="nil"/>
              <w:bottom w:val="single" w:sz="4" w:space="0" w:color="000000"/>
              <w:right w:val="single" w:sz="4" w:space="0" w:color="000000"/>
            </w:tcBorders>
          </w:tcPr>
          <w:p>
            <w:pPr>
              <w:pStyle w:val="TableParagraph"/>
              <w:spacing w:line="210" w:lineRule="exact"/>
              <w:ind w:left="48"/>
              <w:jc w:val="center"/>
              <w:rPr>
                <w:sz w:val="20"/>
              </w:rPr>
            </w:pPr>
            <w:r>
              <w:rPr>
                <w:w w:val="100"/>
                <w:sz w:val="20"/>
              </w:rPr>
              <w:t>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05" w:right="378"/>
              <w:jc w:val="center"/>
              <w:rPr>
                <w:sz w:val="20"/>
              </w:rPr>
            </w:pPr>
            <w:r>
              <w:rPr>
                <w:sz w:val="20"/>
              </w:rPr>
              <w:t>261.47</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60" w:right="132"/>
              <w:jc w:val="center"/>
              <w:rPr>
                <w:sz w:val="20"/>
              </w:rPr>
            </w:pPr>
            <w:r>
              <w:rPr>
                <w:sz w:val="20"/>
              </w:rPr>
              <w:t>36.7</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284"/>
              <w:jc w:val="right"/>
              <w:rPr>
                <w:sz w:val="20"/>
              </w:rPr>
            </w:pPr>
            <w:r>
              <w:rPr>
                <w:sz w:val="20"/>
              </w:rPr>
              <w:t>292.20</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8"/>
              <w:jc w:val="center"/>
              <w:rPr>
                <w:sz w:val="20"/>
              </w:rPr>
            </w:pPr>
            <w:r>
              <w:rPr>
                <w:sz w:val="20"/>
              </w:rPr>
              <w:t>34.9</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89" w:right="366"/>
              <w:jc w:val="center"/>
              <w:rPr>
                <w:sz w:val="20"/>
              </w:rPr>
            </w:pPr>
            <w:r>
              <w:rPr>
                <w:sz w:val="20"/>
              </w:rPr>
              <w:t>553.67</w:t>
            </w:r>
          </w:p>
        </w:tc>
        <w:tc>
          <w:tcPr>
            <w:tcW w:w="1455" w:type="dxa"/>
            <w:tcBorders>
              <w:top w:val="single" w:sz="4" w:space="0" w:color="000000"/>
              <w:left w:val="single" w:sz="4" w:space="0" w:color="000000"/>
              <w:bottom w:val="single" w:sz="4" w:space="0" w:color="000000"/>
              <w:right w:val="nil"/>
            </w:tcBorders>
          </w:tcPr>
          <w:p>
            <w:pPr>
              <w:pStyle w:val="TableParagraph"/>
              <w:spacing w:line="210" w:lineRule="exact"/>
              <w:ind w:left="193" w:right="174"/>
              <w:jc w:val="center"/>
              <w:rPr>
                <w:sz w:val="20"/>
              </w:rPr>
            </w:pPr>
            <w:r>
              <w:rPr>
                <w:sz w:val="20"/>
              </w:rPr>
              <w:t>35.7</w:t>
            </w:r>
          </w:p>
        </w:tc>
      </w:tr>
      <w:tr>
        <w:trPr>
          <w:trHeight w:val="229" w:hRule="atLeast"/>
        </w:trPr>
        <w:tc>
          <w:tcPr>
            <w:tcW w:w="1085" w:type="dxa"/>
            <w:tcBorders>
              <w:top w:val="single" w:sz="4" w:space="0" w:color="000000"/>
              <w:left w:val="nil"/>
              <w:bottom w:val="single" w:sz="4" w:space="0" w:color="000000"/>
              <w:right w:val="single" w:sz="4" w:space="0" w:color="000000"/>
            </w:tcBorders>
          </w:tcPr>
          <w:p>
            <w:pPr>
              <w:pStyle w:val="TableParagraph"/>
              <w:spacing w:line="210" w:lineRule="exact"/>
              <w:ind w:left="48"/>
              <w:jc w:val="center"/>
              <w:rPr>
                <w:sz w:val="20"/>
              </w:rPr>
            </w:pPr>
            <w:r>
              <w:rPr>
                <w:w w:val="100"/>
                <w:sz w:val="20"/>
              </w:rPr>
              <w:t>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05" w:right="376"/>
              <w:jc w:val="center"/>
              <w:rPr>
                <w:sz w:val="20"/>
              </w:rPr>
            </w:pPr>
            <w:r>
              <w:rPr>
                <w:sz w:val="20"/>
              </w:rPr>
              <w:t>96.14</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60" w:right="132"/>
              <w:jc w:val="center"/>
              <w:rPr>
                <w:sz w:val="20"/>
              </w:rPr>
            </w:pPr>
            <w:r>
              <w:rPr>
                <w:sz w:val="20"/>
              </w:rPr>
              <w:t>13.5</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335"/>
              <w:jc w:val="right"/>
              <w:rPr>
                <w:sz w:val="20"/>
              </w:rPr>
            </w:pPr>
            <w:r>
              <w:rPr>
                <w:sz w:val="20"/>
              </w:rPr>
              <w:t>93.37</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8"/>
              <w:jc w:val="center"/>
              <w:rPr>
                <w:sz w:val="20"/>
              </w:rPr>
            </w:pPr>
            <w:r>
              <w:rPr>
                <w:sz w:val="20"/>
              </w:rPr>
              <w:t>11.2</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89" w:right="366"/>
              <w:jc w:val="center"/>
              <w:rPr>
                <w:sz w:val="20"/>
              </w:rPr>
            </w:pPr>
            <w:r>
              <w:rPr>
                <w:sz w:val="20"/>
              </w:rPr>
              <w:t>189.51</w:t>
            </w:r>
          </w:p>
        </w:tc>
        <w:tc>
          <w:tcPr>
            <w:tcW w:w="1455" w:type="dxa"/>
            <w:tcBorders>
              <w:top w:val="single" w:sz="4" w:space="0" w:color="000000"/>
              <w:left w:val="single" w:sz="4" w:space="0" w:color="000000"/>
              <w:bottom w:val="single" w:sz="4" w:space="0" w:color="000000"/>
              <w:right w:val="nil"/>
            </w:tcBorders>
          </w:tcPr>
          <w:p>
            <w:pPr>
              <w:pStyle w:val="TableParagraph"/>
              <w:spacing w:line="210" w:lineRule="exact"/>
              <w:ind w:left="193" w:right="174"/>
              <w:jc w:val="center"/>
              <w:rPr>
                <w:sz w:val="20"/>
              </w:rPr>
            </w:pPr>
            <w:r>
              <w:rPr>
                <w:sz w:val="20"/>
              </w:rPr>
              <w:t>12.2</w:t>
            </w:r>
          </w:p>
        </w:tc>
      </w:tr>
      <w:tr>
        <w:trPr>
          <w:trHeight w:val="230" w:hRule="atLeast"/>
        </w:trPr>
        <w:tc>
          <w:tcPr>
            <w:tcW w:w="1085" w:type="dxa"/>
            <w:tcBorders>
              <w:top w:val="single" w:sz="4" w:space="0" w:color="000000"/>
              <w:left w:val="nil"/>
              <w:bottom w:val="single" w:sz="4" w:space="0" w:color="000000"/>
              <w:right w:val="single" w:sz="4" w:space="0" w:color="000000"/>
            </w:tcBorders>
          </w:tcPr>
          <w:p>
            <w:pPr>
              <w:pStyle w:val="TableParagraph"/>
              <w:spacing w:line="210" w:lineRule="exact"/>
              <w:ind w:left="48"/>
              <w:jc w:val="center"/>
              <w:rPr>
                <w:sz w:val="20"/>
              </w:rPr>
            </w:pPr>
            <w:r>
              <w:rPr>
                <w:w w:val="100"/>
                <w:sz w:val="20"/>
              </w:rPr>
              <w:t>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05" w:right="376"/>
              <w:jc w:val="center"/>
              <w:rPr>
                <w:sz w:val="20"/>
              </w:rPr>
            </w:pPr>
            <w:r>
              <w:rPr>
                <w:sz w:val="20"/>
              </w:rPr>
              <w:t>84.89</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60" w:right="132"/>
              <w:jc w:val="center"/>
              <w:rPr>
                <w:sz w:val="20"/>
              </w:rPr>
            </w:pPr>
            <w:r>
              <w:rPr>
                <w:sz w:val="20"/>
              </w:rPr>
              <w:t>11.9</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335"/>
              <w:jc w:val="right"/>
              <w:rPr>
                <w:sz w:val="20"/>
              </w:rPr>
            </w:pPr>
            <w:r>
              <w:rPr>
                <w:sz w:val="20"/>
              </w:rPr>
              <w:t>93.02</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8"/>
              <w:jc w:val="center"/>
              <w:rPr>
                <w:sz w:val="20"/>
              </w:rPr>
            </w:pPr>
            <w:r>
              <w:rPr>
                <w:sz w:val="20"/>
              </w:rPr>
              <w:t>11.1</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89" w:right="366"/>
              <w:jc w:val="center"/>
              <w:rPr>
                <w:sz w:val="20"/>
              </w:rPr>
            </w:pPr>
            <w:r>
              <w:rPr>
                <w:sz w:val="20"/>
              </w:rPr>
              <w:t>177.91</w:t>
            </w:r>
          </w:p>
        </w:tc>
        <w:tc>
          <w:tcPr>
            <w:tcW w:w="1455" w:type="dxa"/>
            <w:tcBorders>
              <w:top w:val="single" w:sz="4" w:space="0" w:color="000000"/>
              <w:left w:val="single" w:sz="4" w:space="0" w:color="000000"/>
              <w:bottom w:val="single" w:sz="4" w:space="0" w:color="000000"/>
              <w:right w:val="nil"/>
            </w:tcBorders>
          </w:tcPr>
          <w:p>
            <w:pPr>
              <w:pStyle w:val="TableParagraph"/>
              <w:spacing w:line="210" w:lineRule="exact"/>
              <w:ind w:left="193" w:right="174"/>
              <w:jc w:val="center"/>
              <w:rPr>
                <w:sz w:val="20"/>
              </w:rPr>
            </w:pPr>
            <w:r>
              <w:rPr>
                <w:sz w:val="20"/>
              </w:rPr>
              <w:t>11.5</w:t>
            </w:r>
          </w:p>
        </w:tc>
      </w:tr>
      <w:tr>
        <w:trPr>
          <w:trHeight w:val="230" w:hRule="atLeast"/>
        </w:trPr>
        <w:tc>
          <w:tcPr>
            <w:tcW w:w="1085" w:type="dxa"/>
            <w:tcBorders>
              <w:top w:val="single" w:sz="4" w:space="0" w:color="000000"/>
              <w:left w:val="nil"/>
              <w:bottom w:val="single" w:sz="4" w:space="0" w:color="000000"/>
              <w:right w:val="single" w:sz="4" w:space="0" w:color="000000"/>
            </w:tcBorders>
          </w:tcPr>
          <w:p>
            <w:pPr>
              <w:pStyle w:val="TableParagraph"/>
              <w:spacing w:line="210" w:lineRule="exact"/>
              <w:ind w:left="48"/>
              <w:jc w:val="center"/>
              <w:rPr>
                <w:sz w:val="20"/>
              </w:rPr>
            </w:pPr>
            <w:r>
              <w:rPr>
                <w:w w:val="100"/>
                <w:sz w:val="20"/>
              </w:rPr>
              <w:t>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05" w:right="376"/>
              <w:jc w:val="center"/>
              <w:rPr>
                <w:sz w:val="20"/>
              </w:rPr>
            </w:pPr>
            <w:r>
              <w:rPr>
                <w:sz w:val="20"/>
              </w:rPr>
              <w:t>74.15</w:t>
            </w:r>
          </w:p>
        </w:tc>
        <w:tc>
          <w:tcPr>
            <w:tcW w:w="138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60" w:right="132"/>
              <w:jc w:val="center"/>
              <w:rPr>
                <w:sz w:val="20"/>
              </w:rPr>
            </w:pPr>
            <w:r>
              <w:rPr>
                <w:sz w:val="20"/>
              </w:rPr>
              <w:t>10.4</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335"/>
              <w:jc w:val="right"/>
              <w:rPr>
                <w:sz w:val="20"/>
              </w:rPr>
            </w:pPr>
            <w:r>
              <w:rPr>
                <w:sz w:val="20"/>
              </w:rPr>
              <w:t>47.22</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9"/>
              <w:jc w:val="center"/>
              <w:rPr>
                <w:sz w:val="20"/>
              </w:rPr>
            </w:pPr>
            <w:r>
              <w:rPr>
                <w:sz w:val="20"/>
              </w:rPr>
              <w:t>5.6</w:t>
            </w:r>
          </w:p>
        </w:tc>
        <w:tc>
          <w:tcPr>
            <w:tcW w:w="145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89" w:right="366"/>
              <w:jc w:val="center"/>
              <w:rPr>
                <w:sz w:val="20"/>
              </w:rPr>
            </w:pPr>
            <w:r>
              <w:rPr>
                <w:sz w:val="20"/>
              </w:rPr>
              <w:t>121.37</w:t>
            </w:r>
          </w:p>
        </w:tc>
        <w:tc>
          <w:tcPr>
            <w:tcW w:w="1455" w:type="dxa"/>
            <w:tcBorders>
              <w:top w:val="single" w:sz="4" w:space="0" w:color="000000"/>
              <w:left w:val="single" w:sz="4" w:space="0" w:color="000000"/>
              <w:bottom w:val="single" w:sz="4" w:space="0" w:color="000000"/>
              <w:right w:val="nil"/>
            </w:tcBorders>
          </w:tcPr>
          <w:p>
            <w:pPr>
              <w:pStyle w:val="TableParagraph"/>
              <w:spacing w:line="210" w:lineRule="exact"/>
              <w:ind w:left="193" w:right="175"/>
              <w:jc w:val="center"/>
              <w:rPr>
                <w:sz w:val="20"/>
              </w:rPr>
            </w:pPr>
            <w:r>
              <w:rPr>
                <w:sz w:val="20"/>
              </w:rPr>
              <w:t>7.8</w:t>
            </w:r>
          </w:p>
        </w:tc>
      </w:tr>
      <w:tr>
        <w:trPr>
          <w:trHeight w:val="230" w:hRule="atLeast"/>
        </w:trPr>
        <w:tc>
          <w:tcPr>
            <w:tcW w:w="1085" w:type="dxa"/>
            <w:tcBorders>
              <w:top w:val="single" w:sz="4" w:space="0" w:color="000000"/>
              <w:left w:val="nil"/>
              <w:right w:val="single" w:sz="4" w:space="0" w:color="000000"/>
            </w:tcBorders>
          </w:tcPr>
          <w:p>
            <w:pPr>
              <w:pStyle w:val="TableParagraph"/>
              <w:spacing w:line="210" w:lineRule="exact"/>
              <w:ind w:left="333" w:right="284"/>
              <w:jc w:val="center"/>
              <w:rPr>
                <w:sz w:val="20"/>
              </w:rPr>
            </w:pPr>
            <w:r>
              <w:rPr>
                <w:sz w:val="20"/>
              </w:rPr>
              <w:t>Total</w:t>
            </w:r>
          </w:p>
        </w:tc>
        <w:tc>
          <w:tcPr>
            <w:tcW w:w="1384" w:type="dxa"/>
            <w:tcBorders>
              <w:top w:val="single" w:sz="4" w:space="0" w:color="000000"/>
              <w:left w:val="single" w:sz="4" w:space="0" w:color="000000"/>
              <w:right w:val="single" w:sz="4" w:space="0" w:color="000000"/>
            </w:tcBorders>
          </w:tcPr>
          <w:p>
            <w:pPr>
              <w:pStyle w:val="TableParagraph"/>
              <w:spacing w:line="210" w:lineRule="exact"/>
              <w:ind w:left="405" w:right="378"/>
              <w:jc w:val="center"/>
              <w:rPr>
                <w:sz w:val="20"/>
              </w:rPr>
            </w:pPr>
            <w:r>
              <w:rPr>
                <w:sz w:val="20"/>
              </w:rPr>
              <w:t>712.84</w:t>
            </w:r>
          </w:p>
        </w:tc>
        <w:tc>
          <w:tcPr>
            <w:tcW w:w="1383" w:type="dxa"/>
            <w:tcBorders>
              <w:top w:val="single" w:sz="4" w:space="0" w:color="000000"/>
              <w:left w:val="single" w:sz="4" w:space="0" w:color="000000"/>
              <w:right w:val="single" w:sz="4" w:space="0" w:color="000000"/>
            </w:tcBorders>
          </w:tcPr>
          <w:p>
            <w:pPr>
              <w:pStyle w:val="TableParagraph"/>
              <w:spacing w:line="210" w:lineRule="exact"/>
              <w:ind w:left="160" w:right="132"/>
              <w:jc w:val="center"/>
              <w:rPr>
                <w:sz w:val="20"/>
              </w:rPr>
            </w:pPr>
            <w:r>
              <w:rPr>
                <w:sz w:val="20"/>
              </w:rPr>
              <w:t>100</w:t>
            </w:r>
          </w:p>
        </w:tc>
        <w:tc>
          <w:tcPr>
            <w:tcW w:w="1160" w:type="dxa"/>
            <w:tcBorders>
              <w:top w:val="single" w:sz="4" w:space="0" w:color="000000"/>
              <w:left w:val="single" w:sz="4" w:space="0" w:color="000000"/>
              <w:right w:val="single" w:sz="4" w:space="0" w:color="000000"/>
            </w:tcBorders>
          </w:tcPr>
          <w:p>
            <w:pPr>
              <w:pStyle w:val="TableParagraph"/>
              <w:spacing w:line="210" w:lineRule="exact"/>
              <w:ind w:right="284"/>
              <w:jc w:val="right"/>
              <w:rPr>
                <w:sz w:val="20"/>
              </w:rPr>
            </w:pPr>
            <w:r>
              <w:rPr>
                <w:sz w:val="20"/>
              </w:rPr>
              <w:t>836.24</w:t>
            </w:r>
          </w:p>
        </w:tc>
        <w:tc>
          <w:tcPr>
            <w:tcW w:w="1455" w:type="dxa"/>
            <w:tcBorders>
              <w:top w:val="single" w:sz="4" w:space="0" w:color="000000"/>
              <w:left w:val="single" w:sz="4" w:space="0" w:color="000000"/>
              <w:right w:val="single" w:sz="4" w:space="0" w:color="000000"/>
            </w:tcBorders>
          </w:tcPr>
          <w:p>
            <w:pPr>
              <w:pStyle w:val="TableParagraph"/>
              <w:spacing w:line="210" w:lineRule="exact"/>
              <w:ind w:left="194" w:right="169"/>
              <w:jc w:val="center"/>
              <w:rPr>
                <w:sz w:val="20"/>
              </w:rPr>
            </w:pPr>
            <w:r>
              <w:rPr>
                <w:sz w:val="20"/>
              </w:rPr>
              <w:t>100</w:t>
            </w:r>
          </w:p>
        </w:tc>
        <w:tc>
          <w:tcPr>
            <w:tcW w:w="1456" w:type="dxa"/>
            <w:tcBorders>
              <w:top w:val="single" w:sz="4" w:space="0" w:color="000000"/>
              <w:left w:val="single" w:sz="4" w:space="0" w:color="000000"/>
              <w:right w:val="single" w:sz="4" w:space="0" w:color="000000"/>
            </w:tcBorders>
          </w:tcPr>
          <w:p>
            <w:pPr>
              <w:pStyle w:val="TableParagraph"/>
              <w:spacing w:line="210" w:lineRule="exact"/>
              <w:ind w:left="390" w:right="366"/>
              <w:jc w:val="center"/>
              <w:rPr>
                <w:sz w:val="20"/>
              </w:rPr>
            </w:pPr>
            <w:r>
              <w:rPr>
                <w:sz w:val="20"/>
              </w:rPr>
              <w:t>1549.08</w:t>
            </w:r>
          </w:p>
        </w:tc>
        <w:tc>
          <w:tcPr>
            <w:tcW w:w="1455" w:type="dxa"/>
            <w:tcBorders>
              <w:top w:val="single" w:sz="4" w:space="0" w:color="000000"/>
              <w:left w:val="single" w:sz="4" w:space="0" w:color="000000"/>
              <w:right w:val="nil"/>
            </w:tcBorders>
          </w:tcPr>
          <w:p>
            <w:pPr>
              <w:pStyle w:val="TableParagraph"/>
              <w:spacing w:line="210" w:lineRule="exact"/>
              <w:ind w:left="193" w:right="175"/>
              <w:jc w:val="center"/>
              <w:rPr>
                <w:sz w:val="20"/>
              </w:rPr>
            </w:pPr>
            <w:r>
              <w:rPr>
                <w:sz w:val="20"/>
              </w:rPr>
              <w:t>100</w:t>
            </w:r>
          </w:p>
        </w:tc>
      </w:tr>
    </w:tbl>
    <w:p>
      <w:pPr>
        <w:pStyle w:val="BodyText"/>
        <w:rPr>
          <w:b/>
          <w:sz w:val="22"/>
        </w:rPr>
      </w:pPr>
    </w:p>
    <w:p>
      <w:pPr>
        <w:spacing w:before="142"/>
        <w:ind w:left="320" w:right="0" w:firstLine="0"/>
        <w:jc w:val="left"/>
        <w:rPr>
          <w:b/>
          <w:sz w:val="20"/>
        </w:rPr>
      </w:pPr>
      <w:bookmarkStart w:name="_bookmark14" w:id="110"/>
      <w:bookmarkEnd w:id="110"/>
      <w:r>
        <w:rPr/>
      </w:r>
      <w:r>
        <w:rPr>
          <w:b/>
          <w:sz w:val="20"/>
        </w:rPr>
        <w:t>Table 3.2: Summary of Potential Segments by ODOT Region, Number of Segments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96"/>
        <w:gridCol w:w="1074"/>
        <w:gridCol w:w="1381"/>
        <w:gridCol w:w="1159"/>
        <w:gridCol w:w="1454"/>
        <w:gridCol w:w="1455"/>
        <w:gridCol w:w="1454"/>
      </w:tblGrid>
      <w:tr>
        <w:trPr>
          <w:trHeight w:val="230" w:hRule="atLeast"/>
        </w:trPr>
        <w:tc>
          <w:tcPr>
            <w:tcW w:w="1396" w:type="dxa"/>
            <w:vMerge w:val="restart"/>
            <w:tcBorders>
              <w:left w:val="nil"/>
              <w:bottom w:val="single" w:sz="4" w:space="0" w:color="000000"/>
              <w:right w:val="single" w:sz="4" w:space="0" w:color="000000"/>
            </w:tcBorders>
          </w:tcPr>
          <w:p>
            <w:pPr>
              <w:pStyle w:val="TableParagraph"/>
              <w:spacing w:line="229" w:lineRule="exact"/>
              <w:ind w:left="426"/>
              <w:rPr>
                <w:b/>
                <w:sz w:val="20"/>
              </w:rPr>
            </w:pPr>
            <w:r>
              <w:rPr>
                <w:b/>
                <w:sz w:val="20"/>
              </w:rPr>
              <w:t>ODOT</w:t>
            </w:r>
          </w:p>
          <w:p>
            <w:pPr>
              <w:pStyle w:val="TableParagraph"/>
              <w:ind w:left="419"/>
              <w:rPr>
                <w:b/>
                <w:sz w:val="20"/>
              </w:rPr>
            </w:pPr>
            <w:r>
              <w:rPr>
                <w:b/>
                <w:sz w:val="20"/>
              </w:rPr>
              <w:t>Region</w:t>
            </w:r>
          </w:p>
        </w:tc>
        <w:tc>
          <w:tcPr>
            <w:tcW w:w="2455" w:type="dxa"/>
            <w:gridSpan w:val="2"/>
            <w:tcBorders>
              <w:left w:val="single" w:sz="4" w:space="0" w:color="000000"/>
              <w:bottom w:val="single" w:sz="4" w:space="0" w:color="000000"/>
              <w:right w:val="single" w:sz="4" w:space="0" w:color="000000"/>
            </w:tcBorders>
          </w:tcPr>
          <w:p>
            <w:pPr>
              <w:pStyle w:val="TableParagraph"/>
              <w:spacing w:line="210" w:lineRule="exact"/>
              <w:ind w:left="478"/>
              <w:rPr>
                <w:b/>
                <w:sz w:val="20"/>
              </w:rPr>
            </w:pPr>
            <w:r>
              <w:rPr>
                <w:b/>
                <w:sz w:val="20"/>
              </w:rPr>
              <w:t>Principal Arterial</w:t>
            </w:r>
          </w:p>
        </w:tc>
        <w:tc>
          <w:tcPr>
            <w:tcW w:w="2613" w:type="dxa"/>
            <w:gridSpan w:val="2"/>
            <w:tcBorders>
              <w:left w:val="single" w:sz="4" w:space="0" w:color="000000"/>
              <w:bottom w:val="single" w:sz="4" w:space="0" w:color="000000"/>
              <w:right w:val="single" w:sz="4" w:space="0" w:color="000000"/>
            </w:tcBorders>
          </w:tcPr>
          <w:p>
            <w:pPr>
              <w:pStyle w:val="TableParagraph"/>
              <w:spacing w:line="210" w:lineRule="exact"/>
              <w:ind w:left="682"/>
              <w:rPr>
                <w:b/>
                <w:sz w:val="20"/>
              </w:rPr>
            </w:pPr>
            <w:r>
              <w:rPr>
                <w:b/>
                <w:sz w:val="20"/>
              </w:rPr>
              <w:t>Minor Arterial</w:t>
            </w:r>
          </w:p>
        </w:tc>
        <w:tc>
          <w:tcPr>
            <w:tcW w:w="2909" w:type="dxa"/>
            <w:gridSpan w:val="2"/>
            <w:tcBorders>
              <w:left w:val="single" w:sz="4" w:space="0" w:color="000000"/>
              <w:bottom w:val="single" w:sz="4" w:space="0" w:color="000000"/>
              <w:right w:val="nil"/>
            </w:tcBorders>
          </w:tcPr>
          <w:p>
            <w:pPr>
              <w:pStyle w:val="TableParagraph"/>
              <w:spacing w:line="210" w:lineRule="exact"/>
              <w:ind w:left="1120" w:right="1093"/>
              <w:jc w:val="center"/>
              <w:rPr>
                <w:b/>
                <w:sz w:val="20"/>
              </w:rPr>
            </w:pPr>
            <w:r>
              <w:rPr>
                <w:b/>
                <w:sz w:val="20"/>
              </w:rPr>
              <w:t>Total</w:t>
            </w:r>
          </w:p>
        </w:tc>
      </w:tr>
      <w:tr>
        <w:trPr>
          <w:trHeight w:val="449" w:hRule="atLeast"/>
        </w:trPr>
        <w:tc>
          <w:tcPr>
            <w:tcW w:w="1396" w:type="dxa"/>
            <w:vMerge/>
            <w:tcBorders>
              <w:top w:val="nil"/>
              <w:left w:val="nil"/>
              <w:bottom w:val="single" w:sz="4" w:space="0" w:color="000000"/>
              <w:right w:val="single" w:sz="4" w:space="0" w:color="000000"/>
            </w:tcBorders>
          </w:tcPr>
          <w:p>
            <w:pPr>
              <w:rPr>
                <w:sz w:val="2"/>
                <w:szCs w:val="2"/>
              </w:rPr>
            </w:pP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before="119"/>
              <w:ind w:right="247"/>
              <w:jc w:val="right"/>
              <w:rPr>
                <w:b/>
                <w:sz w:val="20"/>
              </w:rPr>
            </w:pPr>
            <w:r>
              <w:rPr>
                <w:b/>
                <w:sz w:val="20"/>
              </w:rPr>
              <w:t>Count</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before="119"/>
              <w:ind w:left="159" w:right="132"/>
              <w:jc w:val="center"/>
              <w:rPr>
                <w:b/>
                <w:sz w:val="20"/>
              </w:rPr>
            </w:pPr>
            <w:r>
              <w:rPr>
                <w:b/>
                <w:sz w:val="20"/>
              </w:rPr>
              <w:t>Percent (%)</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before="119"/>
              <w:ind w:left="302" w:right="273"/>
              <w:jc w:val="center"/>
              <w:rPr>
                <w:b/>
                <w:sz w:val="20"/>
              </w:rPr>
            </w:pPr>
            <w:r>
              <w:rPr>
                <w:b/>
                <w:sz w:val="20"/>
              </w:rPr>
              <w:t>Count</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before="119"/>
              <w:ind w:left="197" w:right="168"/>
              <w:jc w:val="center"/>
              <w:rPr>
                <w:b/>
                <w:sz w:val="20"/>
              </w:rPr>
            </w:pPr>
            <w:r>
              <w:rPr>
                <w:b/>
                <w:sz w:val="20"/>
              </w:rPr>
              <w:t>Percent (%)</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before="119"/>
              <w:ind w:left="194" w:right="165"/>
              <w:jc w:val="center"/>
              <w:rPr>
                <w:b/>
                <w:sz w:val="20"/>
              </w:rPr>
            </w:pPr>
            <w:r>
              <w:rPr>
                <w:b/>
                <w:sz w:val="20"/>
              </w:rPr>
              <w:t>Count</w:t>
            </w:r>
          </w:p>
        </w:tc>
        <w:tc>
          <w:tcPr>
            <w:tcW w:w="1454" w:type="dxa"/>
            <w:tcBorders>
              <w:top w:val="single" w:sz="4" w:space="0" w:color="000000"/>
              <w:left w:val="single" w:sz="4" w:space="0" w:color="000000"/>
              <w:bottom w:val="single" w:sz="4" w:space="0" w:color="000000"/>
              <w:right w:val="nil"/>
            </w:tcBorders>
          </w:tcPr>
          <w:p>
            <w:pPr>
              <w:pStyle w:val="TableParagraph"/>
              <w:spacing w:before="119"/>
              <w:ind w:left="198" w:right="172"/>
              <w:jc w:val="center"/>
              <w:rPr>
                <w:b/>
                <w:sz w:val="20"/>
              </w:rPr>
            </w:pPr>
            <w:r>
              <w:rPr>
                <w:b/>
                <w:sz w:val="20"/>
              </w:rPr>
              <w:t>Percent (%)</w:t>
            </w:r>
          </w:p>
        </w:tc>
      </w:tr>
      <w:tr>
        <w:trPr>
          <w:trHeight w:val="230"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49"/>
              <w:jc w:val="center"/>
              <w:rPr>
                <w:sz w:val="20"/>
              </w:rPr>
            </w:pPr>
            <w:r>
              <w:rPr>
                <w:w w:val="100"/>
                <w:sz w:val="20"/>
              </w:rPr>
              <w:t>1</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75" w:right="348"/>
              <w:jc w:val="center"/>
              <w:rPr>
                <w:sz w:val="20"/>
              </w:rPr>
            </w:pPr>
            <w:r>
              <w:rPr>
                <w:sz w:val="20"/>
              </w:rPr>
              <w:t>757</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1"/>
              <w:jc w:val="center"/>
              <w:rPr>
                <w:sz w:val="20"/>
              </w:rPr>
            </w:pPr>
            <w:r>
              <w:rPr>
                <w:sz w:val="20"/>
              </w:rPr>
              <w:t>38.7</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1" w:right="273"/>
              <w:jc w:val="center"/>
              <w:rPr>
                <w:sz w:val="20"/>
              </w:rPr>
            </w:pPr>
            <w:r>
              <w:rPr>
                <w:sz w:val="20"/>
              </w:rPr>
              <w:t>2531</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6"/>
              <w:jc w:val="center"/>
              <w:rPr>
                <w:sz w:val="20"/>
              </w:rPr>
            </w:pPr>
            <w:r>
              <w:rPr>
                <w:sz w:val="20"/>
              </w:rPr>
              <w:t>37.8</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6"/>
              <w:jc w:val="center"/>
              <w:rPr>
                <w:sz w:val="20"/>
              </w:rPr>
            </w:pPr>
            <w:r>
              <w:rPr>
                <w:sz w:val="20"/>
              </w:rPr>
              <w:t>3288</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0"/>
              <w:jc w:val="center"/>
              <w:rPr>
                <w:sz w:val="20"/>
              </w:rPr>
            </w:pPr>
            <w:r>
              <w:rPr>
                <w:sz w:val="20"/>
              </w:rPr>
              <w:t>38.0</w:t>
            </w:r>
          </w:p>
        </w:tc>
      </w:tr>
      <w:tr>
        <w:trPr>
          <w:trHeight w:val="230"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49"/>
              <w:jc w:val="center"/>
              <w:rPr>
                <w:sz w:val="20"/>
              </w:rPr>
            </w:pPr>
            <w:r>
              <w:rPr>
                <w:w w:val="100"/>
                <w:sz w:val="20"/>
              </w:rPr>
              <w:t>2</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75" w:right="348"/>
              <w:jc w:val="center"/>
              <w:rPr>
                <w:sz w:val="20"/>
              </w:rPr>
            </w:pPr>
            <w:r>
              <w:rPr>
                <w:sz w:val="20"/>
              </w:rPr>
              <w:t>700</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1"/>
              <w:jc w:val="center"/>
              <w:rPr>
                <w:sz w:val="20"/>
              </w:rPr>
            </w:pPr>
            <w:r>
              <w:rPr>
                <w:sz w:val="20"/>
              </w:rPr>
              <w:t>35.7</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1" w:right="273"/>
              <w:jc w:val="center"/>
              <w:rPr>
                <w:sz w:val="20"/>
              </w:rPr>
            </w:pPr>
            <w:r>
              <w:rPr>
                <w:sz w:val="20"/>
              </w:rPr>
              <w:t>2326</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6"/>
              <w:jc w:val="center"/>
              <w:rPr>
                <w:sz w:val="20"/>
              </w:rPr>
            </w:pPr>
            <w:r>
              <w:rPr>
                <w:sz w:val="20"/>
              </w:rPr>
              <w:t>34.9</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6"/>
              <w:jc w:val="center"/>
              <w:rPr>
                <w:sz w:val="20"/>
              </w:rPr>
            </w:pPr>
            <w:r>
              <w:rPr>
                <w:sz w:val="20"/>
              </w:rPr>
              <w:t>3026</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0"/>
              <w:jc w:val="center"/>
              <w:rPr>
                <w:sz w:val="20"/>
              </w:rPr>
            </w:pPr>
            <w:r>
              <w:rPr>
                <w:sz w:val="20"/>
              </w:rPr>
              <w:t>35.0</w:t>
            </w:r>
          </w:p>
        </w:tc>
      </w:tr>
      <w:tr>
        <w:trPr>
          <w:trHeight w:val="229"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49"/>
              <w:jc w:val="center"/>
              <w:rPr>
                <w:sz w:val="20"/>
              </w:rPr>
            </w:pPr>
            <w:r>
              <w:rPr>
                <w:w w:val="100"/>
                <w:sz w:val="20"/>
              </w:rPr>
              <w:t>3</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75" w:right="348"/>
              <w:jc w:val="center"/>
              <w:rPr>
                <w:sz w:val="20"/>
              </w:rPr>
            </w:pPr>
            <w:r>
              <w:rPr>
                <w:sz w:val="20"/>
              </w:rPr>
              <w:t>233</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0"/>
              <w:jc w:val="center"/>
              <w:rPr>
                <w:sz w:val="20"/>
              </w:rPr>
            </w:pPr>
            <w:r>
              <w:rPr>
                <w:sz w:val="20"/>
              </w:rPr>
              <w:t>11.9</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2" w:right="273"/>
              <w:jc w:val="center"/>
              <w:rPr>
                <w:sz w:val="20"/>
              </w:rPr>
            </w:pPr>
            <w:r>
              <w:rPr>
                <w:sz w:val="20"/>
              </w:rPr>
              <w:t>778</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8"/>
              <w:jc w:val="center"/>
              <w:rPr>
                <w:sz w:val="20"/>
              </w:rPr>
            </w:pPr>
            <w:r>
              <w:rPr>
                <w:sz w:val="20"/>
              </w:rPr>
              <w:t>11.6</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2" w:right="171"/>
              <w:jc w:val="center"/>
              <w:rPr>
                <w:sz w:val="20"/>
              </w:rPr>
            </w:pPr>
            <w:r>
              <w:rPr>
                <w:sz w:val="20"/>
              </w:rPr>
              <w:t>1011</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2"/>
              <w:jc w:val="center"/>
              <w:rPr>
                <w:sz w:val="20"/>
              </w:rPr>
            </w:pPr>
            <w:r>
              <w:rPr>
                <w:sz w:val="20"/>
              </w:rPr>
              <w:t>11.7</w:t>
            </w:r>
          </w:p>
        </w:tc>
      </w:tr>
      <w:tr>
        <w:trPr>
          <w:trHeight w:val="230"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49"/>
              <w:jc w:val="center"/>
              <w:rPr>
                <w:sz w:val="20"/>
              </w:rPr>
            </w:pPr>
            <w:r>
              <w:rPr>
                <w:w w:val="100"/>
                <w:sz w:val="20"/>
              </w:rPr>
              <w:t>4</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75" w:right="348"/>
              <w:jc w:val="center"/>
              <w:rPr>
                <w:sz w:val="20"/>
              </w:rPr>
            </w:pPr>
            <w:r>
              <w:rPr>
                <w:sz w:val="20"/>
              </w:rPr>
              <w:t>196</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1"/>
              <w:jc w:val="center"/>
              <w:rPr>
                <w:sz w:val="20"/>
              </w:rPr>
            </w:pPr>
            <w:r>
              <w:rPr>
                <w:sz w:val="20"/>
              </w:rPr>
              <w:t>10.0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2" w:right="273"/>
              <w:jc w:val="center"/>
              <w:rPr>
                <w:sz w:val="20"/>
              </w:rPr>
            </w:pPr>
            <w:r>
              <w:rPr>
                <w:sz w:val="20"/>
              </w:rPr>
              <w:t>712</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6"/>
              <w:jc w:val="center"/>
              <w:rPr>
                <w:sz w:val="20"/>
              </w:rPr>
            </w:pPr>
            <w:r>
              <w:rPr>
                <w:sz w:val="20"/>
              </w:rPr>
              <w:t>10.6</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4"/>
              <w:jc w:val="center"/>
              <w:rPr>
                <w:sz w:val="20"/>
              </w:rPr>
            </w:pPr>
            <w:r>
              <w:rPr>
                <w:sz w:val="20"/>
              </w:rPr>
              <w:t>908</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0"/>
              <w:jc w:val="center"/>
              <w:rPr>
                <w:sz w:val="20"/>
              </w:rPr>
            </w:pPr>
            <w:r>
              <w:rPr>
                <w:sz w:val="20"/>
              </w:rPr>
              <w:t>10.5</w:t>
            </w:r>
          </w:p>
        </w:tc>
      </w:tr>
      <w:tr>
        <w:trPr>
          <w:trHeight w:val="230"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49"/>
              <w:jc w:val="center"/>
              <w:rPr>
                <w:sz w:val="20"/>
              </w:rPr>
            </w:pPr>
            <w:r>
              <w:rPr>
                <w:w w:val="100"/>
                <w:sz w:val="20"/>
              </w:rPr>
              <w:t>5</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75" w:right="345"/>
              <w:jc w:val="center"/>
              <w:rPr>
                <w:sz w:val="20"/>
              </w:rPr>
            </w:pPr>
            <w:r>
              <w:rPr>
                <w:sz w:val="20"/>
              </w:rPr>
              <w:t>73</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1"/>
              <w:jc w:val="center"/>
              <w:rPr>
                <w:sz w:val="20"/>
              </w:rPr>
            </w:pPr>
            <w:r>
              <w:rPr>
                <w:sz w:val="20"/>
              </w:rPr>
              <w:t>3.7</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2" w:right="273"/>
              <w:jc w:val="center"/>
              <w:rPr>
                <w:sz w:val="20"/>
              </w:rPr>
            </w:pPr>
            <w:r>
              <w:rPr>
                <w:sz w:val="20"/>
              </w:rPr>
              <w:t>343</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7"/>
              <w:jc w:val="center"/>
              <w:rPr>
                <w:sz w:val="20"/>
              </w:rPr>
            </w:pPr>
            <w:r>
              <w:rPr>
                <w:sz w:val="20"/>
              </w:rPr>
              <w:t>5.1</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4"/>
              <w:jc w:val="center"/>
              <w:rPr>
                <w:sz w:val="20"/>
              </w:rPr>
            </w:pPr>
            <w:r>
              <w:rPr>
                <w:sz w:val="20"/>
              </w:rPr>
              <w:t>416</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1"/>
              <w:jc w:val="center"/>
              <w:rPr>
                <w:sz w:val="20"/>
              </w:rPr>
            </w:pPr>
            <w:r>
              <w:rPr>
                <w:sz w:val="20"/>
              </w:rPr>
              <w:t>4.8</w:t>
            </w:r>
          </w:p>
        </w:tc>
      </w:tr>
      <w:tr>
        <w:trPr>
          <w:trHeight w:val="229" w:hRule="atLeast"/>
        </w:trPr>
        <w:tc>
          <w:tcPr>
            <w:tcW w:w="1396" w:type="dxa"/>
            <w:tcBorders>
              <w:top w:val="single" w:sz="4" w:space="0" w:color="000000"/>
              <w:left w:val="nil"/>
              <w:bottom w:val="single" w:sz="4" w:space="0" w:color="000000"/>
              <w:right w:val="single" w:sz="4" w:space="0" w:color="000000"/>
            </w:tcBorders>
          </w:tcPr>
          <w:p>
            <w:pPr>
              <w:pStyle w:val="TableParagraph"/>
              <w:spacing w:line="210" w:lineRule="exact"/>
              <w:ind w:left="111" w:right="63"/>
              <w:jc w:val="center"/>
              <w:rPr>
                <w:sz w:val="20"/>
              </w:rPr>
            </w:pPr>
            <w:r>
              <w:rPr>
                <w:sz w:val="20"/>
              </w:rPr>
              <w:t>Total</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315"/>
              <w:jc w:val="right"/>
              <w:rPr>
                <w:sz w:val="20"/>
              </w:rPr>
            </w:pPr>
            <w:r>
              <w:rPr>
                <w:sz w:val="20"/>
              </w:rPr>
              <w:t>1959</w:t>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59" w:right="131"/>
              <w:jc w:val="center"/>
              <w:rPr>
                <w:sz w:val="20"/>
              </w:rPr>
            </w:pPr>
            <w:r>
              <w:rPr>
                <w:sz w:val="20"/>
              </w:rPr>
              <w:t>100</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1" w:right="273"/>
              <w:jc w:val="center"/>
              <w:rPr>
                <w:sz w:val="20"/>
              </w:rPr>
            </w:pPr>
            <w:r>
              <w:rPr>
                <w:sz w:val="20"/>
              </w:rPr>
              <w:t>6690</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7" w:right="167"/>
              <w:jc w:val="center"/>
              <w:rPr>
                <w:sz w:val="20"/>
              </w:rPr>
            </w:pPr>
            <w:r>
              <w:rPr>
                <w:sz w:val="20"/>
              </w:rPr>
              <w:t>100</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94" w:right="166"/>
              <w:jc w:val="center"/>
              <w:rPr>
                <w:sz w:val="20"/>
              </w:rPr>
            </w:pPr>
            <w:r>
              <w:rPr>
                <w:sz w:val="20"/>
              </w:rPr>
              <w:t>8649</w:t>
            </w:r>
          </w:p>
        </w:tc>
        <w:tc>
          <w:tcPr>
            <w:tcW w:w="1454" w:type="dxa"/>
            <w:tcBorders>
              <w:top w:val="single" w:sz="4" w:space="0" w:color="000000"/>
              <w:left w:val="single" w:sz="4" w:space="0" w:color="000000"/>
              <w:bottom w:val="single" w:sz="4" w:space="0" w:color="000000"/>
              <w:right w:val="nil"/>
            </w:tcBorders>
          </w:tcPr>
          <w:p>
            <w:pPr>
              <w:pStyle w:val="TableParagraph"/>
              <w:spacing w:line="210" w:lineRule="exact"/>
              <w:ind w:left="198" w:right="171"/>
              <w:jc w:val="center"/>
              <w:rPr>
                <w:sz w:val="20"/>
              </w:rPr>
            </w:pPr>
            <w:r>
              <w:rPr>
                <w:sz w:val="20"/>
              </w:rPr>
              <w:t>100</w:t>
            </w:r>
          </w:p>
        </w:tc>
      </w:tr>
      <w:tr>
        <w:trPr>
          <w:trHeight w:val="230" w:hRule="atLeast"/>
        </w:trPr>
        <w:tc>
          <w:tcPr>
            <w:tcW w:w="1396" w:type="dxa"/>
            <w:tcBorders>
              <w:top w:val="single" w:sz="4" w:space="0" w:color="000000"/>
              <w:left w:val="nil"/>
              <w:right w:val="single" w:sz="4" w:space="0" w:color="000000"/>
            </w:tcBorders>
          </w:tcPr>
          <w:p>
            <w:pPr>
              <w:pStyle w:val="TableParagraph"/>
              <w:spacing w:line="210" w:lineRule="exact"/>
              <w:ind w:left="111" w:right="111"/>
              <w:jc w:val="center"/>
              <w:rPr>
                <w:sz w:val="20"/>
              </w:rPr>
            </w:pPr>
            <w:r>
              <w:rPr>
                <w:sz w:val="20"/>
              </w:rPr>
              <w:t>Total Mileage</w:t>
            </w:r>
          </w:p>
        </w:tc>
        <w:tc>
          <w:tcPr>
            <w:tcW w:w="2455" w:type="dxa"/>
            <w:gridSpan w:val="2"/>
            <w:tcBorders>
              <w:top w:val="single" w:sz="4" w:space="0" w:color="000000"/>
              <w:left w:val="single" w:sz="4" w:space="0" w:color="000000"/>
              <w:right w:val="single" w:sz="4" w:space="0" w:color="000000"/>
            </w:tcBorders>
          </w:tcPr>
          <w:p>
            <w:pPr>
              <w:pStyle w:val="TableParagraph"/>
              <w:spacing w:line="210" w:lineRule="exact"/>
              <w:ind w:left="942" w:right="913"/>
              <w:jc w:val="center"/>
              <w:rPr>
                <w:sz w:val="20"/>
              </w:rPr>
            </w:pPr>
            <w:r>
              <w:rPr>
                <w:sz w:val="20"/>
              </w:rPr>
              <w:t>712.84</w:t>
            </w:r>
          </w:p>
        </w:tc>
        <w:tc>
          <w:tcPr>
            <w:tcW w:w="2613" w:type="dxa"/>
            <w:gridSpan w:val="2"/>
            <w:tcBorders>
              <w:top w:val="single" w:sz="4" w:space="0" w:color="000000"/>
              <w:left w:val="single" w:sz="4" w:space="0" w:color="000000"/>
              <w:right w:val="single" w:sz="4" w:space="0" w:color="000000"/>
            </w:tcBorders>
          </w:tcPr>
          <w:p>
            <w:pPr>
              <w:pStyle w:val="TableParagraph"/>
              <w:spacing w:line="210" w:lineRule="exact"/>
              <w:ind w:left="1021" w:right="991"/>
              <w:jc w:val="center"/>
              <w:rPr>
                <w:sz w:val="20"/>
              </w:rPr>
            </w:pPr>
            <w:r>
              <w:rPr>
                <w:sz w:val="20"/>
              </w:rPr>
              <w:t>836.24</w:t>
            </w:r>
          </w:p>
        </w:tc>
        <w:tc>
          <w:tcPr>
            <w:tcW w:w="2909" w:type="dxa"/>
            <w:gridSpan w:val="2"/>
            <w:tcBorders>
              <w:top w:val="single" w:sz="4" w:space="0" w:color="000000"/>
              <w:left w:val="single" w:sz="4" w:space="0" w:color="000000"/>
              <w:right w:val="nil"/>
            </w:tcBorders>
          </w:tcPr>
          <w:p>
            <w:pPr>
              <w:pStyle w:val="TableParagraph"/>
              <w:spacing w:line="210" w:lineRule="exact"/>
              <w:ind w:left="1120" w:right="1094"/>
              <w:jc w:val="center"/>
              <w:rPr>
                <w:sz w:val="20"/>
              </w:rPr>
            </w:pPr>
            <w:r>
              <w:rPr>
                <w:sz w:val="20"/>
              </w:rPr>
              <w:t>1549.08</w:t>
            </w:r>
          </w:p>
        </w:tc>
      </w:tr>
    </w:tbl>
    <w:p>
      <w:pPr>
        <w:pStyle w:val="BodyText"/>
        <w:rPr>
          <w:b/>
          <w:sz w:val="22"/>
        </w:rPr>
      </w:pPr>
    </w:p>
    <w:p>
      <w:pPr>
        <w:spacing w:before="142"/>
        <w:ind w:left="320" w:right="0" w:firstLine="0"/>
        <w:jc w:val="left"/>
        <w:rPr>
          <w:b/>
          <w:sz w:val="20"/>
        </w:rPr>
      </w:pPr>
      <w:bookmarkStart w:name="_bookmark15" w:id="111"/>
      <w:bookmarkEnd w:id="111"/>
      <w:r>
        <w:rPr/>
      </w:r>
      <w:r>
        <w:rPr>
          <w:b/>
          <w:sz w:val="20"/>
        </w:rPr>
        <w:t>Table 3.3: Maximum, Minimum and Average Length (Mile) of Segments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76"/>
        <w:gridCol w:w="996"/>
        <w:gridCol w:w="1103"/>
        <w:gridCol w:w="1417"/>
        <w:gridCol w:w="1103"/>
        <w:gridCol w:w="1103"/>
        <w:gridCol w:w="1104"/>
        <w:gridCol w:w="1472"/>
      </w:tblGrid>
      <w:tr>
        <w:trPr>
          <w:trHeight w:val="230" w:hRule="atLeast"/>
        </w:trPr>
        <w:tc>
          <w:tcPr>
            <w:tcW w:w="1076" w:type="dxa"/>
            <w:vMerge w:val="restart"/>
            <w:tcBorders>
              <w:left w:val="nil"/>
              <w:bottom w:val="single" w:sz="4" w:space="0" w:color="000000"/>
              <w:right w:val="single" w:sz="4" w:space="0" w:color="000000"/>
            </w:tcBorders>
          </w:tcPr>
          <w:p>
            <w:pPr>
              <w:pStyle w:val="TableParagraph"/>
              <w:spacing w:before="13"/>
              <w:ind w:left="267"/>
              <w:rPr>
                <w:b/>
                <w:sz w:val="20"/>
              </w:rPr>
            </w:pPr>
            <w:r>
              <w:rPr>
                <w:b/>
                <w:sz w:val="20"/>
              </w:rPr>
              <w:t>ODOT</w:t>
            </w:r>
          </w:p>
          <w:p>
            <w:pPr>
              <w:pStyle w:val="TableParagraph"/>
              <w:spacing w:line="225" w:lineRule="exact" w:before="1"/>
              <w:ind w:left="259"/>
              <w:rPr>
                <w:b/>
                <w:sz w:val="20"/>
              </w:rPr>
            </w:pPr>
            <w:r>
              <w:rPr>
                <w:b/>
                <w:sz w:val="20"/>
              </w:rPr>
              <w:t>Region</w:t>
            </w:r>
          </w:p>
        </w:tc>
        <w:tc>
          <w:tcPr>
            <w:tcW w:w="3516" w:type="dxa"/>
            <w:gridSpan w:val="3"/>
            <w:tcBorders>
              <w:left w:val="single" w:sz="4" w:space="0" w:color="000000"/>
              <w:bottom w:val="single" w:sz="4" w:space="0" w:color="000000"/>
              <w:right w:val="single" w:sz="4" w:space="0" w:color="000000"/>
            </w:tcBorders>
          </w:tcPr>
          <w:p>
            <w:pPr>
              <w:pStyle w:val="TableParagraph"/>
              <w:spacing w:line="210" w:lineRule="exact"/>
              <w:ind w:left="1010"/>
              <w:rPr>
                <w:b/>
                <w:sz w:val="20"/>
              </w:rPr>
            </w:pPr>
            <w:r>
              <w:rPr>
                <w:b/>
                <w:sz w:val="20"/>
              </w:rPr>
              <w:t>Principal Arterial</w:t>
            </w:r>
          </w:p>
        </w:tc>
        <w:tc>
          <w:tcPr>
            <w:tcW w:w="3310" w:type="dxa"/>
            <w:gridSpan w:val="3"/>
            <w:tcBorders>
              <w:left w:val="single" w:sz="4" w:space="0" w:color="000000"/>
              <w:bottom w:val="single" w:sz="4" w:space="0" w:color="000000"/>
              <w:right w:val="single" w:sz="4" w:space="0" w:color="000000"/>
            </w:tcBorders>
          </w:tcPr>
          <w:p>
            <w:pPr>
              <w:pStyle w:val="TableParagraph"/>
              <w:spacing w:line="210" w:lineRule="exact"/>
              <w:ind w:left="1030"/>
              <w:rPr>
                <w:b/>
                <w:sz w:val="20"/>
              </w:rPr>
            </w:pPr>
            <w:r>
              <w:rPr>
                <w:b/>
                <w:sz w:val="20"/>
              </w:rPr>
              <w:t>Minor Arterial</w:t>
            </w:r>
          </w:p>
        </w:tc>
        <w:tc>
          <w:tcPr>
            <w:tcW w:w="1472" w:type="dxa"/>
            <w:vMerge w:val="restart"/>
            <w:tcBorders>
              <w:left w:val="single" w:sz="4" w:space="0" w:color="000000"/>
              <w:bottom w:val="single" w:sz="4" w:space="0" w:color="000000"/>
              <w:right w:val="nil"/>
            </w:tcBorders>
          </w:tcPr>
          <w:p>
            <w:pPr>
              <w:pStyle w:val="TableParagraph"/>
              <w:spacing w:line="230" w:lineRule="atLeast" w:before="13"/>
              <w:ind w:left="473" w:hanging="77"/>
              <w:rPr>
                <w:b/>
                <w:sz w:val="20"/>
              </w:rPr>
            </w:pPr>
            <w:r>
              <w:rPr>
                <w:b/>
                <w:sz w:val="20"/>
              </w:rPr>
              <w:t>Average (Both)</w:t>
            </w:r>
          </w:p>
        </w:tc>
      </w:tr>
      <w:tr>
        <w:trPr>
          <w:trHeight w:val="249" w:hRule="atLeast"/>
        </w:trPr>
        <w:tc>
          <w:tcPr>
            <w:tcW w:w="1076" w:type="dxa"/>
            <w:vMerge/>
            <w:tcBorders>
              <w:top w:val="nil"/>
              <w:left w:val="nil"/>
              <w:bottom w:val="single" w:sz="4" w:space="0" w:color="000000"/>
              <w:right w:val="single" w:sz="4" w:space="0" w:color="000000"/>
            </w:tcBorders>
          </w:tcPr>
          <w:p>
            <w:pPr>
              <w:rPr>
                <w:sz w:val="2"/>
                <w:szCs w:val="2"/>
              </w:rPr>
            </w:pP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314"/>
              <w:rPr>
                <w:b/>
                <w:sz w:val="20"/>
              </w:rPr>
            </w:pPr>
            <w:r>
              <w:rPr>
                <w:b/>
                <w:sz w:val="20"/>
              </w:rPr>
              <w:t>Max</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363" w:right="333"/>
              <w:jc w:val="center"/>
              <w:rPr>
                <w:b/>
                <w:sz w:val="20"/>
              </w:rPr>
            </w:pPr>
            <w:r>
              <w:rPr>
                <w:b/>
                <w:sz w:val="20"/>
              </w:rPr>
              <w:t>Min</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343" w:right="313"/>
              <w:jc w:val="center"/>
              <w:rPr>
                <w:b/>
                <w:sz w:val="20"/>
              </w:rPr>
            </w:pPr>
            <w:r>
              <w:rPr>
                <w:b/>
                <w:sz w:val="20"/>
              </w:rPr>
              <w:t>Average</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366"/>
              <w:rPr>
                <w:b/>
                <w:sz w:val="20"/>
              </w:rPr>
            </w:pPr>
            <w:r>
              <w:rPr>
                <w:b/>
                <w:sz w:val="20"/>
              </w:rPr>
              <w:t>Max</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362" w:right="333"/>
              <w:jc w:val="center"/>
              <w:rPr>
                <w:b/>
                <w:sz w:val="20"/>
              </w:rPr>
            </w:pPr>
            <w:r>
              <w:rPr>
                <w:b/>
                <w:sz w:val="20"/>
              </w:rPr>
              <w:t>Min</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before="19"/>
              <w:ind w:left="187" w:right="156"/>
              <w:jc w:val="center"/>
              <w:rPr>
                <w:b/>
                <w:sz w:val="20"/>
              </w:rPr>
            </w:pPr>
            <w:r>
              <w:rPr>
                <w:b/>
                <w:sz w:val="20"/>
              </w:rPr>
              <w:t>Average</w:t>
            </w:r>
          </w:p>
        </w:tc>
        <w:tc>
          <w:tcPr>
            <w:tcW w:w="1472" w:type="dxa"/>
            <w:vMerge/>
            <w:tcBorders>
              <w:top w:val="nil"/>
              <w:left w:val="single" w:sz="4" w:space="0" w:color="000000"/>
              <w:bottom w:val="single" w:sz="4" w:space="0" w:color="000000"/>
              <w:right w:val="nil"/>
            </w:tcBorders>
          </w:tcPr>
          <w:p>
            <w:pPr>
              <w:rPr>
                <w:sz w:val="2"/>
                <w:szCs w:val="2"/>
              </w:rPr>
            </w:pPr>
          </w:p>
        </w:tc>
      </w:tr>
      <w:tr>
        <w:trPr>
          <w:trHeight w:val="229" w:hRule="atLeast"/>
        </w:trPr>
        <w:tc>
          <w:tcPr>
            <w:tcW w:w="1076" w:type="dxa"/>
            <w:tcBorders>
              <w:top w:val="single" w:sz="4" w:space="0" w:color="000000"/>
              <w:left w:val="nil"/>
              <w:bottom w:val="single" w:sz="4" w:space="0" w:color="000000"/>
              <w:right w:val="single" w:sz="4" w:space="0" w:color="000000"/>
            </w:tcBorders>
          </w:tcPr>
          <w:p>
            <w:pPr>
              <w:pStyle w:val="TableParagraph"/>
              <w:spacing w:line="210" w:lineRule="exact"/>
              <w:ind w:right="458"/>
              <w:jc w:val="right"/>
              <w:rPr>
                <w:sz w:val="20"/>
              </w:rPr>
            </w:pPr>
            <w:r>
              <w:rPr>
                <w:w w:val="100"/>
                <w:sz w:val="20"/>
              </w:rPr>
              <w:t>1</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86"/>
              <w:rPr>
                <w:sz w:val="20"/>
              </w:rPr>
            </w:pPr>
            <w:r>
              <w:rPr>
                <w:sz w:val="20"/>
              </w:rPr>
              <w:t>16.11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63" w:right="333"/>
              <w:jc w:val="center"/>
              <w:rPr>
                <w:sz w:val="20"/>
              </w:rPr>
            </w:pPr>
            <w:r>
              <w:rPr>
                <w:sz w:val="20"/>
              </w:rPr>
              <w:t>0.05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43" w:right="313"/>
              <w:jc w:val="center"/>
              <w:rPr>
                <w:sz w:val="20"/>
              </w:rPr>
            </w:pPr>
            <w:r>
              <w:rPr>
                <w:sz w:val="20"/>
              </w:rPr>
              <w:t>0.26</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90"/>
              <w:rPr>
                <w:sz w:val="20"/>
              </w:rPr>
            </w:pPr>
            <w:r>
              <w:rPr>
                <w:sz w:val="20"/>
              </w:rPr>
              <w:t>6.11</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63" w:right="333"/>
              <w:jc w:val="center"/>
              <w:rPr>
                <w:sz w:val="20"/>
              </w:rPr>
            </w:pPr>
            <w:r>
              <w:rPr>
                <w:sz w:val="20"/>
              </w:rPr>
              <w:t>0.05</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87" w:right="156"/>
              <w:jc w:val="center"/>
              <w:rPr>
                <w:sz w:val="20"/>
              </w:rPr>
            </w:pPr>
            <w:r>
              <w:rPr>
                <w:sz w:val="20"/>
              </w:rPr>
              <w:t>0.12</w:t>
            </w:r>
          </w:p>
        </w:tc>
        <w:tc>
          <w:tcPr>
            <w:tcW w:w="1472" w:type="dxa"/>
            <w:tcBorders>
              <w:top w:val="single" w:sz="4" w:space="0" w:color="000000"/>
              <w:left w:val="single" w:sz="4" w:space="0" w:color="000000"/>
              <w:bottom w:val="single" w:sz="4" w:space="0" w:color="000000"/>
              <w:right w:val="nil"/>
            </w:tcBorders>
          </w:tcPr>
          <w:p>
            <w:pPr>
              <w:pStyle w:val="TableParagraph"/>
              <w:spacing w:line="210" w:lineRule="exact"/>
              <w:ind w:left="551" w:right="526"/>
              <w:jc w:val="center"/>
              <w:rPr>
                <w:sz w:val="20"/>
              </w:rPr>
            </w:pPr>
            <w:r>
              <w:rPr>
                <w:sz w:val="20"/>
              </w:rPr>
              <w:t>0.15</w:t>
            </w:r>
          </w:p>
        </w:tc>
      </w:tr>
      <w:tr>
        <w:trPr>
          <w:trHeight w:val="231" w:hRule="atLeast"/>
        </w:trPr>
        <w:tc>
          <w:tcPr>
            <w:tcW w:w="1076" w:type="dxa"/>
            <w:tcBorders>
              <w:top w:val="single" w:sz="4" w:space="0" w:color="000000"/>
              <w:left w:val="nil"/>
              <w:bottom w:val="single" w:sz="4" w:space="0" w:color="000000"/>
              <w:right w:val="single" w:sz="4" w:space="0" w:color="000000"/>
            </w:tcBorders>
          </w:tcPr>
          <w:p>
            <w:pPr>
              <w:pStyle w:val="TableParagraph"/>
              <w:spacing w:line="211" w:lineRule="exact"/>
              <w:ind w:right="458"/>
              <w:jc w:val="right"/>
              <w:rPr>
                <w:sz w:val="20"/>
              </w:rPr>
            </w:pPr>
            <w:r>
              <w:rPr>
                <w:w w:val="100"/>
                <w:sz w:val="20"/>
              </w:rPr>
              <w:t>2</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333"/>
              <w:rPr>
                <w:sz w:val="20"/>
              </w:rPr>
            </w:pPr>
            <w:r>
              <w:rPr>
                <w:sz w:val="20"/>
              </w:rPr>
              <w:t>9.88</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363" w:right="333"/>
              <w:jc w:val="center"/>
              <w:rPr>
                <w:sz w:val="20"/>
              </w:rPr>
            </w:pPr>
            <w:r>
              <w:rPr>
                <w:sz w:val="20"/>
              </w:rPr>
              <w:t>0.05</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343" w:right="313"/>
              <w:jc w:val="center"/>
              <w:rPr>
                <w:sz w:val="20"/>
              </w:rPr>
            </w:pPr>
            <w:r>
              <w:rPr>
                <w:sz w:val="20"/>
              </w:rPr>
              <w:t>0.37</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385"/>
              <w:rPr>
                <w:sz w:val="20"/>
              </w:rPr>
            </w:pPr>
            <w:r>
              <w:rPr>
                <w:sz w:val="20"/>
              </w:rPr>
              <w:t>6.57</w:t>
            </w:r>
          </w:p>
        </w:tc>
        <w:tc>
          <w:tcPr>
            <w:tcW w:w="1103"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363" w:right="333"/>
              <w:jc w:val="center"/>
              <w:rPr>
                <w:sz w:val="20"/>
              </w:rPr>
            </w:pPr>
            <w:r>
              <w:rPr>
                <w:sz w:val="20"/>
              </w:rPr>
              <w:t>0.05</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87" w:right="156"/>
              <w:jc w:val="center"/>
              <w:rPr>
                <w:sz w:val="20"/>
              </w:rPr>
            </w:pPr>
            <w:r>
              <w:rPr>
                <w:sz w:val="20"/>
              </w:rPr>
              <w:t>0.13</w:t>
            </w:r>
          </w:p>
        </w:tc>
        <w:tc>
          <w:tcPr>
            <w:tcW w:w="1472" w:type="dxa"/>
            <w:tcBorders>
              <w:top w:val="single" w:sz="4" w:space="0" w:color="000000"/>
              <w:left w:val="single" w:sz="4" w:space="0" w:color="000000"/>
              <w:bottom w:val="single" w:sz="4" w:space="0" w:color="000000"/>
              <w:right w:val="nil"/>
            </w:tcBorders>
          </w:tcPr>
          <w:p>
            <w:pPr>
              <w:pStyle w:val="TableParagraph"/>
              <w:spacing w:line="211" w:lineRule="exact"/>
              <w:ind w:left="551" w:right="526"/>
              <w:jc w:val="center"/>
              <w:rPr>
                <w:sz w:val="20"/>
              </w:rPr>
            </w:pPr>
            <w:r>
              <w:rPr>
                <w:sz w:val="20"/>
              </w:rPr>
              <w:t>0.18</w:t>
            </w:r>
          </w:p>
        </w:tc>
      </w:tr>
    </w:tbl>
    <w:p>
      <w:pPr>
        <w:spacing w:after="0" w:line="211" w:lineRule="exact"/>
        <w:jc w:val="center"/>
        <w:rPr>
          <w:sz w:val="20"/>
        </w:rPr>
        <w:sectPr>
          <w:pgSz w:w="12240" w:h="15840"/>
          <w:pgMar w:header="0" w:footer="709" w:top="1040" w:bottom="980" w:left="1120" w:right="0"/>
        </w:sectPr>
      </w:pP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6"/>
        <w:gridCol w:w="996"/>
        <w:gridCol w:w="1103"/>
        <w:gridCol w:w="1417"/>
        <w:gridCol w:w="1103"/>
        <w:gridCol w:w="1103"/>
        <w:gridCol w:w="1104"/>
        <w:gridCol w:w="1472"/>
      </w:tblGrid>
      <w:tr>
        <w:trPr>
          <w:trHeight w:val="230" w:hRule="atLeast"/>
        </w:trPr>
        <w:tc>
          <w:tcPr>
            <w:tcW w:w="1076" w:type="dxa"/>
            <w:tcBorders>
              <w:left w:val="nil"/>
            </w:tcBorders>
          </w:tcPr>
          <w:p>
            <w:pPr>
              <w:pStyle w:val="TableParagraph"/>
              <w:spacing w:line="210" w:lineRule="exact"/>
              <w:ind w:left="50"/>
              <w:jc w:val="center"/>
              <w:rPr>
                <w:sz w:val="20"/>
              </w:rPr>
            </w:pPr>
            <w:r>
              <w:rPr>
                <w:w w:val="100"/>
                <w:sz w:val="20"/>
              </w:rPr>
              <w:t>3</w:t>
            </w:r>
          </w:p>
        </w:tc>
        <w:tc>
          <w:tcPr>
            <w:tcW w:w="996" w:type="dxa"/>
          </w:tcPr>
          <w:p>
            <w:pPr>
              <w:pStyle w:val="TableParagraph"/>
              <w:spacing w:line="210" w:lineRule="exact"/>
              <w:ind w:left="333"/>
              <w:rPr>
                <w:sz w:val="20"/>
              </w:rPr>
            </w:pPr>
            <w:r>
              <w:rPr>
                <w:sz w:val="20"/>
              </w:rPr>
              <w:t>6.83</w:t>
            </w:r>
          </w:p>
        </w:tc>
        <w:tc>
          <w:tcPr>
            <w:tcW w:w="1103" w:type="dxa"/>
          </w:tcPr>
          <w:p>
            <w:pPr>
              <w:pStyle w:val="TableParagraph"/>
              <w:spacing w:line="210" w:lineRule="exact"/>
              <w:ind w:left="363" w:right="333"/>
              <w:jc w:val="center"/>
              <w:rPr>
                <w:sz w:val="20"/>
              </w:rPr>
            </w:pPr>
            <w:r>
              <w:rPr>
                <w:sz w:val="20"/>
              </w:rPr>
              <w:t>0.05</w:t>
            </w:r>
          </w:p>
        </w:tc>
        <w:tc>
          <w:tcPr>
            <w:tcW w:w="1417" w:type="dxa"/>
          </w:tcPr>
          <w:p>
            <w:pPr>
              <w:pStyle w:val="TableParagraph"/>
              <w:spacing w:line="210" w:lineRule="exact"/>
              <w:ind w:left="343" w:right="313"/>
              <w:jc w:val="center"/>
              <w:rPr>
                <w:sz w:val="20"/>
              </w:rPr>
            </w:pPr>
            <w:r>
              <w:rPr>
                <w:sz w:val="20"/>
              </w:rPr>
              <w:t>0.41</w:t>
            </w:r>
          </w:p>
        </w:tc>
        <w:tc>
          <w:tcPr>
            <w:tcW w:w="1103" w:type="dxa"/>
          </w:tcPr>
          <w:p>
            <w:pPr>
              <w:pStyle w:val="TableParagraph"/>
              <w:spacing w:line="210" w:lineRule="exact"/>
              <w:ind w:left="363" w:right="333"/>
              <w:jc w:val="center"/>
              <w:rPr>
                <w:sz w:val="20"/>
              </w:rPr>
            </w:pPr>
            <w:r>
              <w:rPr>
                <w:sz w:val="20"/>
              </w:rPr>
              <w:t>2.79</w:t>
            </w:r>
          </w:p>
        </w:tc>
        <w:tc>
          <w:tcPr>
            <w:tcW w:w="1103" w:type="dxa"/>
          </w:tcPr>
          <w:p>
            <w:pPr>
              <w:pStyle w:val="TableParagraph"/>
              <w:spacing w:line="210" w:lineRule="exact"/>
              <w:ind w:left="363" w:right="333"/>
              <w:jc w:val="center"/>
              <w:rPr>
                <w:sz w:val="20"/>
              </w:rPr>
            </w:pPr>
            <w:r>
              <w:rPr>
                <w:sz w:val="20"/>
              </w:rPr>
              <w:t>0.05</w:t>
            </w:r>
          </w:p>
        </w:tc>
        <w:tc>
          <w:tcPr>
            <w:tcW w:w="1104" w:type="dxa"/>
          </w:tcPr>
          <w:p>
            <w:pPr>
              <w:pStyle w:val="TableParagraph"/>
              <w:spacing w:line="210" w:lineRule="exact"/>
              <w:ind w:right="353"/>
              <w:jc w:val="right"/>
              <w:rPr>
                <w:sz w:val="20"/>
              </w:rPr>
            </w:pPr>
            <w:r>
              <w:rPr>
                <w:sz w:val="20"/>
              </w:rPr>
              <w:t>0.12</w:t>
            </w:r>
          </w:p>
        </w:tc>
        <w:tc>
          <w:tcPr>
            <w:tcW w:w="1472" w:type="dxa"/>
            <w:tcBorders>
              <w:right w:val="nil"/>
            </w:tcBorders>
          </w:tcPr>
          <w:p>
            <w:pPr>
              <w:pStyle w:val="TableParagraph"/>
              <w:spacing w:line="210" w:lineRule="exact"/>
              <w:ind w:left="551" w:right="526"/>
              <w:jc w:val="center"/>
              <w:rPr>
                <w:sz w:val="20"/>
              </w:rPr>
            </w:pPr>
            <w:r>
              <w:rPr>
                <w:sz w:val="20"/>
              </w:rPr>
              <w:t>0.19</w:t>
            </w:r>
          </w:p>
        </w:tc>
      </w:tr>
      <w:tr>
        <w:trPr>
          <w:trHeight w:val="230" w:hRule="atLeast"/>
        </w:trPr>
        <w:tc>
          <w:tcPr>
            <w:tcW w:w="1076" w:type="dxa"/>
            <w:tcBorders>
              <w:left w:val="nil"/>
            </w:tcBorders>
          </w:tcPr>
          <w:p>
            <w:pPr>
              <w:pStyle w:val="TableParagraph"/>
              <w:spacing w:line="210" w:lineRule="exact"/>
              <w:ind w:left="50"/>
              <w:jc w:val="center"/>
              <w:rPr>
                <w:sz w:val="20"/>
              </w:rPr>
            </w:pPr>
            <w:r>
              <w:rPr>
                <w:w w:val="100"/>
                <w:sz w:val="20"/>
              </w:rPr>
              <w:t>4</w:t>
            </w:r>
          </w:p>
        </w:tc>
        <w:tc>
          <w:tcPr>
            <w:tcW w:w="996" w:type="dxa"/>
          </w:tcPr>
          <w:p>
            <w:pPr>
              <w:pStyle w:val="TableParagraph"/>
              <w:spacing w:line="210" w:lineRule="exact"/>
              <w:ind w:left="333"/>
              <w:rPr>
                <w:sz w:val="20"/>
              </w:rPr>
            </w:pPr>
            <w:r>
              <w:rPr>
                <w:sz w:val="20"/>
              </w:rPr>
              <w:t>7.56</w:t>
            </w:r>
          </w:p>
        </w:tc>
        <w:tc>
          <w:tcPr>
            <w:tcW w:w="1103" w:type="dxa"/>
          </w:tcPr>
          <w:p>
            <w:pPr>
              <w:pStyle w:val="TableParagraph"/>
              <w:spacing w:line="210" w:lineRule="exact"/>
              <w:ind w:left="363" w:right="333"/>
              <w:jc w:val="center"/>
              <w:rPr>
                <w:sz w:val="20"/>
              </w:rPr>
            </w:pPr>
            <w:r>
              <w:rPr>
                <w:sz w:val="20"/>
              </w:rPr>
              <w:t>0.05</w:t>
            </w:r>
          </w:p>
        </w:tc>
        <w:tc>
          <w:tcPr>
            <w:tcW w:w="1417" w:type="dxa"/>
          </w:tcPr>
          <w:p>
            <w:pPr>
              <w:pStyle w:val="TableParagraph"/>
              <w:spacing w:line="210" w:lineRule="exact"/>
              <w:ind w:left="343" w:right="313"/>
              <w:jc w:val="center"/>
              <w:rPr>
                <w:sz w:val="20"/>
              </w:rPr>
            </w:pPr>
            <w:r>
              <w:rPr>
                <w:sz w:val="20"/>
              </w:rPr>
              <w:t>0.43</w:t>
            </w:r>
          </w:p>
        </w:tc>
        <w:tc>
          <w:tcPr>
            <w:tcW w:w="1103" w:type="dxa"/>
          </w:tcPr>
          <w:p>
            <w:pPr>
              <w:pStyle w:val="TableParagraph"/>
              <w:spacing w:line="210" w:lineRule="exact"/>
              <w:ind w:left="363" w:right="333"/>
              <w:jc w:val="center"/>
              <w:rPr>
                <w:sz w:val="20"/>
              </w:rPr>
            </w:pPr>
            <w:r>
              <w:rPr>
                <w:sz w:val="20"/>
              </w:rPr>
              <w:t>3.35</w:t>
            </w:r>
          </w:p>
        </w:tc>
        <w:tc>
          <w:tcPr>
            <w:tcW w:w="1103" w:type="dxa"/>
          </w:tcPr>
          <w:p>
            <w:pPr>
              <w:pStyle w:val="TableParagraph"/>
              <w:spacing w:line="210" w:lineRule="exact"/>
              <w:ind w:left="363" w:right="333"/>
              <w:jc w:val="center"/>
              <w:rPr>
                <w:sz w:val="20"/>
              </w:rPr>
            </w:pPr>
            <w:r>
              <w:rPr>
                <w:sz w:val="20"/>
              </w:rPr>
              <w:t>0.05</w:t>
            </w:r>
          </w:p>
        </w:tc>
        <w:tc>
          <w:tcPr>
            <w:tcW w:w="1104" w:type="dxa"/>
          </w:tcPr>
          <w:p>
            <w:pPr>
              <w:pStyle w:val="TableParagraph"/>
              <w:spacing w:line="210" w:lineRule="exact"/>
              <w:ind w:right="353"/>
              <w:jc w:val="right"/>
              <w:rPr>
                <w:sz w:val="20"/>
              </w:rPr>
            </w:pPr>
            <w:r>
              <w:rPr>
                <w:sz w:val="20"/>
              </w:rPr>
              <w:t>0.13</w:t>
            </w:r>
          </w:p>
        </w:tc>
        <w:tc>
          <w:tcPr>
            <w:tcW w:w="1472" w:type="dxa"/>
            <w:tcBorders>
              <w:right w:val="nil"/>
            </w:tcBorders>
          </w:tcPr>
          <w:p>
            <w:pPr>
              <w:pStyle w:val="TableParagraph"/>
              <w:spacing w:line="210" w:lineRule="exact"/>
              <w:ind w:left="551" w:right="526"/>
              <w:jc w:val="center"/>
              <w:rPr>
                <w:sz w:val="20"/>
              </w:rPr>
            </w:pPr>
            <w:r>
              <w:rPr>
                <w:sz w:val="20"/>
              </w:rPr>
              <w:t>0.20</w:t>
            </w:r>
          </w:p>
        </w:tc>
      </w:tr>
      <w:tr>
        <w:trPr>
          <w:trHeight w:val="229" w:hRule="atLeast"/>
        </w:trPr>
        <w:tc>
          <w:tcPr>
            <w:tcW w:w="1076" w:type="dxa"/>
            <w:tcBorders>
              <w:left w:val="nil"/>
            </w:tcBorders>
          </w:tcPr>
          <w:p>
            <w:pPr>
              <w:pStyle w:val="TableParagraph"/>
              <w:spacing w:line="210" w:lineRule="exact"/>
              <w:ind w:left="50"/>
              <w:jc w:val="center"/>
              <w:rPr>
                <w:sz w:val="20"/>
              </w:rPr>
            </w:pPr>
            <w:r>
              <w:rPr>
                <w:w w:val="100"/>
                <w:sz w:val="20"/>
              </w:rPr>
              <w:t>5</w:t>
            </w:r>
          </w:p>
        </w:tc>
        <w:tc>
          <w:tcPr>
            <w:tcW w:w="996" w:type="dxa"/>
          </w:tcPr>
          <w:p>
            <w:pPr>
              <w:pStyle w:val="TableParagraph"/>
              <w:spacing w:line="210" w:lineRule="exact"/>
              <w:ind w:left="333"/>
              <w:rPr>
                <w:sz w:val="20"/>
              </w:rPr>
            </w:pPr>
            <w:r>
              <w:rPr>
                <w:sz w:val="20"/>
              </w:rPr>
              <w:t>4.80</w:t>
            </w:r>
          </w:p>
        </w:tc>
        <w:tc>
          <w:tcPr>
            <w:tcW w:w="1103" w:type="dxa"/>
          </w:tcPr>
          <w:p>
            <w:pPr>
              <w:pStyle w:val="TableParagraph"/>
              <w:spacing w:line="210" w:lineRule="exact"/>
              <w:ind w:left="363" w:right="333"/>
              <w:jc w:val="center"/>
              <w:rPr>
                <w:sz w:val="20"/>
              </w:rPr>
            </w:pPr>
            <w:r>
              <w:rPr>
                <w:sz w:val="20"/>
              </w:rPr>
              <w:t>0.05</w:t>
            </w:r>
          </w:p>
        </w:tc>
        <w:tc>
          <w:tcPr>
            <w:tcW w:w="1417" w:type="dxa"/>
          </w:tcPr>
          <w:p>
            <w:pPr>
              <w:pStyle w:val="TableParagraph"/>
              <w:spacing w:line="210" w:lineRule="exact"/>
              <w:ind w:left="343" w:right="313"/>
              <w:jc w:val="center"/>
              <w:rPr>
                <w:sz w:val="20"/>
              </w:rPr>
            </w:pPr>
            <w:r>
              <w:rPr>
                <w:sz w:val="20"/>
              </w:rPr>
              <w:t>1.02</w:t>
            </w:r>
          </w:p>
        </w:tc>
        <w:tc>
          <w:tcPr>
            <w:tcW w:w="1103" w:type="dxa"/>
          </w:tcPr>
          <w:p>
            <w:pPr>
              <w:pStyle w:val="TableParagraph"/>
              <w:spacing w:line="210" w:lineRule="exact"/>
              <w:ind w:left="363" w:right="333"/>
              <w:jc w:val="center"/>
              <w:rPr>
                <w:sz w:val="20"/>
              </w:rPr>
            </w:pPr>
            <w:r>
              <w:rPr>
                <w:sz w:val="20"/>
              </w:rPr>
              <w:t>1.99</w:t>
            </w:r>
          </w:p>
        </w:tc>
        <w:tc>
          <w:tcPr>
            <w:tcW w:w="1103" w:type="dxa"/>
          </w:tcPr>
          <w:p>
            <w:pPr>
              <w:pStyle w:val="TableParagraph"/>
              <w:spacing w:line="210" w:lineRule="exact"/>
              <w:ind w:left="363" w:right="333"/>
              <w:jc w:val="center"/>
              <w:rPr>
                <w:sz w:val="20"/>
              </w:rPr>
            </w:pPr>
            <w:r>
              <w:rPr>
                <w:sz w:val="20"/>
              </w:rPr>
              <w:t>0.05</w:t>
            </w:r>
          </w:p>
        </w:tc>
        <w:tc>
          <w:tcPr>
            <w:tcW w:w="1104" w:type="dxa"/>
          </w:tcPr>
          <w:p>
            <w:pPr>
              <w:pStyle w:val="TableParagraph"/>
              <w:spacing w:line="210" w:lineRule="exact"/>
              <w:ind w:right="353"/>
              <w:jc w:val="right"/>
              <w:rPr>
                <w:sz w:val="20"/>
              </w:rPr>
            </w:pPr>
            <w:r>
              <w:rPr>
                <w:sz w:val="20"/>
              </w:rPr>
              <w:t>0.14</w:t>
            </w:r>
          </w:p>
        </w:tc>
        <w:tc>
          <w:tcPr>
            <w:tcW w:w="1472" w:type="dxa"/>
            <w:tcBorders>
              <w:right w:val="nil"/>
            </w:tcBorders>
          </w:tcPr>
          <w:p>
            <w:pPr>
              <w:pStyle w:val="TableParagraph"/>
              <w:spacing w:line="210" w:lineRule="exact"/>
              <w:ind w:left="551" w:right="526"/>
              <w:jc w:val="center"/>
              <w:rPr>
                <w:sz w:val="20"/>
              </w:rPr>
            </w:pPr>
            <w:r>
              <w:rPr>
                <w:sz w:val="20"/>
              </w:rPr>
              <w:t>0.29</w:t>
            </w:r>
          </w:p>
        </w:tc>
      </w:tr>
      <w:tr>
        <w:trPr>
          <w:trHeight w:val="230" w:hRule="atLeast"/>
        </w:trPr>
        <w:tc>
          <w:tcPr>
            <w:tcW w:w="1076" w:type="dxa"/>
            <w:tcBorders>
              <w:left w:val="nil"/>
              <w:bottom w:val="single" w:sz="12" w:space="0" w:color="000000"/>
            </w:tcBorders>
          </w:tcPr>
          <w:p>
            <w:pPr>
              <w:pStyle w:val="TableParagraph"/>
              <w:spacing w:line="210" w:lineRule="exact"/>
              <w:ind w:left="412" w:right="362"/>
              <w:jc w:val="center"/>
              <w:rPr>
                <w:sz w:val="20"/>
              </w:rPr>
            </w:pPr>
            <w:r>
              <w:rPr>
                <w:sz w:val="20"/>
              </w:rPr>
              <w:t>All</w:t>
            </w:r>
          </w:p>
        </w:tc>
        <w:tc>
          <w:tcPr>
            <w:tcW w:w="996" w:type="dxa"/>
            <w:tcBorders>
              <w:bottom w:val="single" w:sz="12" w:space="0" w:color="000000"/>
            </w:tcBorders>
          </w:tcPr>
          <w:p>
            <w:pPr>
              <w:pStyle w:val="TableParagraph"/>
              <w:spacing w:line="210" w:lineRule="exact"/>
              <w:ind w:left="286"/>
              <w:rPr>
                <w:sz w:val="20"/>
              </w:rPr>
            </w:pPr>
            <w:r>
              <w:rPr>
                <w:sz w:val="20"/>
              </w:rPr>
              <w:t>16.11</w:t>
            </w:r>
          </w:p>
        </w:tc>
        <w:tc>
          <w:tcPr>
            <w:tcW w:w="1103" w:type="dxa"/>
            <w:tcBorders>
              <w:bottom w:val="single" w:sz="12" w:space="0" w:color="000000"/>
            </w:tcBorders>
          </w:tcPr>
          <w:p>
            <w:pPr>
              <w:pStyle w:val="TableParagraph"/>
              <w:spacing w:line="210" w:lineRule="exact"/>
              <w:ind w:left="363" w:right="333"/>
              <w:jc w:val="center"/>
              <w:rPr>
                <w:sz w:val="20"/>
              </w:rPr>
            </w:pPr>
            <w:r>
              <w:rPr>
                <w:sz w:val="20"/>
              </w:rPr>
              <w:t>0.05</w:t>
            </w:r>
          </w:p>
        </w:tc>
        <w:tc>
          <w:tcPr>
            <w:tcW w:w="1417" w:type="dxa"/>
            <w:tcBorders>
              <w:bottom w:val="single" w:sz="12" w:space="0" w:color="000000"/>
            </w:tcBorders>
          </w:tcPr>
          <w:p>
            <w:pPr>
              <w:pStyle w:val="TableParagraph"/>
              <w:spacing w:line="210" w:lineRule="exact"/>
              <w:ind w:left="343" w:right="313"/>
              <w:jc w:val="center"/>
              <w:rPr>
                <w:sz w:val="20"/>
              </w:rPr>
            </w:pPr>
            <w:r>
              <w:rPr>
                <w:sz w:val="20"/>
              </w:rPr>
              <w:t>0.36</w:t>
            </w:r>
          </w:p>
        </w:tc>
        <w:tc>
          <w:tcPr>
            <w:tcW w:w="1103" w:type="dxa"/>
            <w:tcBorders>
              <w:bottom w:val="single" w:sz="12" w:space="0" w:color="000000"/>
            </w:tcBorders>
          </w:tcPr>
          <w:p>
            <w:pPr>
              <w:pStyle w:val="TableParagraph"/>
              <w:spacing w:line="210" w:lineRule="exact"/>
              <w:ind w:left="363" w:right="333"/>
              <w:jc w:val="center"/>
              <w:rPr>
                <w:sz w:val="20"/>
              </w:rPr>
            </w:pPr>
            <w:r>
              <w:rPr>
                <w:sz w:val="20"/>
              </w:rPr>
              <w:t>6.57</w:t>
            </w:r>
          </w:p>
        </w:tc>
        <w:tc>
          <w:tcPr>
            <w:tcW w:w="1103" w:type="dxa"/>
            <w:tcBorders>
              <w:bottom w:val="single" w:sz="12" w:space="0" w:color="000000"/>
            </w:tcBorders>
          </w:tcPr>
          <w:p>
            <w:pPr>
              <w:pStyle w:val="TableParagraph"/>
              <w:spacing w:line="210" w:lineRule="exact"/>
              <w:ind w:left="363" w:right="333"/>
              <w:jc w:val="center"/>
              <w:rPr>
                <w:sz w:val="20"/>
              </w:rPr>
            </w:pPr>
            <w:r>
              <w:rPr>
                <w:sz w:val="20"/>
              </w:rPr>
              <w:t>0.05</w:t>
            </w:r>
          </w:p>
        </w:tc>
        <w:tc>
          <w:tcPr>
            <w:tcW w:w="1104" w:type="dxa"/>
            <w:tcBorders>
              <w:bottom w:val="single" w:sz="12" w:space="0" w:color="000000"/>
            </w:tcBorders>
          </w:tcPr>
          <w:p>
            <w:pPr>
              <w:pStyle w:val="TableParagraph"/>
              <w:spacing w:line="210" w:lineRule="exact"/>
              <w:ind w:right="353"/>
              <w:jc w:val="right"/>
              <w:rPr>
                <w:sz w:val="20"/>
              </w:rPr>
            </w:pPr>
            <w:r>
              <w:rPr>
                <w:sz w:val="20"/>
              </w:rPr>
              <w:t>0.12</w:t>
            </w:r>
          </w:p>
        </w:tc>
        <w:tc>
          <w:tcPr>
            <w:tcW w:w="1472" w:type="dxa"/>
            <w:tcBorders>
              <w:bottom w:val="single" w:sz="12" w:space="0" w:color="000000"/>
              <w:right w:val="nil"/>
            </w:tcBorders>
          </w:tcPr>
          <w:p>
            <w:pPr>
              <w:pStyle w:val="TableParagraph"/>
              <w:spacing w:line="210" w:lineRule="exact"/>
              <w:ind w:left="551" w:right="526"/>
              <w:jc w:val="center"/>
              <w:rPr>
                <w:sz w:val="20"/>
              </w:rPr>
            </w:pPr>
            <w:r>
              <w:rPr>
                <w:sz w:val="20"/>
              </w:rPr>
              <w:t>0.18</w:t>
            </w:r>
          </w:p>
        </w:tc>
      </w:tr>
    </w:tbl>
    <w:p>
      <w:pPr>
        <w:pStyle w:val="BodyText"/>
        <w:rPr>
          <w:b/>
          <w:sz w:val="16"/>
        </w:rPr>
      </w:pPr>
    </w:p>
    <w:p>
      <w:pPr>
        <w:pStyle w:val="Heading3"/>
        <w:numPr>
          <w:ilvl w:val="2"/>
          <w:numId w:val="26"/>
        </w:numPr>
        <w:tabs>
          <w:tab w:pos="1040" w:val="left" w:leader="none"/>
        </w:tabs>
        <w:spacing w:line="240" w:lineRule="auto" w:before="88" w:after="0"/>
        <w:ind w:left="1039" w:right="0" w:hanging="719"/>
        <w:jc w:val="left"/>
      </w:pPr>
      <w:bookmarkStart w:name="_TOC_250048" w:id="112"/>
      <w:bookmarkStart w:name="3.1.2 Random Selection Process" w:id="113"/>
      <w:r>
        <w:rPr>
          <w:b w:val="0"/>
        </w:rPr>
      </w:r>
      <w:bookmarkEnd w:id="113"/>
      <w:bookmarkStart w:name="3.1.2 Random Selection Process" w:id="114"/>
      <w:r>
        <w:rPr/>
        <w:t>R</w:t>
      </w:r>
      <w:r>
        <w:rPr/>
        <w:t>andom Selection</w:t>
      </w:r>
      <w:r>
        <w:rPr>
          <w:spacing w:val="-1"/>
        </w:rPr>
        <w:t> </w:t>
      </w:r>
      <w:bookmarkEnd w:id="112"/>
      <w:r>
        <w:rPr/>
        <w:t>Process</w:t>
      </w:r>
    </w:p>
    <w:p>
      <w:pPr>
        <w:pStyle w:val="BodyText"/>
        <w:spacing w:before="236"/>
        <w:ind w:left="320" w:right="1549"/>
      </w:pPr>
      <w:r>
        <w:rPr/>
        <w:t>To execute the random sample draw, a data table of segments meeting the criteria was created from an ODOT GIS functional class file. In this GIS file, each roadway is broken up into many smaller segments. Each row in the data file was assigned a randomly generated number. The segments were then sorted by the random number and selected in order for consideration in data collection.</w:t>
      </w:r>
    </w:p>
    <w:p>
      <w:pPr>
        <w:pStyle w:val="BodyText"/>
        <w:spacing w:before="10"/>
        <w:rPr>
          <w:sz w:val="20"/>
        </w:rPr>
      </w:pPr>
    </w:p>
    <w:p>
      <w:pPr>
        <w:pStyle w:val="BodyText"/>
        <w:ind w:left="319" w:right="1437"/>
      </w:pPr>
      <w:r>
        <w:rPr/>
        <w:t>Ideally, segments would be homogenous in key data elements over the entire length. This is desirable for modeling purposes since each segment can then be an observation unit and it is not necessary to control for the partial presence of the variable. After a segment is selected, the research team viewed the segment in Google Earth. If the segment is homogenous in the key data elements (shown in the following section), the segment was included in the sample. If not homogenous and the segment is long enough it was split to create homogenous segments. One of the segments was chosen at random by the data collector. If the resulting segments were too short, they were discarded from the sample.</w:t>
      </w:r>
    </w:p>
    <w:p>
      <w:pPr>
        <w:pStyle w:val="BodyText"/>
        <w:spacing w:before="10"/>
        <w:rPr>
          <w:sz w:val="20"/>
        </w:rPr>
      </w:pPr>
    </w:p>
    <w:p>
      <w:pPr>
        <w:pStyle w:val="BodyText"/>
        <w:ind w:left="319" w:right="1569"/>
      </w:pPr>
      <w:r>
        <w:rPr/>
        <w:t>Intersections were collected concurrently with the segment sampling process. To limit the data collection scope, only the locations with traffic control on the major road (stop or signal) were included in the intersection data collection. If a selected segment contains an intersection with the traffic control on the major road, the intersection was selected for data collection. Note that segments that contain intersections would be divided at the intersection. If the segment is bounded by two signalized or four-way stop intersections, only one intersection was included in the sample.</w:t>
      </w:r>
    </w:p>
    <w:p>
      <w:pPr>
        <w:pStyle w:val="BodyText"/>
        <w:spacing w:before="10"/>
        <w:rPr>
          <w:sz w:val="20"/>
        </w:rPr>
      </w:pPr>
    </w:p>
    <w:p>
      <w:pPr>
        <w:pStyle w:val="BodyText"/>
        <w:spacing w:before="1"/>
        <w:ind w:left="319" w:right="1629"/>
      </w:pPr>
      <w:r>
        <w:rPr/>
        <w:t>The sampling process continued until a sufficient number of intersections for modeling was selected. In the initial sample draws, crash history was not considered. As the sampling process progressed the initial sample was analyzed. It became clear that the random process was not generating enough selections with observed crashes. The research team filtered the remaining segments for crash occurrence and continued the random sampling of these segments.</w:t>
      </w:r>
    </w:p>
    <w:p>
      <w:pPr>
        <w:pStyle w:val="BodyText"/>
        <w:spacing w:before="1"/>
        <w:rPr>
          <w:sz w:val="21"/>
        </w:rPr>
      </w:pPr>
    </w:p>
    <w:p>
      <w:pPr>
        <w:pStyle w:val="Heading3"/>
        <w:numPr>
          <w:ilvl w:val="1"/>
          <w:numId w:val="27"/>
        </w:numPr>
        <w:tabs>
          <w:tab w:pos="895" w:val="left" w:leader="none"/>
          <w:tab w:pos="896" w:val="left" w:leader="none"/>
        </w:tabs>
        <w:spacing w:line="240" w:lineRule="auto" w:before="1" w:after="0"/>
        <w:ind w:left="895" w:right="0" w:hanging="575"/>
        <w:jc w:val="left"/>
      </w:pPr>
      <w:bookmarkStart w:name="_TOC_250047" w:id="115"/>
      <w:bookmarkStart w:name="3.2 DATA ELEMENTS" w:id="116"/>
      <w:r>
        <w:rPr>
          <w:b w:val="0"/>
        </w:rPr>
      </w:r>
      <w:bookmarkEnd w:id="116"/>
      <w:bookmarkStart w:name="3.2 DATA ELEMENTS" w:id="117"/>
      <w:r>
        <w:rPr/>
        <w:t>D</w:t>
      </w:r>
      <w:r>
        <w:rPr/>
        <w:t>ATA</w:t>
      </w:r>
      <w:r>
        <w:rPr>
          <w:spacing w:val="-1"/>
        </w:rPr>
        <w:t> </w:t>
      </w:r>
      <w:bookmarkEnd w:id="115"/>
      <w:r>
        <w:rPr/>
        <w:t>ELEMENTS</w:t>
      </w:r>
    </w:p>
    <w:p>
      <w:pPr>
        <w:pStyle w:val="BodyText"/>
        <w:spacing w:before="236"/>
        <w:ind w:left="320" w:right="1783"/>
      </w:pPr>
      <w:r>
        <w:rPr/>
        <w:t>The literature review identified the key variables that should be considered in a risk model. In this section, the data elements collected for segments, intersection, land use, crash data, and motor vehicle and bicycle volumes are described.</w:t>
      </w:r>
    </w:p>
    <w:p>
      <w:pPr>
        <w:pStyle w:val="BodyText"/>
        <w:spacing w:before="2"/>
        <w:rPr>
          <w:sz w:val="21"/>
        </w:rPr>
      </w:pPr>
    </w:p>
    <w:p>
      <w:pPr>
        <w:pStyle w:val="Heading3"/>
        <w:numPr>
          <w:ilvl w:val="2"/>
          <w:numId w:val="27"/>
        </w:numPr>
        <w:tabs>
          <w:tab w:pos="1040" w:val="left" w:leader="none"/>
        </w:tabs>
        <w:spacing w:line="240" w:lineRule="auto" w:before="0" w:after="0"/>
        <w:ind w:left="1039" w:right="0" w:hanging="719"/>
        <w:jc w:val="left"/>
      </w:pPr>
      <w:bookmarkStart w:name="_TOC_250046" w:id="118"/>
      <w:bookmarkStart w:name="3.2.1 Segments" w:id="119"/>
      <w:r>
        <w:rPr>
          <w:b w:val="0"/>
        </w:rPr>
      </w:r>
      <w:bookmarkEnd w:id="119"/>
      <w:bookmarkStart w:name="3.2.1 Segments" w:id="120"/>
      <w:r>
        <w:rPr/>
        <w:t>S</w:t>
      </w:r>
      <w:bookmarkEnd w:id="118"/>
      <w:r>
        <w:rPr/>
        <w:t>egments</w:t>
      </w:r>
    </w:p>
    <w:p>
      <w:pPr>
        <w:pStyle w:val="BodyText"/>
        <w:spacing w:before="236"/>
        <w:ind w:left="320" w:right="1516"/>
      </w:pPr>
      <w:hyperlink w:history="true" w:anchor="_bookmark16">
        <w:r>
          <w:rPr/>
          <w:t>Table 3.4</w:t>
        </w:r>
      </w:hyperlink>
      <w:r>
        <w:rPr/>
        <w:t> summarizes the data elements collected for segments. The elements were primarily collected manually from inspection and measurement of Google Earth aerial photos. Most of the data elements are self-explanatory in description. During the pilot data collection exercise, it became clear that it was important to capture both the presence of the midblock crossing opportunity and the types of traffic control available at the bounded ends of the segment. The classification scheme devised is shown in graphical form in </w:t>
      </w:r>
      <w:hyperlink w:history="true" w:anchor="_bookmark17">
        <w:r>
          <w:rPr/>
          <w:t>Table 3.5.</w:t>
        </w:r>
      </w:hyperlink>
      <w:r>
        <w:rPr/>
        <w:t> For segments with no midblock crossing and a signalized intersection on one end (type A), the maximum crossing</w:t>
      </w:r>
    </w:p>
    <w:p>
      <w:pPr>
        <w:spacing w:after="0"/>
        <w:sectPr>
          <w:pgSz w:w="12240" w:h="15840"/>
          <w:pgMar w:header="0" w:footer="709" w:top="1000" w:bottom="940" w:left="1120" w:right="0"/>
        </w:sectPr>
      </w:pPr>
    </w:p>
    <w:p>
      <w:pPr>
        <w:pStyle w:val="BodyText"/>
        <w:spacing w:before="72"/>
        <w:ind w:left="320" w:right="1442"/>
      </w:pPr>
      <w:r>
        <w:rPr/>
        <w:t>distance is taken as the segment length. If the segment is bounded by signalized intersections (type B), then the maximum walking distance was calculated as half the segment distance. For types C, D, and E, the placement of the crosswalk dictates the maximum distance a person would have to walk to have a crossing location.</w:t>
      </w:r>
    </w:p>
    <w:p>
      <w:pPr>
        <w:pStyle w:val="BodyText"/>
        <w:spacing w:before="1"/>
        <w:rPr>
          <w:sz w:val="21"/>
        </w:rPr>
      </w:pPr>
    </w:p>
    <w:p>
      <w:pPr>
        <w:spacing w:before="1"/>
        <w:ind w:left="320" w:right="0" w:firstLine="0"/>
        <w:jc w:val="left"/>
        <w:rPr>
          <w:b/>
          <w:sz w:val="20"/>
        </w:rPr>
      </w:pPr>
      <w:bookmarkStart w:name="_bookmark16" w:id="121"/>
      <w:bookmarkEnd w:id="121"/>
      <w:r>
        <w:rPr/>
      </w:r>
      <w:r>
        <w:rPr>
          <w:b/>
          <w:sz w:val="20"/>
        </w:rPr>
        <w:t>Table 3.4: Segment Data Elements</w:t>
      </w:r>
    </w:p>
    <w:tbl>
      <w:tblPr>
        <w:tblW w:w="0" w:type="auto"/>
        <w:jc w:val="left"/>
        <w:tblInd w:w="2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574"/>
        <w:gridCol w:w="4800"/>
      </w:tblGrid>
      <w:tr>
        <w:trPr>
          <w:trHeight w:val="229" w:hRule="atLeast"/>
        </w:trPr>
        <w:tc>
          <w:tcPr>
            <w:tcW w:w="4574" w:type="dxa"/>
            <w:tcBorders>
              <w:left w:val="nil"/>
              <w:bottom w:val="single" w:sz="2" w:space="0" w:color="000000"/>
              <w:right w:val="single" w:sz="2" w:space="0" w:color="000000"/>
            </w:tcBorders>
          </w:tcPr>
          <w:p>
            <w:pPr>
              <w:pStyle w:val="TableParagraph"/>
              <w:spacing w:line="209" w:lineRule="exact"/>
              <w:ind w:left="137"/>
              <w:rPr>
                <w:b/>
                <w:sz w:val="20"/>
              </w:rPr>
            </w:pPr>
            <w:r>
              <w:rPr>
                <w:b/>
                <w:sz w:val="20"/>
              </w:rPr>
              <w:t>Segment Data Element</w:t>
            </w:r>
          </w:p>
        </w:tc>
        <w:tc>
          <w:tcPr>
            <w:tcW w:w="4800" w:type="dxa"/>
            <w:tcBorders>
              <w:left w:val="single" w:sz="2" w:space="0" w:color="000000"/>
              <w:bottom w:val="single" w:sz="2" w:space="0" w:color="000000"/>
              <w:right w:val="nil"/>
            </w:tcBorders>
          </w:tcPr>
          <w:p>
            <w:pPr>
              <w:pStyle w:val="TableParagraph"/>
              <w:spacing w:line="209" w:lineRule="exact"/>
              <w:ind w:left="120"/>
              <w:rPr>
                <w:b/>
                <w:sz w:val="20"/>
              </w:rPr>
            </w:pPr>
            <w:r>
              <w:rPr>
                <w:b/>
                <w:sz w:val="20"/>
              </w:rPr>
              <w:t>Collection Method or Source</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Functional class of roadway</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Functional class of roadway (arterial, minor)</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Traffic volume (AADT, factored to 2013)</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ODOT databases, local files, other sources</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Estimated bicycle volume per day (STRAVA)</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STRAVA database with expansion</w:t>
            </w:r>
          </w:p>
        </w:tc>
      </w:tr>
      <w:tr>
        <w:trPr>
          <w:trHeight w:val="459" w:hRule="atLeast"/>
        </w:trPr>
        <w:tc>
          <w:tcPr>
            <w:tcW w:w="4574" w:type="dxa"/>
            <w:tcBorders>
              <w:top w:val="single" w:sz="2" w:space="0" w:color="000000"/>
              <w:left w:val="nil"/>
              <w:bottom w:val="single" w:sz="2" w:space="0" w:color="000000"/>
              <w:right w:val="single" w:sz="2" w:space="0" w:color="000000"/>
            </w:tcBorders>
          </w:tcPr>
          <w:p>
            <w:pPr>
              <w:pStyle w:val="TableParagraph"/>
              <w:spacing w:line="230" w:lineRule="exact"/>
              <w:ind w:left="137" w:right="182"/>
              <w:rPr>
                <w:sz w:val="20"/>
              </w:rPr>
            </w:pPr>
            <w:r>
              <w:rPr>
                <w:sz w:val="20"/>
              </w:rPr>
              <w:t>Number of traffic lanes (excluding two-way left-turn lane)</w:t>
            </w:r>
          </w:p>
        </w:tc>
        <w:tc>
          <w:tcPr>
            <w:tcW w:w="4800" w:type="dxa"/>
            <w:tcBorders>
              <w:top w:val="single" w:sz="2" w:space="0" w:color="000000"/>
              <w:left w:val="single" w:sz="2" w:space="0" w:color="000000"/>
              <w:bottom w:val="single" w:sz="2" w:space="0" w:color="000000"/>
              <w:right w:val="nil"/>
            </w:tcBorders>
          </w:tcPr>
          <w:p>
            <w:pPr>
              <w:pStyle w:val="TableParagraph"/>
              <w:spacing w:before="112"/>
              <w:ind w:left="120"/>
              <w:rPr>
                <w:sz w:val="20"/>
              </w:rPr>
            </w:pPr>
            <w:r>
              <w:rPr>
                <w:sz w:val="20"/>
              </w:rPr>
              <w:t>Google Earth/ODOT Digital Video Log</w:t>
            </w:r>
          </w:p>
        </w:tc>
      </w:tr>
      <w:tr>
        <w:trPr>
          <w:trHeight w:val="229"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Presence of two-way left-turn lane</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Presence of bicycle lanes</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Width of bicycle lanes (ft.)</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229" w:hRule="atLeast"/>
        </w:trPr>
        <w:tc>
          <w:tcPr>
            <w:tcW w:w="4574" w:type="dxa"/>
            <w:tcBorders>
              <w:top w:val="single" w:sz="2" w:space="0" w:color="000000"/>
              <w:left w:val="nil"/>
              <w:bottom w:val="single" w:sz="2" w:space="0" w:color="000000"/>
              <w:right w:val="single" w:sz="2" w:space="0" w:color="000000"/>
            </w:tcBorders>
          </w:tcPr>
          <w:p>
            <w:pPr>
              <w:pStyle w:val="TableParagraph"/>
              <w:spacing w:line="209" w:lineRule="exact"/>
              <w:ind w:left="137"/>
              <w:rPr>
                <w:sz w:val="20"/>
              </w:rPr>
            </w:pPr>
            <w:r>
              <w:rPr>
                <w:sz w:val="20"/>
              </w:rPr>
              <w:t>Travel direction (one-way or two-way)</w:t>
            </w:r>
          </w:p>
        </w:tc>
        <w:tc>
          <w:tcPr>
            <w:tcW w:w="4800" w:type="dxa"/>
            <w:tcBorders>
              <w:top w:val="single" w:sz="2" w:space="0" w:color="000000"/>
              <w:left w:val="single" w:sz="2" w:space="0" w:color="000000"/>
              <w:bottom w:val="single" w:sz="2" w:space="0" w:color="000000"/>
              <w:right w:val="nil"/>
            </w:tcBorders>
          </w:tcPr>
          <w:p>
            <w:pPr>
              <w:pStyle w:val="TableParagraph"/>
              <w:spacing w:line="209" w:lineRule="exact"/>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Number of driveways</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Posted speed limit (mph)</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459" w:hRule="atLeast"/>
        </w:trPr>
        <w:tc>
          <w:tcPr>
            <w:tcW w:w="4574" w:type="dxa"/>
            <w:tcBorders>
              <w:top w:val="single" w:sz="2" w:space="0" w:color="000000"/>
              <w:left w:val="nil"/>
              <w:bottom w:val="single" w:sz="2" w:space="0" w:color="000000"/>
              <w:right w:val="single" w:sz="2" w:space="0" w:color="000000"/>
            </w:tcBorders>
          </w:tcPr>
          <w:p>
            <w:pPr>
              <w:pStyle w:val="TableParagraph"/>
              <w:spacing w:line="227" w:lineRule="exact"/>
              <w:ind w:left="137"/>
              <w:rPr>
                <w:sz w:val="20"/>
              </w:rPr>
            </w:pPr>
            <w:r>
              <w:rPr>
                <w:sz w:val="20"/>
              </w:rPr>
              <w:t>Width of sidewalk buffer (the space between curb</w:t>
            </w:r>
          </w:p>
          <w:p>
            <w:pPr>
              <w:pStyle w:val="TableParagraph"/>
              <w:spacing w:line="212" w:lineRule="exact"/>
              <w:ind w:left="137"/>
              <w:rPr>
                <w:sz w:val="20"/>
              </w:rPr>
            </w:pPr>
            <w:r>
              <w:rPr>
                <w:sz w:val="20"/>
              </w:rPr>
              <w:t>face and sidewalk)</w:t>
            </w:r>
          </w:p>
        </w:tc>
        <w:tc>
          <w:tcPr>
            <w:tcW w:w="4800" w:type="dxa"/>
            <w:tcBorders>
              <w:top w:val="single" w:sz="2" w:space="0" w:color="000000"/>
              <w:left w:val="single" w:sz="2" w:space="0" w:color="000000"/>
              <w:bottom w:val="single" w:sz="2" w:space="0" w:color="000000"/>
              <w:right w:val="nil"/>
            </w:tcBorders>
          </w:tcPr>
          <w:p>
            <w:pPr>
              <w:pStyle w:val="TableParagraph"/>
              <w:spacing w:before="112"/>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Width of sidewalk buffer (ft.)</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460" w:hRule="atLeast"/>
        </w:trPr>
        <w:tc>
          <w:tcPr>
            <w:tcW w:w="4574" w:type="dxa"/>
            <w:tcBorders>
              <w:top w:val="single" w:sz="2" w:space="0" w:color="000000"/>
              <w:left w:val="nil"/>
              <w:bottom w:val="single" w:sz="2" w:space="0" w:color="000000"/>
              <w:right w:val="single" w:sz="2" w:space="0" w:color="000000"/>
            </w:tcBorders>
          </w:tcPr>
          <w:p>
            <w:pPr>
              <w:pStyle w:val="TableParagraph"/>
              <w:spacing w:line="227" w:lineRule="exact"/>
              <w:ind w:left="137"/>
              <w:rPr>
                <w:sz w:val="20"/>
              </w:rPr>
            </w:pPr>
            <w:r>
              <w:rPr>
                <w:sz w:val="20"/>
              </w:rPr>
              <w:t>Number of marked midblock crosswalks within</w:t>
            </w:r>
          </w:p>
          <w:p>
            <w:pPr>
              <w:pStyle w:val="TableParagraph"/>
              <w:spacing w:line="213" w:lineRule="exact"/>
              <w:ind w:left="137"/>
              <w:rPr>
                <w:sz w:val="20"/>
              </w:rPr>
            </w:pPr>
            <w:r>
              <w:rPr>
                <w:sz w:val="20"/>
              </w:rPr>
              <w:t>segment</w:t>
            </w:r>
          </w:p>
        </w:tc>
        <w:tc>
          <w:tcPr>
            <w:tcW w:w="4800" w:type="dxa"/>
            <w:tcBorders>
              <w:top w:val="single" w:sz="2" w:space="0" w:color="000000"/>
              <w:left w:val="single" w:sz="2" w:space="0" w:color="000000"/>
              <w:bottom w:val="single" w:sz="2" w:space="0" w:color="000000"/>
              <w:right w:val="nil"/>
            </w:tcBorders>
          </w:tcPr>
          <w:p>
            <w:pPr>
              <w:pStyle w:val="TableParagraph"/>
              <w:spacing w:before="112"/>
              <w:ind w:left="120"/>
              <w:rPr>
                <w:sz w:val="20"/>
              </w:rPr>
            </w:pPr>
            <w:r>
              <w:rPr>
                <w:sz w:val="20"/>
              </w:rPr>
              <w:t>Google Earth/ODOT Digital Video Log</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Presence of on-street parking</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Earth/ODOT Digital Video Log</w:t>
            </w:r>
          </w:p>
        </w:tc>
      </w:tr>
      <w:tr>
        <w:trPr>
          <w:trHeight w:val="228" w:hRule="atLeast"/>
        </w:trPr>
        <w:tc>
          <w:tcPr>
            <w:tcW w:w="4574" w:type="dxa"/>
            <w:tcBorders>
              <w:top w:val="single" w:sz="2" w:space="0" w:color="000000"/>
              <w:left w:val="nil"/>
              <w:bottom w:val="single" w:sz="2" w:space="0" w:color="000000"/>
              <w:right w:val="single" w:sz="2" w:space="0" w:color="000000"/>
            </w:tcBorders>
          </w:tcPr>
          <w:p>
            <w:pPr>
              <w:pStyle w:val="TableParagraph"/>
              <w:spacing w:line="209" w:lineRule="exact"/>
              <w:ind w:left="137"/>
              <w:rPr>
                <w:sz w:val="20"/>
              </w:rPr>
            </w:pPr>
            <w:r>
              <w:rPr>
                <w:sz w:val="20"/>
              </w:rPr>
              <w:t>Presence of lighting along segment</w:t>
            </w:r>
          </w:p>
        </w:tc>
        <w:tc>
          <w:tcPr>
            <w:tcW w:w="4800" w:type="dxa"/>
            <w:tcBorders>
              <w:top w:val="single" w:sz="2" w:space="0" w:color="000000"/>
              <w:left w:val="single" w:sz="2" w:space="0" w:color="000000"/>
              <w:bottom w:val="single" w:sz="2" w:space="0" w:color="000000"/>
              <w:right w:val="nil"/>
            </w:tcBorders>
          </w:tcPr>
          <w:p>
            <w:pPr>
              <w:pStyle w:val="TableParagraph"/>
              <w:spacing w:line="209" w:lineRule="exact"/>
              <w:ind w:left="120"/>
              <w:rPr>
                <w:sz w:val="20"/>
              </w:rPr>
            </w:pPr>
            <w:r>
              <w:rPr>
                <w:sz w:val="20"/>
              </w:rPr>
              <w:t>Google Earth/ODOT Digital Video Log</w:t>
            </w:r>
          </w:p>
        </w:tc>
      </w:tr>
      <w:tr>
        <w:trPr>
          <w:trHeight w:val="460" w:hRule="atLeast"/>
        </w:trPr>
        <w:tc>
          <w:tcPr>
            <w:tcW w:w="4574" w:type="dxa"/>
            <w:tcBorders>
              <w:top w:val="single" w:sz="2" w:space="0" w:color="000000"/>
              <w:left w:val="nil"/>
              <w:bottom w:val="single" w:sz="2" w:space="0" w:color="000000"/>
              <w:right w:val="single" w:sz="2" w:space="0" w:color="000000"/>
            </w:tcBorders>
          </w:tcPr>
          <w:p>
            <w:pPr>
              <w:pStyle w:val="TableParagraph"/>
              <w:spacing w:line="230" w:lineRule="exact"/>
              <w:ind w:left="137" w:right="737"/>
              <w:rPr>
                <w:sz w:val="20"/>
              </w:rPr>
            </w:pPr>
            <w:r>
              <w:rPr>
                <w:sz w:val="20"/>
              </w:rPr>
              <w:t>Surrounding land use (commercial, industrial, institutional, residential)</w:t>
            </w:r>
          </w:p>
        </w:tc>
        <w:tc>
          <w:tcPr>
            <w:tcW w:w="4800" w:type="dxa"/>
            <w:tcBorders>
              <w:top w:val="single" w:sz="2" w:space="0" w:color="000000"/>
              <w:left w:val="single" w:sz="2" w:space="0" w:color="000000"/>
              <w:bottom w:val="single" w:sz="2" w:space="0" w:color="000000"/>
              <w:right w:val="nil"/>
            </w:tcBorders>
          </w:tcPr>
          <w:p>
            <w:pPr>
              <w:pStyle w:val="TableParagraph"/>
              <w:spacing w:before="112"/>
              <w:ind w:left="120"/>
              <w:rPr>
                <w:sz w:val="20"/>
              </w:rPr>
            </w:pPr>
            <w:r>
              <w:rPr>
                <w:sz w:val="20"/>
              </w:rPr>
              <w:t>EPA Smart Location Database</w:t>
            </w:r>
          </w:p>
        </w:tc>
      </w:tr>
      <w:tr>
        <w:trPr>
          <w:trHeight w:val="459" w:hRule="atLeast"/>
        </w:trPr>
        <w:tc>
          <w:tcPr>
            <w:tcW w:w="4574" w:type="dxa"/>
            <w:tcBorders>
              <w:top w:val="single" w:sz="2" w:space="0" w:color="000000"/>
              <w:left w:val="nil"/>
              <w:bottom w:val="single" w:sz="2" w:space="0" w:color="000000"/>
              <w:right w:val="single" w:sz="2" w:space="0" w:color="000000"/>
            </w:tcBorders>
          </w:tcPr>
          <w:p>
            <w:pPr>
              <w:pStyle w:val="TableParagraph"/>
              <w:spacing w:line="227" w:lineRule="exact"/>
              <w:ind w:left="137"/>
              <w:rPr>
                <w:sz w:val="20"/>
              </w:rPr>
            </w:pPr>
            <w:r>
              <w:rPr>
                <w:sz w:val="20"/>
              </w:rPr>
              <w:t>Presence of school area within 1000 feet from</w:t>
            </w:r>
          </w:p>
          <w:p>
            <w:pPr>
              <w:pStyle w:val="TableParagraph"/>
              <w:spacing w:line="212" w:lineRule="exact"/>
              <w:ind w:left="137"/>
              <w:rPr>
                <w:sz w:val="20"/>
              </w:rPr>
            </w:pPr>
            <w:r>
              <w:rPr>
                <w:sz w:val="20"/>
              </w:rPr>
              <w:t>midpoint of segment</w:t>
            </w:r>
          </w:p>
        </w:tc>
        <w:tc>
          <w:tcPr>
            <w:tcW w:w="4800" w:type="dxa"/>
            <w:tcBorders>
              <w:top w:val="single" w:sz="2" w:space="0" w:color="000000"/>
              <w:left w:val="single" w:sz="2" w:space="0" w:color="000000"/>
              <w:bottom w:val="single" w:sz="2" w:space="0" w:color="000000"/>
              <w:right w:val="nil"/>
            </w:tcBorders>
          </w:tcPr>
          <w:p>
            <w:pPr>
              <w:pStyle w:val="TableParagraph"/>
              <w:spacing w:before="112"/>
              <w:ind w:left="120"/>
              <w:rPr>
                <w:sz w:val="20"/>
              </w:rPr>
            </w:pPr>
            <w:r>
              <w:rPr>
                <w:sz w:val="20"/>
              </w:rPr>
              <w:t>Google Earth</w:t>
            </w:r>
          </w:p>
        </w:tc>
      </w:tr>
      <w:tr>
        <w:trPr>
          <w:trHeight w:val="230" w:hRule="atLeast"/>
        </w:trPr>
        <w:tc>
          <w:tcPr>
            <w:tcW w:w="4574" w:type="dxa"/>
            <w:tcBorders>
              <w:top w:val="single" w:sz="2" w:space="0" w:color="000000"/>
              <w:left w:val="nil"/>
              <w:bottom w:val="single" w:sz="2" w:space="0" w:color="000000"/>
              <w:right w:val="single" w:sz="2" w:space="0" w:color="000000"/>
            </w:tcBorders>
          </w:tcPr>
          <w:p>
            <w:pPr>
              <w:pStyle w:val="TableParagraph"/>
              <w:spacing w:line="210" w:lineRule="exact"/>
              <w:ind w:left="137"/>
              <w:rPr>
                <w:sz w:val="20"/>
              </w:rPr>
            </w:pPr>
            <w:r>
              <w:rPr>
                <w:sz w:val="20"/>
              </w:rPr>
              <w:t>Number of transit lines with routes on segment</w:t>
            </w:r>
          </w:p>
        </w:tc>
        <w:tc>
          <w:tcPr>
            <w:tcW w:w="4800" w:type="dxa"/>
            <w:tcBorders>
              <w:top w:val="single" w:sz="2" w:space="0" w:color="000000"/>
              <w:left w:val="single" w:sz="2" w:space="0" w:color="000000"/>
              <w:bottom w:val="single" w:sz="2" w:space="0" w:color="000000"/>
              <w:right w:val="nil"/>
            </w:tcBorders>
          </w:tcPr>
          <w:p>
            <w:pPr>
              <w:pStyle w:val="TableParagraph"/>
              <w:spacing w:line="210" w:lineRule="exact"/>
              <w:ind w:left="120"/>
              <w:rPr>
                <w:sz w:val="20"/>
              </w:rPr>
            </w:pPr>
            <w:r>
              <w:rPr>
                <w:sz w:val="20"/>
              </w:rPr>
              <w:t>Google Transit</w:t>
            </w:r>
          </w:p>
        </w:tc>
      </w:tr>
      <w:tr>
        <w:trPr>
          <w:trHeight w:val="230" w:hRule="atLeast"/>
        </w:trPr>
        <w:tc>
          <w:tcPr>
            <w:tcW w:w="4574" w:type="dxa"/>
            <w:tcBorders>
              <w:top w:val="single" w:sz="2" w:space="0" w:color="000000"/>
              <w:left w:val="nil"/>
              <w:right w:val="single" w:sz="2" w:space="0" w:color="000000"/>
            </w:tcBorders>
          </w:tcPr>
          <w:p>
            <w:pPr>
              <w:pStyle w:val="TableParagraph"/>
              <w:spacing w:line="210" w:lineRule="exact"/>
              <w:ind w:left="137"/>
              <w:rPr>
                <w:sz w:val="20"/>
              </w:rPr>
            </w:pPr>
            <w:r>
              <w:rPr>
                <w:sz w:val="20"/>
              </w:rPr>
              <w:t>Number of intersections within segment</w:t>
            </w:r>
          </w:p>
        </w:tc>
        <w:tc>
          <w:tcPr>
            <w:tcW w:w="4800" w:type="dxa"/>
            <w:tcBorders>
              <w:top w:val="single" w:sz="2" w:space="0" w:color="000000"/>
              <w:left w:val="single" w:sz="2" w:space="0" w:color="000000"/>
              <w:right w:val="nil"/>
            </w:tcBorders>
          </w:tcPr>
          <w:p>
            <w:pPr>
              <w:pStyle w:val="TableParagraph"/>
              <w:spacing w:line="210" w:lineRule="exact"/>
              <w:ind w:left="120"/>
              <w:rPr>
                <w:sz w:val="20"/>
              </w:rPr>
            </w:pPr>
            <w:r>
              <w:rPr>
                <w:sz w:val="20"/>
              </w:rPr>
              <w:t>Google Earth/ODOT Digital Video Log</w:t>
            </w:r>
          </w:p>
        </w:tc>
      </w:tr>
    </w:tbl>
    <w:p>
      <w:pPr>
        <w:spacing w:after="0" w:line="210" w:lineRule="exact"/>
        <w:rPr>
          <w:sz w:val="20"/>
        </w:rPr>
        <w:sectPr>
          <w:pgSz w:w="12240" w:h="15840"/>
          <w:pgMar w:header="0" w:footer="709" w:top="920" w:bottom="980" w:left="1120" w:right="0"/>
        </w:sectPr>
      </w:pPr>
    </w:p>
    <w:p>
      <w:pPr>
        <w:spacing w:before="75"/>
        <w:ind w:left="320" w:right="0" w:firstLine="0"/>
        <w:jc w:val="left"/>
        <w:rPr>
          <w:b/>
          <w:sz w:val="20"/>
        </w:rPr>
      </w:pPr>
      <w:bookmarkStart w:name="_bookmark17" w:id="122"/>
      <w:bookmarkEnd w:id="122"/>
      <w:r>
        <w:rPr/>
      </w:r>
      <w:r>
        <w:rPr>
          <w:b/>
          <w:sz w:val="20"/>
        </w:rPr>
        <w:t>Table 3.5: Segment Crossing Opportunity Classification Scheme</w:t>
      </w:r>
    </w:p>
    <w:tbl>
      <w:tblPr>
        <w:tblW w:w="0" w:type="auto"/>
        <w:jc w:val="left"/>
        <w:tblInd w:w="2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5102"/>
        <w:gridCol w:w="2267"/>
        <w:gridCol w:w="2005"/>
      </w:tblGrid>
      <w:tr>
        <w:trPr>
          <w:trHeight w:val="758" w:hRule="atLeast"/>
        </w:trPr>
        <w:tc>
          <w:tcPr>
            <w:tcW w:w="5102" w:type="dxa"/>
            <w:tcBorders>
              <w:left w:val="nil"/>
              <w:right w:val="nil"/>
            </w:tcBorders>
          </w:tcPr>
          <w:p>
            <w:pPr>
              <w:pStyle w:val="TableParagraph"/>
              <w:spacing w:before="9"/>
              <w:rPr>
                <w:b/>
                <w:sz w:val="21"/>
              </w:rPr>
            </w:pPr>
          </w:p>
          <w:p>
            <w:pPr>
              <w:pStyle w:val="TableParagraph"/>
              <w:ind w:left="1461"/>
              <w:rPr>
                <w:b/>
                <w:sz w:val="22"/>
              </w:rPr>
            </w:pPr>
            <w:r>
              <w:rPr>
                <w:b/>
                <w:sz w:val="22"/>
              </w:rPr>
              <w:t>Segment Configuration</w:t>
            </w:r>
          </w:p>
        </w:tc>
        <w:tc>
          <w:tcPr>
            <w:tcW w:w="2267" w:type="dxa"/>
            <w:tcBorders>
              <w:left w:val="nil"/>
              <w:right w:val="nil"/>
            </w:tcBorders>
          </w:tcPr>
          <w:p>
            <w:pPr>
              <w:pStyle w:val="TableParagraph"/>
              <w:spacing w:before="9"/>
              <w:rPr>
                <w:b/>
                <w:sz w:val="21"/>
              </w:rPr>
            </w:pPr>
          </w:p>
          <w:p>
            <w:pPr>
              <w:pStyle w:val="TableParagraph"/>
              <w:ind w:left="875" w:right="875"/>
              <w:jc w:val="center"/>
              <w:rPr>
                <w:b/>
                <w:sz w:val="22"/>
              </w:rPr>
            </w:pPr>
            <w:r>
              <w:rPr>
                <w:b/>
                <w:sz w:val="22"/>
              </w:rPr>
              <w:t>Type</w:t>
            </w:r>
          </w:p>
        </w:tc>
        <w:tc>
          <w:tcPr>
            <w:tcW w:w="2005" w:type="dxa"/>
            <w:tcBorders>
              <w:left w:val="nil"/>
              <w:right w:val="nil"/>
            </w:tcBorders>
          </w:tcPr>
          <w:p>
            <w:pPr>
              <w:pStyle w:val="TableParagraph"/>
              <w:ind w:left="168" w:right="166"/>
              <w:jc w:val="center"/>
              <w:rPr>
                <w:b/>
                <w:sz w:val="22"/>
              </w:rPr>
            </w:pPr>
            <w:r>
              <w:rPr>
                <w:b/>
                <w:sz w:val="22"/>
              </w:rPr>
              <w:t>Maximum Walking Distance</w:t>
            </w:r>
          </w:p>
          <w:p>
            <w:pPr>
              <w:pStyle w:val="TableParagraph"/>
              <w:spacing w:line="234" w:lineRule="exact"/>
              <w:ind w:left="165" w:right="166"/>
              <w:jc w:val="center"/>
              <w:rPr>
                <w:b/>
                <w:sz w:val="22"/>
              </w:rPr>
            </w:pPr>
            <w:r>
              <w:rPr>
                <w:b/>
                <w:sz w:val="22"/>
              </w:rPr>
              <w:t>(ft.)</w:t>
            </w:r>
          </w:p>
        </w:tc>
      </w:tr>
      <w:tr>
        <w:trPr>
          <w:trHeight w:val="1000" w:hRule="atLeast"/>
        </w:trPr>
        <w:tc>
          <w:tcPr>
            <w:tcW w:w="5102" w:type="dxa"/>
            <w:tcBorders>
              <w:left w:val="nil"/>
              <w:bottom w:val="single" w:sz="4" w:space="0" w:color="000000"/>
              <w:right w:val="single" w:sz="4" w:space="0" w:color="000000"/>
            </w:tcBorders>
          </w:tcPr>
          <w:p>
            <w:pPr>
              <w:pStyle w:val="TableParagraph"/>
              <w:spacing w:before="8"/>
              <w:rPr>
                <w:b/>
                <w:sz w:val="7"/>
              </w:rPr>
            </w:pPr>
          </w:p>
          <w:p>
            <w:pPr>
              <w:pStyle w:val="TableParagraph"/>
              <w:ind w:left="183"/>
              <w:rPr>
                <w:sz w:val="20"/>
              </w:rPr>
            </w:pPr>
            <w:r>
              <w:rPr>
                <w:sz w:val="20"/>
              </w:rPr>
              <w:drawing>
                <wp:inline distT="0" distB="0" distL="0" distR="0">
                  <wp:extent cx="2984058" cy="540067"/>
                  <wp:effectExtent l="0" t="0" r="0" b="0"/>
                  <wp:docPr id="25" name="image14.jpeg" descr="https://lh4.googleusercontent.com/ncOBGogYMhBgMcQG_w-HVyT1PMxQSM4jrTzWmKZ3rphMRPPzD4QIWQZJjQ5Xj8CmtoKV9a8V9VyKu5GPc8rP_YPgrMHxATRgPcR8zX7ovZcJnyjVQo4NF5OpBcsf4AMi6KSZCbfaug"/>
                  <wp:cNvGraphicFramePr>
                    <a:graphicFrameLocks noChangeAspect="1"/>
                  </wp:cNvGraphicFramePr>
                  <a:graphic>
                    <a:graphicData uri="http://schemas.openxmlformats.org/drawingml/2006/picture">
                      <pic:pic>
                        <pic:nvPicPr>
                          <pic:cNvPr id="26" name="image14.jpeg"/>
                          <pic:cNvPicPr/>
                        </pic:nvPicPr>
                        <pic:blipFill>
                          <a:blip r:embed="rId23" cstate="print"/>
                          <a:stretch>
                            <a:fillRect/>
                          </a:stretch>
                        </pic:blipFill>
                        <pic:spPr>
                          <a:xfrm>
                            <a:off x="0" y="0"/>
                            <a:ext cx="2984058" cy="540067"/>
                          </a:xfrm>
                          <a:prstGeom prst="rect">
                            <a:avLst/>
                          </a:prstGeom>
                        </pic:spPr>
                      </pic:pic>
                    </a:graphicData>
                  </a:graphic>
                </wp:inline>
              </w:drawing>
            </w:r>
            <w:r>
              <w:rPr>
                <w:sz w:val="20"/>
              </w:rPr>
            </w:r>
          </w:p>
        </w:tc>
        <w:tc>
          <w:tcPr>
            <w:tcW w:w="2267" w:type="dxa"/>
            <w:tcBorders>
              <w:left w:val="single" w:sz="4" w:space="0" w:color="000000"/>
              <w:bottom w:val="single" w:sz="4" w:space="0" w:color="000000"/>
              <w:right w:val="single" w:sz="4" w:space="0" w:color="000000"/>
            </w:tcBorders>
          </w:tcPr>
          <w:p>
            <w:pPr>
              <w:pStyle w:val="TableParagraph"/>
              <w:spacing w:before="2"/>
              <w:rPr>
                <w:b/>
                <w:sz w:val="31"/>
              </w:rPr>
            </w:pPr>
          </w:p>
          <w:p>
            <w:pPr>
              <w:pStyle w:val="TableParagraph"/>
              <w:jc w:val="center"/>
              <w:rPr>
                <w:sz w:val="24"/>
              </w:rPr>
            </w:pPr>
            <w:r>
              <w:rPr>
                <w:w w:val="99"/>
                <w:sz w:val="24"/>
              </w:rPr>
              <w:t>A</w:t>
            </w:r>
          </w:p>
        </w:tc>
        <w:tc>
          <w:tcPr>
            <w:tcW w:w="2005" w:type="dxa"/>
            <w:tcBorders>
              <w:left w:val="single" w:sz="4" w:space="0" w:color="000000"/>
              <w:bottom w:val="single" w:sz="4" w:space="0" w:color="000000"/>
              <w:right w:val="nil"/>
            </w:tcBorders>
          </w:tcPr>
          <w:p>
            <w:pPr>
              <w:pStyle w:val="TableParagraph"/>
              <w:spacing w:before="3"/>
              <w:rPr>
                <w:b/>
                <w:sz w:val="32"/>
              </w:rPr>
            </w:pPr>
          </w:p>
          <w:p>
            <w:pPr>
              <w:pStyle w:val="TableParagraph"/>
              <w:spacing w:before="1"/>
              <w:ind w:right="221"/>
              <w:jc w:val="right"/>
              <w:rPr>
                <w:sz w:val="22"/>
              </w:rPr>
            </w:pPr>
            <w:r>
              <w:rPr>
                <w:sz w:val="22"/>
              </w:rPr>
              <w:t>½ segment length</w:t>
            </w:r>
          </w:p>
        </w:tc>
      </w:tr>
      <w:tr>
        <w:trPr>
          <w:trHeight w:val="939" w:hRule="atLeast"/>
        </w:trPr>
        <w:tc>
          <w:tcPr>
            <w:tcW w:w="5102" w:type="dxa"/>
            <w:tcBorders>
              <w:top w:val="single" w:sz="4" w:space="0" w:color="000000"/>
              <w:left w:val="nil"/>
              <w:bottom w:val="single" w:sz="4" w:space="0" w:color="000000"/>
              <w:right w:val="single" w:sz="4" w:space="0" w:color="000000"/>
            </w:tcBorders>
          </w:tcPr>
          <w:p>
            <w:pPr>
              <w:pStyle w:val="TableParagraph"/>
              <w:spacing w:before="4"/>
              <w:rPr>
                <w:b/>
                <w:sz w:val="8"/>
              </w:rPr>
            </w:pPr>
          </w:p>
          <w:p>
            <w:pPr>
              <w:pStyle w:val="TableParagraph"/>
              <w:ind w:left="160"/>
              <w:rPr>
                <w:sz w:val="20"/>
              </w:rPr>
            </w:pPr>
            <w:r>
              <w:rPr>
                <w:sz w:val="20"/>
              </w:rPr>
              <w:drawing>
                <wp:inline distT="0" distB="0" distL="0" distR="0">
                  <wp:extent cx="2819682" cy="512064"/>
                  <wp:effectExtent l="0" t="0" r="0" b="0"/>
                  <wp:docPr id="27" name="image15.jpeg" descr="https://lh4.googleusercontent.com/tADcn2cCHr7QWv8lF2AayujuNujNW_4O5sYWQ6A7xX8vh-Cd1WYGwX3Gx9fENqw0y1aFDzKaTd5fjHpyFBHoBqQsYMV6nSqKGO83s74MtPKOZts8BMOTfKN4SxhvXyQFSuO1cazrdw"/>
                  <wp:cNvGraphicFramePr>
                    <a:graphicFrameLocks noChangeAspect="1"/>
                  </wp:cNvGraphicFramePr>
                  <a:graphic>
                    <a:graphicData uri="http://schemas.openxmlformats.org/drawingml/2006/picture">
                      <pic:pic>
                        <pic:nvPicPr>
                          <pic:cNvPr id="28" name="image15.jpeg"/>
                          <pic:cNvPicPr/>
                        </pic:nvPicPr>
                        <pic:blipFill>
                          <a:blip r:embed="rId24" cstate="print"/>
                          <a:stretch>
                            <a:fillRect/>
                          </a:stretch>
                        </pic:blipFill>
                        <pic:spPr>
                          <a:xfrm>
                            <a:off x="0" y="0"/>
                            <a:ext cx="2819682" cy="512064"/>
                          </a:xfrm>
                          <a:prstGeom prst="rect">
                            <a:avLst/>
                          </a:prstGeom>
                        </pic:spPr>
                      </pic:pic>
                    </a:graphicData>
                  </a:graphic>
                </wp:inline>
              </w:drawing>
            </w:r>
            <w:r>
              <w:rPr>
                <w:sz w:val="20"/>
              </w:rPr>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before="6"/>
              <w:rPr>
                <w:b/>
                <w:sz w:val="28"/>
              </w:rPr>
            </w:pPr>
          </w:p>
          <w:p>
            <w:pPr>
              <w:pStyle w:val="TableParagraph"/>
              <w:spacing w:before="1"/>
              <w:jc w:val="center"/>
              <w:rPr>
                <w:sz w:val="24"/>
              </w:rPr>
            </w:pPr>
            <w:r>
              <w:rPr>
                <w:sz w:val="24"/>
              </w:rPr>
              <w:t>B</w:t>
            </w:r>
          </w:p>
        </w:tc>
        <w:tc>
          <w:tcPr>
            <w:tcW w:w="2005" w:type="dxa"/>
            <w:tcBorders>
              <w:top w:val="single" w:sz="4" w:space="0" w:color="000000"/>
              <w:left w:val="single" w:sz="4" w:space="0" w:color="000000"/>
              <w:bottom w:val="single" w:sz="4" w:space="0" w:color="000000"/>
              <w:right w:val="nil"/>
            </w:tcBorders>
          </w:tcPr>
          <w:p>
            <w:pPr>
              <w:pStyle w:val="TableParagraph"/>
              <w:spacing w:before="6"/>
              <w:rPr>
                <w:b/>
                <w:sz w:val="28"/>
              </w:rPr>
            </w:pPr>
          </w:p>
          <w:p>
            <w:pPr>
              <w:pStyle w:val="TableParagraph"/>
              <w:spacing w:before="1"/>
              <w:ind w:right="209"/>
              <w:jc w:val="right"/>
              <w:rPr>
                <w:sz w:val="24"/>
              </w:rPr>
            </w:pPr>
            <w:r>
              <w:rPr>
                <w:sz w:val="22"/>
              </w:rPr>
              <w:t>½ </w:t>
            </w:r>
            <w:r>
              <w:rPr>
                <w:sz w:val="24"/>
              </w:rPr>
              <w:t>segment length</w:t>
            </w:r>
          </w:p>
        </w:tc>
      </w:tr>
      <w:tr>
        <w:trPr>
          <w:trHeight w:val="1232" w:hRule="atLeast"/>
        </w:trPr>
        <w:tc>
          <w:tcPr>
            <w:tcW w:w="5102" w:type="dxa"/>
            <w:tcBorders>
              <w:top w:val="single" w:sz="4" w:space="0" w:color="000000"/>
              <w:left w:val="nil"/>
              <w:bottom w:val="single" w:sz="4" w:space="0" w:color="000000"/>
              <w:right w:val="single" w:sz="4" w:space="0" w:color="000000"/>
            </w:tcBorders>
          </w:tcPr>
          <w:p>
            <w:pPr>
              <w:pStyle w:val="TableParagraph"/>
              <w:spacing w:before="5" w:after="1"/>
              <w:rPr>
                <w:b/>
                <w:sz w:val="20"/>
              </w:rPr>
            </w:pPr>
          </w:p>
          <w:p>
            <w:pPr>
              <w:pStyle w:val="TableParagraph"/>
              <w:ind w:left="179"/>
              <w:rPr>
                <w:sz w:val="20"/>
              </w:rPr>
            </w:pPr>
            <w:r>
              <w:rPr>
                <w:sz w:val="20"/>
              </w:rPr>
              <w:drawing>
                <wp:inline distT="0" distB="0" distL="0" distR="0">
                  <wp:extent cx="2827315" cy="540639"/>
                  <wp:effectExtent l="0" t="0" r="0" b="0"/>
                  <wp:docPr id="29" name="image16.jpeg" descr="https://lh6.googleusercontent.com/VUuC5R4bcd_sWFJ4mWnVItdKbGKUEBj8QmjMS9DNLaIBgwY5Fk18sICO5L1DgUW0Wdj4Bf64cv_qJqi3yViMJNZhQhUop_Xnh1llzencwnI-UH_79orqBJCimBEtL6VR4FC6lDmYuQ"/>
                  <wp:cNvGraphicFramePr>
                    <a:graphicFrameLocks noChangeAspect="1"/>
                  </wp:cNvGraphicFramePr>
                  <a:graphic>
                    <a:graphicData uri="http://schemas.openxmlformats.org/drawingml/2006/picture">
                      <pic:pic>
                        <pic:nvPicPr>
                          <pic:cNvPr id="30" name="image16.jpeg"/>
                          <pic:cNvPicPr/>
                        </pic:nvPicPr>
                        <pic:blipFill>
                          <a:blip r:embed="rId25" cstate="print"/>
                          <a:stretch>
                            <a:fillRect/>
                          </a:stretch>
                        </pic:blipFill>
                        <pic:spPr>
                          <a:xfrm>
                            <a:off x="0" y="0"/>
                            <a:ext cx="2827315" cy="540639"/>
                          </a:xfrm>
                          <a:prstGeom prst="rect">
                            <a:avLst/>
                          </a:prstGeom>
                        </pic:spPr>
                      </pic:pic>
                    </a:graphicData>
                  </a:graphic>
                </wp:inline>
              </w:drawing>
            </w:r>
            <w:r>
              <w:rPr>
                <w:sz w:val="20"/>
              </w:rPr>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rPr>
                <w:b/>
                <w:sz w:val="26"/>
              </w:rPr>
            </w:pPr>
          </w:p>
          <w:p>
            <w:pPr>
              <w:pStyle w:val="TableParagraph"/>
              <w:spacing w:before="176"/>
              <w:jc w:val="center"/>
              <w:rPr>
                <w:sz w:val="24"/>
              </w:rPr>
            </w:pPr>
            <w:r>
              <w:rPr>
                <w:sz w:val="24"/>
              </w:rPr>
              <w:t>C</w:t>
            </w:r>
          </w:p>
        </w:tc>
        <w:tc>
          <w:tcPr>
            <w:tcW w:w="2005" w:type="dxa"/>
            <w:tcBorders>
              <w:top w:val="single" w:sz="4" w:space="0" w:color="000000"/>
              <w:left w:val="single" w:sz="4" w:space="0" w:color="000000"/>
              <w:bottom w:val="single" w:sz="4" w:space="0" w:color="000000"/>
              <w:right w:val="nil"/>
            </w:tcBorders>
          </w:tcPr>
          <w:p>
            <w:pPr>
              <w:pStyle w:val="TableParagraph"/>
              <w:spacing w:before="3"/>
              <w:rPr>
                <w:b/>
                <w:sz w:val="29"/>
              </w:rPr>
            </w:pPr>
          </w:p>
          <w:p>
            <w:pPr>
              <w:pStyle w:val="TableParagraph"/>
              <w:spacing w:before="1"/>
              <w:ind w:left="710" w:right="299" w:hanging="336"/>
              <w:rPr>
                <w:sz w:val="24"/>
              </w:rPr>
            </w:pPr>
            <w:r>
              <w:rPr>
                <w:sz w:val="24"/>
              </w:rPr>
              <w:t>Distance B in figure</w:t>
            </w:r>
          </w:p>
        </w:tc>
      </w:tr>
      <w:tr>
        <w:trPr>
          <w:trHeight w:val="1133" w:hRule="atLeast"/>
        </w:trPr>
        <w:tc>
          <w:tcPr>
            <w:tcW w:w="5102" w:type="dxa"/>
            <w:tcBorders>
              <w:top w:val="single" w:sz="4" w:space="0" w:color="000000"/>
              <w:left w:val="nil"/>
              <w:bottom w:val="single" w:sz="4" w:space="0" w:color="000000"/>
              <w:right w:val="single" w:sz="4" w:space="0" w:color="000000"/>
            </w:tcBorders>
          </w:tcPr>
          <w:p>
            <w:pPr>
              <w:pStyle w:val="TableParagraph"/>
              <w:spacing w:before="2" w:after="1"/>
              <w:rPr>
                <w:b/>
                <w:sz w:val="12"/>
              </w:rPr>
            </w:pPr>
          </w:p>
          <w:p>
            <w:pPr>
              <w:pStyle w:val="TableParagraph"/>
              <w:ind w:left="135"/>
              <w:rPr>
                <w:sz w:val="20"/>
              </w:rPr>
            </w:pPr>
            <w:r>
              <w:rPr>
                <w:sz w:val="20"/>
              </w:rPr>
              <w:drawing>
                <wp:inline distT="0" distB="0" distL="0" distR="0">
                  <wp:extent cx="2721829" cy="536543"/>
                  <wp:effectExtent l="0" t="0" r="0" b="0"/>
                  <wp:docPr id="31" name="image17.jpeg" descr="https://lh3.googleusercontent.com/zwGcQpXKJeN327jCVeOeDURnX0TvvkviVmzoV2t1Z3U5SnFVhhagD0_5DQmhhsMEg31RjDi96inZz9HaOJme3AW0zabb-xAlVyb6TbvFsE2Yn-j37WuKwCCOK_jLMFslP7binQ_xRQ"/>
                  <wp:cNvGraphicFramePr>
                    <a:graphicFrameLocks noChangeAspect="1"/>
                  </wp:cNvGraphicFramePr>
                  <a:graphic>
                    <a:graphicData uri="http://schemas.openxmlformats.org/drawingml/2006/picture">
                      <pic:pic>
                        <pic:nvPicPr>
                          <pic:cNvPr id="32" name="image17.jpeg"/>
                          <pic:cNvPicPr/>
                        </pic:nvPicPr>
                        <pic:blipFill>
                          <a:blip r:embed="rId26" cstate="print"/>
                          <a:stretch>
                            <a:fillRect/>
                          </a:stretch>
                        </pic:blipFill>
                        <pic:spPr>
                          <a:xfrm>
                            <a:off x="0" y="0"/>
                            <a:ext cx="2721829" cy="536543"/>
                          </a:xfrm>
                          <a:prstGeom prst="rect">
                            <a:avLst/>
                          </a:prstGeom>
                        </pic:spPr>
                      </pic:pic>
                    </a:graphicData>
                  </a:graphic>
                </wp:inline>
              </w:drawing>
            </w:r>
            <w:r>
              <w:rPr>
                <w:sz w:val="20"/>
              </w:rPr>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rPr>
                <w:b/>
                <w:sz w:val="37"/>
              </w:rPr>
            </w:pPr>
          </w:p>
          <w:p>
            <w:pPr>
              <w:pStyle w:val="TableParagraph"/>
              <w:jc w:val="center"/>
              <w:rPr>
                <w:sz w:val="24"/>
              </w:rPr>
            </w:pPr>
            <w:r>
              <w:rPr>
                <w:w w:val="99"/>
                <w:sz w:val="24"/>
              </w:rPr>
              <w:t>D</w:t>
            </w:r>
          </w:p>
        </w:tc>
        <w:tc>
          <w:tcPr>
            <w:tcW w:w="2005" w:type="dxa"/>
            <w:tcBorders>
              <w:top w:val="single" w:sz="4" w:space="0" w:color="000000"/>
              <w:left w:val="single" w:sz="4" w:space="0" w:color="000000"/>
              <w:bottom w:val="single" w:sz="4" w:space="0" w:color="000000"/>
              <w:right w:val="nil"/>
            </w:tcBorders>
          </w:tcPr>
          <w:p>
            <w:pPr>
              <w:pStyle w:val="TableParagraph"/>
              <w:spacing w:before="150"/>
              <w:ind w:left="103" w:right="214"/>
              <w:jc w:val="both"/>
              <w:rPr>
                <w:sz w:val="24"/>
              </w:rPr>
            </w:pPr>
            <w:r>
              <w:rPr>
                <w:sz w:val="24"/>
              </w:rPr>
              <w:t>Half of minimum of distance B and A in figure</w:t>
            </w:r>
          </w:p>
        </w:tc>
      </w:tr>
      <w:tr>
        <w:trPr>
          <w:trHeight w:val="869" w:hRule="atLeast"/>
        </w:trPr>
        <w:tc>
          <w:tcPr>
            <w:tcW w:w="5102" w:type="dxa"/>
            <w:tcBorders>
              <w:top w:val="single" w:sz="4" w:space="0" w:color="000000"/>
              <w:left w:val="nil"/>
              <w:bottom w:val="single" w:sz="4" w:space="0" w:color="000000"/>
              <w:right w:val="single" w:sz="4" w:space="0" w:color="000000"/>
            </w:tcBorders>
          </w:tcPr>
          <w:p>
            <w:pPr>
              <w:pStyle w:val="TableParagraph"/>
              <w:spacing w:before="7"/>
              <w:rPr>
                <w:b/>
                <w:sz w:val="6"/>
              </w:rPr>
            </w:pPr>
          </w:p>
          <w:p>
            <w:pPr>
              <w:pStyle w:val="TableParagraph"/>
              <w:ind w:left="170"/>
              <w:rPr>
                <w:sz w:val="20"/>
              </w:rPr>
            </w:pPr>
            <w:r>
              <w:rPr>
                <w:sz w:val="20"/>
              </w:rPr>
              <w:drawing>
                <wp:inline distT="0" distB="0" distL="0" distR="0">
                  <wp:extent cx="2597092" cy="493775"/>
                  <wp:effectExtent l="0" t="0" r="0" b="0"/>
                  <wp:docPr id="33" name="image18.png" descr=""/>
                  <wp:cNvGraphicFramePr>
                    <a:graphicFrameLocks noChangeAspect="1"/>
                  </wp:cNvGraphicFramePr>
                  <a:graphic>
                    <a:graphicData uri="http://schemas.openxmlformats.org/drawingml/2006/picture">
                      <pic:pic>
                        <pic:nvPicPr>
                          <pic:cNvPr id="34" name="image18.png"/>
                          <pic:cNvPicPr/>
                        </pic:nvPicPr>
                        <pic:blipFill>
                          <a:blip r:embed="rId27" cstate="print"/>
                          <a:stretch>
                            <a:fillRect/>
                          </a:stretch>
                        </pic:blipFill>
                        <pic:spPr>
                          <a:xfrm>
                            <a:off x="0" y="0"/>
                            <a:ext cx="2597092" cy="493775"/>
                          </a:xfrm>
                          <a:prstGeom prst="rect">
                            <a:avLst/>
                          </a:prstGeom>
                        </pic:spPr>
                      </pic:pic>
                    </a:graphicData>
                  </a:graphic>
                </wp:inline>
              </w:drawing>
            </w:r>
            <w:r>
              <w:rPr>
                <w:sz w:val="20"/>
              </w:rPr>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before="5"/>
              <w:rPr>
                <w:b/>
                <w:sz w:val="25"/>
              </w:rPr>
            </w:pPr>
          </w:p>
          <w:p>
            <w:pPr>
              <w:pStyle w:val="TableParagraph"/>
              <w:jc w:val="center"/>
              <w:rPr>
                <w:sz w:val="24"/>
              </w:rPr>
            </w:pPr>
            <w:r>
              <w:rPr>
                <w:sz w:val="24"/>
              </w:rPr>
              <w:t>E</w:t>
            </w:r>
          </w:p>
        </w:tc>
        <w:tc>
          <w:tcPr>
            <w:tcW w:w="2005" w:type="dxa"/>
            <w:tcBorders>
              <w:top w:val="single" w:sz="4" w:space="0" w:color="000000"/>
              <w:left w:val="single" w:sz="4" w:space="0" w:color="000000"/>
              <w:bottom w:val="single" w:sz="4" w:space="0" w:color="000000"/>
              <w:right w:val="nil"/>
            </w:tcBorders>
          </w:tcPr>
          <w:p>
            <w:pPr>
              <w:pStyle w:val="TableParagraph"/>
              <w:spacing w:before="155"/>
              <w:ind w:left="710" w:right="299" w:hanging="336"/>
              <w:rPr>
                <w:sz w:val="24"/>
              </w:rPr>
            </w:pPr>
            <w:r>
              <w:rPr>
                <w:sz w:val="24"/>
              </w:rPr>
              <w:t>Distance B in figure</w:t>
            </w:r>
          </w:p>
        </w:tc>
      </w:tr>
      <w:tr>
        <w:trPr>
          <w:trHeight w:val="1050" w:hRule="atLeast"/>
        </w:trPr>
        <w:tc>
          <w:tcPr>
            <w:tcW w:w="5102" w:type="dxa"/>
            <w:tcBorders>
              <w:top w:val="single" w:sz="4" w:space="0" w:color="000000"/>
              <w:left w:val="nil"/>
              <w:right w:val="single" w:sz="4" w:space="0" w:color="000000"/>
            </w:tcBorders>
          </w:tcPr>
          <w:p>
            <w:pPr>
              <w:pStyle w:val="TableParagraph"/>
              <w:spacing w:before="3"/>
              <w:rPr>
                <w:b/>
                <w:sz w:val="21"/>
              </w:rPr>
            </w:pPr>
          </w:p>
          <w:p>
            <w:pPr>
              <w:pStyle w:val="TableParagraph"/>
              <w:ind w:left="208"/>
              <w:rPr>
                <w:sz w:val="20"/>
              </w:rPr>
            </w:pPr>
            <w:r>
              <w:rPr>
                <w:sz w:val="20"/>
              </w:rPr>
              <w:drawing>
                <wp:inline distT="0" distB="0" distL="0" distR="0">
                  <wp:extent cx="2625881" cy="335279"/>
                  <wp:effectExtent l="0" t="0" r="0" b="0"/>
                  <wp:docPr id="35" name="image19.png" descr="https://lh3.googleusercontent.com/uvYv_QOUcUIur31eqZQKbyKv8Y-G2Yrzpr81VAIUdl4zhYfbeUEn02c_kGg2-0gXZ2aUUpVP5jo-kl8XEkd9yAI7vp5-HBBr5xhMPAQ8S-zzmSWWbDNICur0FqeuwgCqshcjc2nnqA"/>
                  <wp:cNvGraphicFramePr>
                    <a:graphicFrameLocks noChangeAspect="1"/>
                  </wp:cNvGraphicFramePr>
                  <a:graphic>
                    <a:graphicData uri="http://schemas.openxmlformats.org/drawingml/2006/picture">
                      <pic:pic>
                        <pic:nvPicPr>
                          <pic:cNvPr id="36" name="image19.png"/>
                          <pic:cNvPicPr/>
                        </pic:nvPicPr>
                        <pic:blipFill>
                          <a:blip r:embed="rId28" cstate="print"/>
                          <a:stretch>
                            <a:fillRect/>
                          </a:stretch>
                        </pic:blipFill>
                        <pic:spPr>
                          <a:xfrm>
                            <a:off x="0" y="0"/>
                            <a:ext cx="2625881" cy="335279"/>
                          </a:xfrm>
                          <a:prstGeom prst="rect">
                            <a:avLst/>
                          </a:prstGeom>
                        </pic:spPr>
                      </pic:pic>
                    </a:graphicData>
                  </a:graphic>
                </wp:inline>
              </w:drawing>
            </w:r>
            <w:r>
              <w:rPr>
                <w:sz w:val="20"/>
              </w:rPr>
            </w:r>
          </w:p>
        </w:tc>
        <w:tc>
          <w:tcPr>
            <w:tcW w:w="2267" w:type="dxa"/>
            <w:tcBorders>
              <w:top w:val="single" w:sz="4" w:space="0" w:color="000000"/>
              <w:left w:val="single" w:sz="4" w:space="0" w:color="000000"/>
              <w:right w:val="single" w:sz="4" w:space="0" w:color="000000"/>
            </w:tcBorders>
          </w:tcPr>
          <w:p>
            <w:pPr>
              <w:pStyle w:val="TableParagraph"/>
              <w:spacing w:before="1"/>
              <w:rPr>
                <w:b/>
                <w:sz w:val="33"/>
              </w:rPr>
            </w:pPr>
          </w:p>
          <w:p>
            <w:pPr>
              <w:pStyle w:val="TableParagraph"/>
              <w:jc w:val="center"/>
              <w:rPr>
                <w:sz w:val="24"/>
              </w:rPr>
            </w:pPr>
            <w:r>
              <w:rPr>
                <w:w w:val="99"/>
                <w:sz w:val="24"/>
              </w:rPr>
              <w:t>N</w:t>
            </w:r>
          </w:p>
        </w:tc>
        <w:tc>
          <w:tcPr>
            <w:tcW w:w="2005" w:type="dxa"/>
            <w:tcBorders>
              <w:top w:val="single" w:sz="4" w:space="0" w:color="000000"/>
              <w:left w:val="single" w:sz="4" w:space="0" w:color="000000"/>
              <w:right w:val="nil"/>
            </w:tcBorders>
          </w:tcPr>
          <w:p>
            <w:pPr>
              <w:pStyle w:val="TableParagraph"/>
              <w:spacing w:before="1"/>
              <w:rPr>
                <w:b/>
                <w:sz w:val="33"/>
              </w:rPr>
            </w:pPr>
          </w:p>
          <w:p>
            <w:pPr>
              <w:pStyle w:val="TableParagraph"/>
              <w:ind w:right="159"/>
              <w:jc w:val="right"/>
              <w:rPr>
                <w:sz w:val="24"/>
              </w:rPr>
            </w:pPr>
            <w:r>
              <w:rPr>
                <w:sz w:val="22"/>
              </w:rPr>
              <w:t>½ </w:t>
            </w:r>
            <w:r>
              <w:rPr>
                <w:sz w:val="24"/>
              </w:rPr>
              <w:t>segment length</w:t>
            </w:r>
          </w:p>
        </w:tc>
      </w:tr>
    </w:tbl>
    <w:p>
      <w:pPr>
        <w:pStyle w:val="BodyText"/>
        <w:spacing w:before="4"/>
        <w:rPr>
          <w:b/>
          <w:sz w:val="23"/>
        </w:rPr>
      </w:pPr>
    </w:p>
    <w:p>
      <w:pPr>
        <w:pStyle w:val="Heading3"/>
        <w:numPr>
          <w:ilvl w:val="2"/>
          <w:numId w:val="27"/>
        </w:numPr>
        <w:tabs>
          <w:tab w:pos="1040" w:val="left" w:leader="none"/>
        </w:tabs>
        <w:spacing w:line="240" w:lineRule="auto" w:before="0" w:after="0"/>
        <w:ind w:left="1039" w:right="0" w:hanging="719"/>
        <w:jc w:val="left"/>
      </w:pPr>
      <w:bookmarkStart w:name="_TOC_250045" w:id="123"/>
      <w:bookmarkStart w:name="3.2.2 Intersections" w:id="124"/>
      <w:r>
        <w:rPr>
          <w:b w:val="0"/>
        </w:rPr>
      </w:r>
      <w:bookmarkEnd w:id="124"/>
      <w:bookmarkStart w:name="3.2.2 Intersections" w:id="125"/>
      <w:r>
        <w:rPr/>
        <w:t>Int</w:t>
      </w:r>
      <w:bookmarkEnd w:id="123"/>
      <w:r>
        <w:rPr/>
        <w:t>ersections</w:t>
      </w:r>
    </w:p>
    <w:p>
      <w:pPr>
        <w:pStyle w:val="BodyText"/>
        <w:spacing w:before="237"/>
        <w:ind w:left="320" w:right="1684"/>
      </w:pPr>
      <w:hyperlink w:history="true" w:anchor="_bookmark18">
        <w:r>
          <w:rPr/>
          <w:t>Table 3.6</w:t>
        </w:r>
      </w:hyperlink>
      <w:r>
        <w:rPr/>
        <w:t> summarizes the data elements collected at intersections. Data were collected on each leg of the intersection approach. However, for modeling purposes, much of the data were condensed to represent the intersection-level rather than each approach. Note that volume of vehicles and bicycles is explained in Section 3.2.4.</w:t>
      </w:r>
    </w:p>
    <w:p>
      <w:pPr>
        <w:spacing w:after="0"/>
        <w:sectPr>
          <w:pgSz w:w="12240" w:h="15840"/>
          <w:pgMar w:header="0" w:footer="709" w:top="920" w:bottom="980" w:left="1120" w:right="0"/>
        </w:sectPr>
      </w:pPr>
    </w:p>
    <w:p>
      <w:pPr>
        <w:tabs>
          <w:tab w:pos="9463" w:val="left" w:leader="none"/>
        </w:tabs>
        <w:spacing w:before="75" w:after="39"/>
        <w:ind w:left="320" w:right="0" w:firstLine="0"/>
        <w:jc w:val="left"/>
        <w:rPr>
          <w:b/>
          <w:sz w:val="20"/>
        </w:rPr>
      </w:pPr>
      <w:bookmarkStart w:name="_bookmark18" w:id="126"/>
      <w:bookmarkEnd w:id="126"/>
      <w:r>
        <w:rPr/>
      </w:r>
      <w:r>
        <w:rPr>
          <w:b/>
          <w:sz w:val="20"/>
        </w:rPr>
        <w:t>Ta</w:t>
      </w:r>
      <w:r>
        <w:rPr>
          <w:b/>
          <w:sz w:val="20"/>
          <w:u w:val="thick"/>
        </w:rPr>
        <w:t>ble 3.6: Intersection Data</w:t>
      </w:r>
      <w:r>
        <w:rPr>
          <w:b/>
          <w:spacing w:val="-15"/>
          <w:sz w:val="20"/>
          <w:u w:val="thick"/>
        </w:rPr>
        <w:t> </w:t>
      </w:r>
      <w:r>
        <w:rPr>
          <w:b/>
          <w:sz w:val="20"/>
          <w:u w:val="thick"/>
        </w:rPr>
        <w:t>Elements</w:t>
        <w:tab/>
      </w:r>
    </w:p>
    <w:tbl>
      <w:tblPr>
        <w:tblW w:w="0" w:type="auto"/>
        <w:jc w:val="left"/>
        <w:tblInd w:w="5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622"/>
        <w:gridCol w:w="4320"/>
      </w:tblGrid>
      <w:tr>
        <w:trPr>
          <w:trHeight w:val="221" w:hRule="atLeast"/>
        </w:trPr>
        <w:tc>
          <w:tcPr>
            <w:tcW w:w="4622" w:type="dxa"/>
            <w:tcBorders>
              <w:top w:val="nil"/>
              <w:left w:val="nil"/>
              <w:right w:val="nil"/>
            </w:tcBorders>
          </w:tcPr>
          <w:p>
            <w:pPr>
              <w:pStyle w:val="TableParagraph"/>
              <w:spacing w:line="201" w:lineRule="exact"/>
              <w:ind w:left="122"/>
              <w:rPr>
                <w:b/>
                <w:sz w:val="20"/>
              </w:rPr>
            </w:pPr>
            <w:r>
              <w:rPr>
                <w:b/>
                <w:sz w:val="20"/>
              </w:rPr>
              <w:t>Segment Data Element</w:t>
            </w:r>
          </w:p>
        </w:tc>
        <w:tc>
          <w:tcPr>
            <w:tcW w:w="4320" w:type="dxa"/>
            <w:tcBorders>
              <w:top w:val="nil"/>
              <w:left w:val="nil"/>
              <w:right w:val="nil"/>
            </w:tcBorders>
          </w:tcPr>
          <w:p>
            <w:pPr>
              <w:pStyle w:val="TableParagraph"/>
              <w:spacing w:line="201" w:lineRule="exact"/>
              <w:ind w:left="930"/>
              <w:rPr>
                <w:b/>
                <w:sz w:val="20"/>
              </w:rPr>
            </w:pPr>
            <w:r>
              <w:rPr>
                <w:b/>
                <w:sz w:val="20"/>
              </w:rPr>
              <w:t>Collection Method or Source</w:t>
            </w:r>
          </w:p>
        </w:tc>
      </w:tr>
      <w:tr>
        <w:trPr>
          <w:trHeight w:val="229" w:hRule="atLeast"/>
        </w:trPr>
        <w:tc>
          <w:tcPr>
            <w:tcW w:w="4622" w:type="dxa"/>
            <w:tcBorders>
              <w:left w:val="nil"/>
              <w:bottom w:val="single" w:sz="4" w:space="0" w:color="000000"/>
              <w:right w:val="single" w:sz="4" w:space="0" w:color="000000"/>
            </w:tcBorders>
          </w:tcPr>
          <w:p>
            <w:pPr>
              <w:pStyle w:val="TableParagraph"/>
              <w:spacing w:line="210" w:lineRule="exact"/>
              <w:ind w:left="122"/>
              <w:rPr>
                <w:sz w:val="20"/>
              </w:rPr>
            </w:pPr>
            <w:r>
              <w:rPr>
                <w:sz w:val="20"/>
              </w:rPr>
              <w:t>Traffic volume (AADT, factored 2014)</w:t>
            </w:r>
          </w:p>
        </w:tc>
        <w:tc>
          <w:tcPr>
            <w:tcW w:w="4320" w:type="dxa"/>
            <w:tcBorders>
              <w:left w:val="single" w:sz="4" w:space="0" w:color="000000"/>
              <w:bottom w:val="single" w:sz="4" w:space="0" w:color="000000"/>
              <w:right w:val="nil"/>
            </w:tcBorders>
          </w:tcPr>
          <w:p>
            <w:pPr>
              <w:pStyle w:val="TableParagraph"/>
              <w:spacing w:line="210" w:lineRule="exact"/>
              <w:ind w:left="103"/>
              <w:rPr>
                <w:sz w:val="20"/>
              </w:rPr>
            </w:pPr>
            <w:r>
              <w:rPr>
                <w:sz w:val="20"/>
              </w:rPr>
              <w:t>ODOT databases, local files, other sources</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Estimated bicycle volume per day (STRAVA)</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STRAVA database with expansion</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Functional class of roadway</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ODOT databases</w:t>
            </w:r>
          </w:p>
        </w:tc>
      </w:tr>
      <w:tr>
        <w:trPr>
          <w:trHeight w:val="229"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Number of left-turn lanes</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Number of right-turn lanes</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Presence of bicycle lanes</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460" w:hRule="atLeast"/>
        </w:trPr>
        <w:tc>
          <w:tcPr>
            <w:tcW w:w="4622" w:type="dxa"/>
            <w:tcBorders>
              <w:top w:val="single" w:sz="4" w:space="0" w:color="000000"/>
              <w:left w:val="nil"/>
              <w:bottom w:val="single" w:sz="4" w:space="0" w:color="000000"/>
              <w:right w:val="single" w:sz="4" w:space="0" w:color="000000"/>
            </w:tcBorders>
          </w:tcPr>
          <w:p>
            <w:pPr>
              <w:pStyle w:val="TableParagraph"/>
              <w:spacing w:line="230" w:lineRule="exact"/>
              <w:ind w:left="122" w:right="109"/>
              <w:rPr>
                <w:sz w:val="20"/>
              </w:rPr>
            </w:pPr>
            <w:r>
              <w:rPr>
                <w:sz w:val="20"/>
              </w:rPr>
              <w:t>Number of total traffic lanes (including left- and right- turn lanes) on all approaches</w:t>
            </w:r>
          </w:p>
        </w:tc>
        <w:tc>
          <w:tcPr>
            <w:tcW w:w="4320" w:type="dxa"/>
            <w:tcBorders>
              <w:top w:val="single" w:sz="4" w:space="0" w:color="000000"/>
              <w:left w:val="single" w:sz="4" w:space="0" w:color="000000"/>
              <w:bottom w:val="single" w:sz="4" w:space="0" w:color="000000"/>
              <w:right w:val="nil"/>
            </w:tcBorders>
          </w:tcPr>
          <w:p>
            <w:pPr>
              <w:pStyle w:val="TableParagraph"/>
              <w:spacing w:before="113"/>
              <w:ind w:left="103"/>
              <w:rPr>
                <w:sz w:val="20"/>
              </w:rPr>
            </w:pPr>
            <w:r>
              <w:rPr>
                <w:sz w:val="20"/>
              </w:rPr>
              <w:t>Google Earth/ODOT Digital Video Log</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Posted speed limit (mph)</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Presence of lighting by approach</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460" w:hRule="atLeast"/>
        </w:trPr>
        <w:tc>
          <w:tcPr>
            <w:tcW w:w="4622" w:type="dxa"/>
            <w:tcBorders>
              <w:top w:val="single" w:sz="4" w:space="0" w:color="000000"/>
              <w:left w:val="nil"/>
              <w:bottom w:val="single" w:sz="4" w:space="0" w:color="000000"/>
              <w:right w:val="single" w:sz="4" w:space="0" w:color="000000"/>
            </w:tcBorders>
          </w:tcPr>
          <w:p>
            <w:pPr>
              <w:pStyle w:val="TableParagraph"/>
              <w:spacing w:line="227" w:lineRule="exact"/>
              <w:ind w:left="122"/>
              <w:rPr>
                <w:sz w:val="20"/>
              </w:rPr>
            </w:pPr>
            <w:r>
              <w:rPr>
                <w:sz w:val="20"/>
              </w:rPr>
              <w:t>Type of traffic control (four-way stop, signal,</w:t>
            </w:r>
          </w:p>
          <w:p>
            <w:pPr>
              <w:pStyle w:val="TableParagraph"/>
              <w:spacing w:line="213" w:lineRule="exact"/>
              <w:ind w:left="122"/>
              <w:rPr>
                <w:sz w:val="20"/>
              </w:rPr>
            </w:pPr>
            <w:r>
              <w:rPr>
                <w:sz w:val="20"/>
              </w:rPr>
              <w:t>roundabout)</w:t>
            </w:r>
          </w:p>
        </w:tc>
        <w:tc>
          <w:tcPr>
            <w:tcW w:w="4320" w:type="dxa"/>
            <w:tcBorders>
              <w:top w:val="single" w:sz="4" w:space="0" w:color="000000"/>
              <w:left w:val="single" w:sz="4" w:space="0" w:color="000000"/>
              <w:bottom w:val="single" w:sz="4" w:space="0" w:color="000000"/>
              <w:right w:val="nil"/>
            </w:tcBorders>
          </w:tcPr>
          <w:p>
            <w:pPr>
              <w:pStyle w:val="TableParagraph"/>
              <w:spacing w:before="112"/>
              <w:ind w:left="103"/>
              <w:rPr>
                <w:sz w:val="20"/>
              </w:rPr>
            </w:pPr>
            <w:r>
              <w:rPr>
                <w:sz w:val="20"/>
              </w:rPr>
              <w:t>Google Earth/ODOT Digital Video Log</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Presence of school area within 1,000 feet</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w:t>
            </w:r>
          </w:p>
        </w:tc>
      </w:tr>
      <w:tr>
        <w:trPr>
          <w:trHeight w:val="230"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Presence of green bicycle markings</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Earth/ODOT Digital Video Log</w:t>
            </w:r>
          </w:p>
        </w:tc>
      </w:tr>
      <w:tr>
        <w:trPr>
          <w:trHeight w:val="229" w:hRule="atLeast"/>
        </w:trPr>
        <w:tc>
          <w:tcPr>
            <w:tcW w:w="4622" w:type="dxa"/>
            <w:tcBorders>
              <w:top w:val="single" w:sz="4" w:space="0" w:color="000000"/>
              <w:left w:val="nil"/>
              <w:bottom w:val="single" w:sz="4" w:space="0" w:color="000000"/>
              <w:right w:val="single" w:sz="4" w:space="0" w:color="000000"/>
            </w:tcBorders>
          </w:tcPr>
          <w:p>
            <w:pPr>
              <w:pStyle w:val="TableParagraph"/>
              <w:spacing w:line="210" w:lineRule="exact"/>
              <w:ind w:left="122"/>
              <w:rPr>
                <w:sz w:val="20"/>
              </w:rPr>
            </w:pPr>
            <w:r>
              <w:rPr>
                <w:sz w:val="20"/>
              </w:rPr>
              <w:t>Number of bus stops within 1,000 feet</w:t>
            </w:r>
          </w:p>
        </w:tc>
        <w:tc>
          <w:tcPr>
            <w:tcW w:w="4320" w:type="dxa"/>
            <w:tcBorders>
              <w:top w:val="single" w:sz="4" w:space="0" w:color="000000"/>
              <w:left w:val="single" w:sz="4" w:space="0" w:color="000000"/>
              <w:bottom w:val="single" w:sz="4" w:space="0" w:color="000000"/>
              <w:right w:val="nil"/>
            </w:tcBorders>
          </w:tcPr>
          <w:p>
            <w:pPr>
              <w:pStyle w:val="TableParagraph"/>
              <w:spacing w:line="210" w:lineRule="exact"/>
              <w:ind w:left="103"/>
              <w:rPr>
                <w:sz w:val="20"/>
              </w:rPr>
            </w:pPr>
            <w:r>
              <w:rPr>
                <w:sz w:val="20"/>
              </w:rPr>
              <w:t>Google Transit</w:t>
            </w:r>
          </w:p>
        </w:tc>
      </w:tr>
      <w:tr>
        <w:trPr>
          <w:trHeight w:val="237" w:hRule="atLeast"/>
        </w:trPr>
        <w:tc>
          <w:tcPr>
            <w:tcW w:w="4622" w:type="dxa"/>
            <w:tcBorders>
              <w:top w:val="single" w:sz="4" w:space="0" w:color="000000"/>
              <w:left w:val="nil"/>
              <w:bottom w:val="single" w:sz="12" w:space="0" w:color="000000"/>
              <w:right w:val="single" w:sz="4" w:space="0" w:color="000000"/>
            </w:tcBorders>
          </w:tcPr>
          <w:p>
            <w:pPr>
              <w:pStyle w:val="TableParagraph"/>
              <w:spacing w:line="210" w:lineRule="exact"/>
              <w:ind w:left="122"/>
              <w:rPr>
                <w:sz w:val="20"/>
              </w:rPr>
            </w:pPr>
            <w:r>
              <w:rPr>
                <w:sz w:val="20"/>
              </w:rPr>
              <w:t>Presence of median</w:t>
            </w:r>
          </w:p>
        </w:tc>
        <w:tc>
          <w:tcPr>
            <w:tcW w:w="4320" w:type="dxa"/>
            <w:tcBorders>
              <w:top w:val="single" w:sz="4" w:space="0" w:color="000000"/>
              <w:left w:val="single" w:sz="4" w:space="0" w:color="000000"/>
              <w:bottom w:val="single" w:sz="12" w:space="0" w:color="000000"/>
              <w:right w:val="nil"/>
            </w:tcBorders>
          </w:tcPr>
          <w:p>
            <w:pPr>
              <w:pStyle w:val="TableParagraph"/>
              <w:spacing w:line="210" w:lineRule="exact"/>
              <w:ind w:left="103"/>
              <w:rPr>
                <w:sz w:val="20"/>
              </w:rPr>
            </w:pPr>
            <w:r>
              <w:rPr>
                <w:sz w:val="20"/>
              </w:rPr>
              <w:t>Google Earth/ODOT Digital Video Log</w:t>
            </w:r>
          </w:p>
        </w:tc>
      </w:tr>
    </w:tbl>
    <w:p>
      <w:pPr>
        <w:pStyle w:val="BodyText"/>
        <w:spacing w:before="4"/>
        <w:rPr>
          <w:b/>
          <w:sz w:val="23"/>
        </w:rPr>
      </w:pPr>
    </w:p>
    <w:p>
      <w:pPr>
        <w:pStyle w:val="Heading3"/>
        <w:numPr>
          <w:ilvl w:val="2"/>
          <w:numId w:val="27"/>
        </w:numPr>
        <w:tabs>
          <w:tab w:pos="1040" w:val="left" w:leader="none"/>
        </w:tabs>
        <w:spacing w:line="240" w:lineRule="auto" w:before="0" w:after="0"/>
        <w:ind w:left="1039" w:right="0" w:hanging="719"/>
        <w:jc w:val="left"/>
      </w:pPr>
      <w:bookmarkStart w:name="_TOC_250044" w:id="127"/>
      <w:bookmarkStart w:name="3.2.3 Land Use" w:id="128"/>
      <w:r>
        <w:rPr>
          <w:b w:val="0"/>
        </w:rPr>
      </w:r>
      <w:bookmarkEnd w:id="128"/>
      <w:bookmarkStart w:name="3.2.3 Land Use" w:id="129"/>
      <w:r>
        <w:rPr/>
        <w:t>L</w:t>
      </w:r>
      <w:r>
        <w:rPr/>
        <w:t>and</w:t>
      </w:r>
      <w:r>
        <w:rPr>
          <w:spacing w:val="-1"/>
        </w:rPr>
        <w:t> </w:t>
      </w:r>
      <w:bookmarkEnd w:id="127"/>
      <w:r>
        <w:rPr/>
        <w:t>Use</w:t>
      </w:r>
    </w:p>
    <w:p>
      <w:pPr>
        <w:pStyle w:val="BodyText"/>
        <w:spacing w:before="236"/>
        <w:ind w:left="320" w:right="1462"/>
      </w:pPr>
      <w:r>
        <w:rPr/>
        <w:t>Based on work for a complementary ODOT research project, two data sources were used to gather information on the land-use and built environment characteristics. The data were</w:t>
      </w:r>
      <w:r>
        <w:rPr>
          <w:spacing w:val="-21"/>
        </w:rPr>
        <w:t> </w:t>
      </w:r>
      <w:r>
        <w:rPr/>
        <w:t>available in a GIS format and spatial buffering/joining was used to associate the data with each segment and intersection. Currans et al. (2014) defined five neighborhood concepts (A-F) on the urban – suburban spectrum using three measures of the built environment – density, diversity, and design, and classified the census blocks based on these categories. </w:t>
      </w:r>
      <w:hyperlink w:history="true" w:anchor="_bookmark19">
        <w:r>
          <w:rPr/>
          <w:t>Figure 3.3</w:t>
        </w:r>
      </w:hyperlink>
      <w:r>
        <w:rPr/>
        <w:t> shows a sample map of the neighborhood</w:t>
      </w:r>
      <w:r>
        <w:rPr>
          <w:spacing w:val="-4"/>
        </w:rPr>
        <w:t> </w:t>
      </w:r>
      <w:r>
        <w:rPr/>
        <w:t>concepts.</w:t>
      </w:r>
    </w:p>
    <w:p>
      <w:pPr>
        <w:pStyle w:val="BodyText"/>
        <w:spacing w:before="10"/>
        <w:rPr>
          <w:sz w:val="20"/>
        </w:rPr>
      </w:pPr>
    </w:p>
    <w:p>
      <w:pPr>
        <w:pStyle w:val="BodyText"/>
        <w:ind w:left="319" w:right="1483"/>
      </w:pPr>
      <w:r>
        <w:rPr/>
        <w:t>The research team also gathered -related variables such as total road network density and street intersection density from the Environmental Protection Agency’s (EPA) Smart Location Database (2013). The street intersection density variable in the EPA database reflects the weighted density of intersections. This data was available by census tract. </w:t>
      </w:r>
      <w:hyperlink w:history="true" w:anchor="_bookmark20">
        <w:r>
          <w:rPr/>
          <w:t>Figure 3.4</w:t>
        </w:r>
      </w:hyperlink>
      <w:r>
        <w:rPr/>
        <w:t> provides an example of the street network and intersection density variables.</w:t>
      </w:r>
    </w:p>
    <w:p>
      <w:pPr>
        <w:pStyle w:val="BodyText"/>
        <w:spacing w:before="1"/>
        <w:rPr>
          <w:sz w:val="21"/>
        </w:rPr>
      </w:pPr>
    </w:p>
    <w:p>
      <w:pPr>
        <w:spacing w:before="0"/>
        <w:ind w:left="320" w:right="0" w:firstLine="0"/>
        <w:jc w:val="left"/>
        <w:rPr>
          <w:b/>
          <w:sz w:val="20"/>
        </w:rPr>
      </w:pPr>
      <w:r>
        <w:rPr>
          <w:b/>
          <w:sz w:val="20"/>
        </w:rPr>
        <w:t>Table 3.7: Land and Built Environment Data</w:t>
      </w:r>
    </w:p>
    <w:tbl>
      <w:tblPr>
        <w:tblW w:w="0" w:type="auto"/>
        <w:jc w:val="left"/>
        <w:tblInd w:w="4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254"/>
        <w:gridCol w:w="5850"/>
      </w:tblGrid>
      <w:tr>
        <w:trPr>
          <w:trHeight w:val="230" w:hRule="atLeast"/>
        </w:trPr>
        <w:tc>
          <w:tcPr>
            <w:tcW w:w="3254" w:type="dxa"/>
            <w:tcBorders>
              <w:left w:val="nil"/>
              <w:right w:val="single" w:sz="4" w:space="0" w:color="000000"/>
            </w:tcBorders>
          </w:tcPr>
          <w:p>
            <w:pPr>
              <w:pStyle w:val="TableParagraph"/>
              <w:spacing w:line="210" w:lineRule="exact"/>
              <w:ind w:left="136"/>
              <w:rPr>
                <w:b/>
                <w:sz w:val="20"/>
              </w:rPr>
            </w:pPr>
            <w:r>
              <w:rPr>
                <w:b/>
                <w:sz w:val="20"/>
              </w:rPr>
              <w:t>Data Element</w:t>
            </w:r>
          </w:p>
        </w:tc>
        <w:tc>
          <w:tcPr>
            <w:tcW w:w="5850" w:type="dxa"/>
            <w:tcBorders>
              <w:left w:val="single" w:sz="4" w:space="0" w:color="000000"/>
              <w:right w:val="nil"/>
            </w:tcBorders>
          </w:tcPr>
          <w:p>
            <w:pPr>
              <w:pStyle w:val="TableParagraph"/>
              <w:spacing w:line="210" w:lineRule="exact"/>
              <w:ind w:left="1703"/>
              <w:rPr>
                <w:b/>
                <w:sz w:val="20"/>
              </w:rPr>
            </w:pPr>
            <w:r>
              <w:rPr>
                <w:b/>
                <w:sz w:val="20"/>
              </w:rPr>
              <w:t>Collection Method or Source</w:t>
            </w:r>
          </w:p>
        </w:tc>
      </w:tr>
      <w:tr>
        <w:trPr>
          <w:trHeight w:val="253" w:hRule="atLeast"/>
        </w:trPr>
        <w:tc>
          <w:tcPr>
            <w:tcW w:w="3254" w:type="dxa"/>
            <w:tcBorders>
              <w:left w:val="nil"/>
              <w:bottom w:val="single" w:sz="4" w:space="0" w:color="000000"/>
              <w:right w:val="single" w:sz="4" w:space="0" w:color="000000"/>
            </w:tcBorders>
          </w:tcPr>
          <w:p>
            <w:pPr>
              <w:pStyle w:val="TableParagraph"/>
              <w:spacing w:line="233" w:lineRule="exact"/>
              <w:ind w:left="136"/>
              <w:rPr>
                <w:sz w:val="22"/>
              </w:rPr>
            </w:pPr>
            <w:r>
              <w:rPr>
                <w:sz w:val="22"/>
              </w:rPr>
              <w:t>Neighborhood concepts</w:t>
            </w:r>
          </w:p>
        </w:tc>
        <w:tc>
          <w:tcPr>
            <w:tcW w:w="5850" w:type="dxa"/>
            <w:tcBorders>
              <w:left w:val="single" w:sz="4" w:space="0" w:color="000000"/>
              <w:bottom w:val="single" w:sz="4" w:space="0" w:color="000000"/>
              <w:right w:val="nil"/>
            </w:tcBorders>
          </w:tcPr>
          <w:p>
            <w:pPr>
              <w:pStyle w:val="TableParagraph"/>
              <w:spacing w:line="233" w:lineRule="exact"/>
              <w:ind w:left="117"/>
              <w:rPr>
                <w:sz w:val="22"/>
              </w:rPr>
            </w:pPr>
            <w:r>
              <w:rPr>
                <w:sz w:val="22"/>
              </w:rPr>
              <w:t>GIS geo-database (Currans et al., 2014)</w:t>
            </w:r>
          </w:p>
        </w:tc>
      </w:tr>
      <w:tr>
        <w:trPr>
          <w:trHeight w:val="505" w:hRule="atLeast"/>
        </w:trPr>
        <w:tc>
          <w:tcPr>
            <w:tcW w:w="3254" w:type="dxa"/>
            <w:tcBorders>
              <w:top w:val="single" w:sz="4" w:space="0" w:color="000000"/>
              <w:left w:val="nil"/>
              <w:bottom w:val="single" w:sz="4" w:space="0" w:color="000000"/>
              <w:right w:val="single" w:sz="4" w:space="0" w:color="000000"/>
            </w:tcBorders>
          </w:tcPr>
          <w:p>
            <w:pPr>
              <w:pStyle w:val="TableParagraph"/>
              <w:spacing w:line="254" w:lineRule="exact"/>
              <w:ind w:left="136" w:right="466"/>
              <w:rPr>
                <w:sz w:val="22"/>
              </w:rPr>
            </w:pPr>
            <w:r>
              <w:rPr>
                <w:sz w:val="22"/>
              </w:rPr>
              <w:t>Three-leg intersection density (per square mile)</w:t>
            </w:r>
          </w:p>
        </w:tc>
        <w:tc>
          <w:tcPr>
            <w:tcW w:w="5850" w:type="dxa"/>
            <w:tcBorders>
              <w:top w:val="single" w:sz="4" w:space="0" w:color="000000"/>
              <w:left w:val="single" w:sz="4" w:space="0" w:color="000000"/>
              <w:bottom w:val="single" w:sz="4" w:space="0" w:color="000000"/>
              <w:right w:val="nil"/>
            </w:tcBorders>
          </w:tcPr>
          <w:p>
            <w:pPr>
              <w:pStyle w:val="TableParagraph"/>
              <w:spacing w:before="123"/>
              <w:ind w:left="117"/>
              <w:rPr>
                <w:sz w:val="22"/>
              </w:rPr>
            </w:pPr>
            <w:r>
              <w:rPr>
                <w:sz w:val="22"/>
              </w:rPr>
              <w:t>EPA’s Smart Location Database</w:t>
            </w:r>
          </w:p>
        </w:tc>
      </w:tr>
      <w:tr>
        <w:trPr>
          <w:trHeight w:val="504" w:hRule="atLeast"/>
        </w:trPr>
        <w:tc>
          <w:tcPr>
            <w:tcW w:w="3254" w:type="dxa"/>
            <w:tcBorders>
              <w:top w:val="single" w:sz="4" w:space="0" w:color="000000"/>
              <w:left w:val="nil"/>
              <w:bottom w:val="single" w:sz="4" w:space="0" w:color="000000"/>
              <w:right w:val="single" w:sz="4" w:space="0" w:color="000000"/>
            </w:tcBorders>
          </w:tcPr>
          <w:p>
            <w:pPr>
              <w:pStyle w:val="TableParagraph"/>
              <w:spacing w:line="248" w:lineRule="exact"/>
              <w:ind w:left="136"/>
              <w:rPr>
                <w:sz w:val="22"/>
              </w:rPr>
            </w:pPr>
            <w:r>
              <w:rPr>
                <w:sz w:val="22"/>
              </w:rPr>
              <w:t>Four-leg intersection density (per</w:t>
            </w:r>
          </w:p>
          <w:p>
            <w:pPr>
              <w:pStyle w:val="TableParagraph"/>
              <w:spacing w:line="236" w:lineRule="exact"/>
              <w:ind w:left="136"/>
              <w:rPr>
                <w:sz w:val="22"/>
              </w:rPr>
            </w:pPr>
            <w:r>
              <w:rPr>
                <w:sz w:val="22"/>
              </w:rPr>
              <w:t>square mile)</w:t>
            </w:r>
          </w:p>
        </w:tc>
        <w:tc>
          <w:tcPr>
            <w:tcW w:w="5850" w:type="dxa"/>
            <w:tcBorders>
              <w:top w:val="single" w:sz="4" w:space="0" w:color="000000"/>
              <w:left w:val="single" w:sz="4" w:space="0" w:color="000000"/>
              <w:bottom w:val="single" w:sz="4" w:space="0" w:color="000000"/>
              <w:right w:val="nil"/>
            </w:tcBorders>
          </w:tcPr>
          <w:p>
            <w:pPr>
              <w:pStyle w:val="TableParagraph"/>
              <w:spacing w:before="121"/>
              <w:ind w:left="117"/>
              <w:rPr>
                <w:sz w:val="22"/>
              </w:rPr>
            </w:pPr>
            <w:r>
              <w:rPr>
                <w:sz w:val="22"/>
              </w:rPr>
              <w:t>EPA’s Smart Location Database</w:t>
            </w:r>
          </w:p>
        </w:tc>
      </w:tr>
      <w:tr>
        <w:trPr>
          <w:trHeight w:val="252" w:hRule="atLeast"/>
        </w:trPr>
        <w:tc>
          <w:tcPr>
            <w:tcW w:w="3254" w:type="dxa"/>
            <w:tcBorders>
              <w:top w:val="single" w:sz="4" w:space="0" w:color="000000"/>
              <w:left w:val="nil"/>
              <w:bottom w:val="single" w:sz="4" w:space="0" w:color="000000"/>
              <w:right w:val="single" w:sz="4" w:space="0" w:color="000000"/>
            </w:tcBorders>
          </w:tcPr>
          <w:p>
            <w:pPr>
              <w:pStyle w:val="TableParagraph"/>
              <w:spacing w:line="233" w:lineRule="exact"/>
              <w:ind w:left="136"/>
              <w:rPr>
                <w:sz w:val="22"/>
              </w:rPr>
            </w:pPr>
            <w:r>
              <w:rPr>
                <w:sz w:val="22"/>
              </w:rPr>
              <w:t>Retail density (per acre)</w:t>
            </w:r>
          </w:p>
        </w:tc>
        <w:tc>
          <w:tcPr>
            <w:tcW w:w="5850" w:type="dxa"/>
            <w:tcBorders>
              <w:top w:val="single" w:sz="4" w:space="0" w:color="000000"/>
              <w:left w:val="single" w:sz="4" w:space="0" w:color="000000"/>
              <w:bottom w:val="single" w:sz="4" w:space="0" w:color="000000"/>
              <w:right w:val="nil"/>
            </w:tcBorders>
          </w:tcPr>
          <w:p>
            <w:pPr>
              <w:pStyle w:val="TableParagraph"/>
              <w:spacing w:line="233" w:lineRule="exact"/>
              <w:ind w:left="117"/>
              <w:rPr>
                <w:sz w:val="22"/>
              </w:rPr>
            </w:pPr>
            <w:r>
              <w:rPr>
                <w:sz w:val="22"/>
              </w:rPr>
              <w:t>EPA’s Smart Location Database</w:t>
            </w:r>
          </w:p>
        </w:tc>
      </w:tr>
      <w:tr>
        <w:trPr>
          <w:trHeight w:val="505" w:hRule="atLeast"/>
        </w:trPr>
        <w:tc>
          <w:tcPr>
            <w:tcW w:w="3254" w:type="dxa"/>
            <w:tcBorders>
              <w:top w:val="single" w:sz="4" w:space="0" w:color="000000"/>
              <w:left w:val="nil"/>
              <w:bottom w:val="single" w:sz="4" w:space="0" w:color="000000"/>
              <w:right w:val="single" w:sz="4" w:space="0" w:color="000000"/>
            </w:tcBorders>
          </w:tcPr>
          <w:p>
            <w:pPr>
              <w:pStyle w:val="TableParagraph"/>
              <w:spacing w:line="254" w:lineRule="exact"/>
              <w:ind w:left="136" w:right="227"/>
              <w:rPr>
                <w:sz w:val="22"/>
              </w:rPr>
            </w:pPr>
            <w:r>
              <w:rPr>
                <w:sz w:val="22"/>
              </w:rPr>
              <w:t>Total population density (people per square mile)</w:t>
            </w:r>
          </w:p>
        </w:tc>
        <w:tc>
          <w:tcPr>
            <w:tcW w:w="5850" w:type="dxa"/>
            <w:tcBorders>
              <w:top w:val="single" w:sz="4" w:space="0" w:color="000000"/>
              <w:left w:val="single" w:sz="4" w:space="0" w:color="000000"/>
              <w:bottom w:val="single" w:sz="4" w:space="0" w:color="000000"/>
              <w:right w:val="nil"/>
            </w:tcBorders>
          </w:tcPr>
          <w:p>
            <w:pPr>
              <w:pStyle w:val="TableParagraph"/>
              <w:spacing w:before="124"/>
              <w:ind w:left="117"/>
              <w:rPr>
                <w:sz w:val="22"/>
              </w:rPr>
            </w:pPr>
            <w:r>
              <w:rPr>
                <w:sz w:val="22"/>
              </w:rPr>
              <w:t>EPA’s Smart Location Database</w:t>
            </w:r>
          </w:p>
        </w:tc>
      </w:tr>
      <w:tr>
        <w:trPr>
          <w:trHeight w:val="250" w:hRule="atLeast"/>
        </w:trPr>
        <w:tc>
          <w:tcPr>
            <w:tcW w:w="3254" w:type="dxa"/>
            <w:tcBorders>
              <w:top w:val="single" w:sz="4" w:space="0" w:color="000000"/>
              <w:left w:val="nil"/>
              <w:bottom w:val="single" w:sz="4" w:space="0" w:color="000000"/>
              <w:right w:val="single" w:sz="4" w:space="0" w:color="000000"/>
            </w:tcBorders>
          </w:tcPr>
          <w:p>
            <w:pPr>
              <w:pStyle w:val="TableParagraph"/>
              <w:spacing w:line="231" w:lineRule="exact"/>
              <w:ind w:left="136"/>
              <w:rPr>
                <w:sz w:val="22"/>
              </w:rPr>
            </w:pPr>
            <w:r>
              <w:rPr>
                <w:sz w:val="22"/>
              </w:rPr>
              <w:t>Household density (per acre)</w:t>
            </w:r>
          </w:p>
        </w:tc>
        <w:tc>
          <w:tcPr>
            <w:tcW w:w="5850" w:type="dxa"/>
            <w:tcBorders>
              <w:top w:val="single" w:sz="4" w:space="0" w:color="000000"/>
              <w:left w:val="single" w:sz="4" w:space="0" w:color="000000"/>
              <w:bottom w:val="single" w:sz="4" w:space="0" w:color="000000"/>
              <w:right w:val="nil"/>
            </w:tcBorders>
          </w:tcPr>
          <w:p>
            <w:pPr>
              <w:pStyle w:val="TableParagraph"/>
              <w:spacing w:line="231" w:lineRule="exact"/>
              <w:ind w:left="117"/>
              <w:rPr>
                <w:sz w:val="22"/>
              </w:rPr>
            </w:pPr>
            <w:r>
              <w:rPr>
                <w:sz w:val="22"/>
              </w:rPr>
              <w:t>EPA’s Smart Location Database</w:t>
            </w:r>
          </w:p>
        </w:tc>
      </w:tr>
      <w:tr>
        <w:trPr>
          <w:trHeight w:val="252" w:hRule="atLeast"/>
        </w:trPr>
        <w:tc>
          <w:tcPr>
            <w:tcW w:w="3254" w:type="dxa"/>
            <w:tcBorders>
              <w:top w:val="single" w:sz="4" w:space="0" w:color="000000"/>
              <w:left w:val="nil"/>
              <w:right w:val="single" w:sz="4" w:space="0" w:color="000000"/>
            </w:tcBorders>
          </w:tcPr>
          <w:p>
            <w:pPr>
              <w:pStyle w:val="TableParagraph"/>
              <w:spacing w:line="233" w:lineRule="exact"/>
              <w:ind w:left="136"/>
              <w:rPr>
                <w:sz w:val="22"/>
              </w:rPr>
            </w:pPr>
            <w:r>
              <w:rPr>
                <w:sz w:val="22"/>
              </w:rPr>
              <w:t>Household size</w:t>
            </w:r>
          </w:p>
        </w:tc>
        <w:tc>
          <w:tcPr>
            <w:tcW w:w="5850" w:type="dxa"/>
            <w:tcBorders>
              <w:top w:val="single" w:sz="4" w:space="0" w:color="000000"/>
              <w:left w:val="single" w:sz="4" w:space="0" w:color="000000"/>
              <w:right w:val="nil"/>
            </w:tcBorders>
          </w:tcPr>
          <w:p>
            <w:pPr>
              <w:pStyle w:val="TableParagraph"/>
              <w:spacing w:line="233" w:lineRule="exact"/>
              <w:ind w:left="117"/>
              <w:rPr>
                <w:sz w:val="22"/>
              </w:rPr>
            </w:pPr>
            <w:r>
              <w:rPr>
                <w:sz w:val="22"/>
              </w:rPr>
              <w:t>EPA’s Smart Location Database</w:t>
            </w:r>
          </w:p>
        </w:tc>
      </w:tr>
    </w:tbl>
    <w:p>
      <w:pPr>
        <w:spacing w:after="0" w:line="233" w:lineRule="exact"/>
        <w:rPr>
          <w:sz w:val="22"/>
        </w:rPr>
        <w:sectPr>
          <w:pgSz w:w="12240" w:h="15840"/>
          <w:pgMar w:header="0" w:footer="709" w:top="920" w:bottom="980" w:left="1120" w:right="0"/>
        </w:sectPr>
      </w:pPr>
    </w:p>
    <w:p>
      <w:pPr>
        <w:pStyle w:val="BodyText"/>
        <w:ind w:left="1718"/>
        <w:rPr>
          <w:sz w:val="20"/>
        </w:rPr>
      </w:pPr>
      <w:r>
        <w:rPr>
          <w:sz w:val="20"/>
        </w:rPr>
        <w:drawing>
          <wp:inline distT="0" distB="0" distL="0" distR="0">
            <wp:extent cx="4269276" cy="4243387"/>
            <wp:effectExtent l="0" t="0" r="0" b="0"/>
            <wp:docPr id="37" name="image20.jpeg" descr="\\stash\marston\Active_Projects\14-03 ODOT Ped Bike Risk\_Data\NHConcepts_EstimatingBikePeduse_toSirisha\NH_CONCEPT.png"/>
            <wp:cNvGraphicFramePr>
              <a:graphicFrameLocks noChangeAspect="1"/>
            </wp:cNvGraphicFramePr>
            <a:graphic>
              <a:graphicData uri="http://schemas.openxmlformats.org/drawingml/2006/picture">
                <pic:pic>
                  <pic:nvPicPr>
                    <pic:cNvPr id="38" name="image20.jpeg"/>
                    <pic:cNvPicPr/>
                  </pic:nvPicPr>
                  <pic:blipFill>
                    <a:blip r:embed="rId29" cstate="print"/>
                    <a:stretch>
                      <a:fillRect/>
                    </a:stretch>
                  </pic:blipFill>
                  <pic:spPr>
                    <a:xfrm>
                      <a:off x="0" y="0"/>
                      <a:ext cx="4269276" cy="4243387"/>
                    </a:xfrm>
                    <a:prstGeom prst="rect">
                      <a:avLst/>
                    </a:prstGeom>
                  </pic:spPr>
                </pic:pic>
              </a:graphicData>
            </a:graphic>
          </wp:inline>
        </w:drawing>
      </w:r>
      <w:r>
        <w:rPr>
          <w:sz w:val="20"/>
        </w:rPr>
      </w:r>
    </w:p>
    <w:p>
      <w:pPr>
        <w:spacing w:before="140"/>
        <w:ind w:left="2722" w:right="0" w:firstLine="0"/>
        <w:jc w:val="left"/>
        <w:rPr>
          <w:sz w:val="20"/>
        </w:rPr>
      </w:pPr>
      <w:bookmarkStart w:name="_bookmark19" w:id="130"/>
      <w:bookmarkEnd w:id="130"/>
      <w:r>
        <w:rPr/>
      </w:r>
      <w:r>
        <w:rPr>
          <w:sz w:val="20"/>
        </w:rPr>
        <w:t>Figure 3.3: Neighborhood Concepts (Curran et al., 2014)</w:t>
      </w:r>
    </w:p>
    <w:p>
      <w:pPr>
        <w:spacing w:after="0"/>
        <w:jc w:val="left"/>
        <w:rPr>
          <w:sz w:val="20"/>
        </w:rPr>
        <w:sectPr>
          <w:pgSz w:w="12240" w:h="15840"/>
          <w:pgMar w:header="0" w:footer="709" w:top="1280" w:bottom="980" w:left="1120" w:right="0"/>
        </w:sectPr>
      </w:pPr>
    </w:p>
    <w:p>
      <w:pPr>
        <w:pStyle w:val="BodyText"/>
        <w:ind w:left="725"/>
        <w:rPr>
          <w:sz w:val="20"/>
        </w:rPr>
      </w:pPr>
      <w:r>
        <w:rPr>
          <w:sz w:val="20"/>
        </w:rPr>
        <w:drawing>
          <wp:inline distT="0" distB="0" distL="0" distR="0">
            <wp:extent cx="5412352" cy="3900106"/>
            <wp:effectExtent l="0" t="0" r="0" b="0"/>
            <wp:docPr id="39" name="image21.jpeg" descr="\\khensu\Home02\monserec\Downloads\Street Intersection Density.jpg"/>
            <wp:cNvGraphicFramePr>
              <a:graphicFrameLocks noChangeAspect="1"/>
            </wp:cNvGraphicFramePr>
            <a:graphic>
              <a:graphicData uri="http://schemas.openxmlformats.org/drawingml/2006/picture">
                <pic:pic>
                  <pic:nvPicPr>
                    <pic:cNvPr id="40" name="image21.jpeg"/>
                    <pic:cNvPicPr/>
                  </pic:nvPicPr>
                  <pic:blipFill>
                    <a:blip r:embed="rId30" cstate="print"/>
                    <a:stretch>
                      <a:fillRect/>
                    </a:stretch>
                  </pic:blipFill>
                  <pic:spPr>
                    <a:xfrm>
                      <a:off x="0" y="0"/>
                      <a:ext cx="5412352" cy="3900106"/>
                    </a:xfrm>
                    <a:prstGeom prst="rect">
                      <a:avLst/>
                    </a:prstGeom>
                  </pic:spPr>
                </pic:pic>
              </a:graphicData>
            </a:graphic>
          </wp:inline>
        </w:drawing>
      </w:r>
      <w:r>
        <w:rPr>
          <w:sz w:val="20"/>
        </w:rPr>
      </w:r>
    </w:p>
    <w:p>
      <w:pPr>
        <w:pStyle w:val="BodyText"/>
        <w:spacing w:before="10"/>
        <w:rPr>
          <w:sz w:val="15"/>
        </w:rPr>
      </w:pPr>
    </w:p>
    <w:p>
      <w:pPr>
        <w:spacing w:before="92"/>
        <w:ind w:left="2477" w:right="0" w:firstLine="0"/>
        <w:jc w:val="left"/>
        <w:rPr>
          <w:sz w:val="20"/>
        </w:rPr>
      </w:pPr>
      <w:bookmarkStart w:name="_bookmark20" w:id="131"/>
      <w:bookmarkEnd w:id="131"/>
      <w:r>
        <w:rPr/>
      </w:r>
      <w:r>
        <w:rPr>
          <w:sz w:val="20"/>
        </w:rPr>
        <w:t>Figure 3.4: Sample Images Showing GIS Network Information</w:t>
      </w:r>
    </w:p>
    <w:p>
      <w:pPr>
        <w:pStyle w:val="BodyText"/>
        <w:rPr>
          <w:sz w:val="22"/>
        </w:rPr>
      </w:pPr>
    </w:p>
    <w:p>
      <w:pPr>
        <w:pStyle w:val="BodyText"/>
        <w:spacing w:before="1"/>
        <w:rPr>
          <w:sz w:val="20"/>
        </w:rPr>
      </w:pPr>
    </w:p>
    <w:p>
      <w:pPr>
        <w:pStyle w:val="Heading3"/>
        <w:numPr>
          <w:ilvl w:val="2"/>
          <w:numId w:val="27"/>
        </w:numPr>
        <w:tabs>
          <w:tab w:pos="1040" w:val="left" w:leader="none"/>
        </w:tabs>
        <w:spacing w:line="240" w:lineRule="auto" w:before="0" w:after="0"/>
        <w:ind w:left="1039" w:right="0" w:hanging="719"/>
        <w:jc w:val="left"/>
      </w:pPr>
      <w:bookmarkStart w:name="_TOC_250043" w:id="132"/>
      <w:bookmarkStart w:name="3.2.4 Volume" w:id="133"/>
      <w:r>
        <w:rPr>
          <w:b w:val="0"/>
        </w:rPr>
      </w:r>
      <w:bookmarkEnd w:id="133"/>
      <w:bookmarkStart w:name="3.2.4 Volume" w:id="134"/>
      <w:r>
        <w:rPr/>
        <w:t>V</w:t>
      </w:r>
      <w:bookmarkEnd w:id="132"/>
      <w:r>
        <w:rPr/>
        <w:t>olume</w:t>
      </w:r>
    </w:p>
    <w:p>
      <w:pPr>
        <w:pStyle w:val="Heading5"/>
        <w:numPr>
          <w:ilvl w:val="3"/>
          <w:numId w:val="27"/>
        </w:numPr>
        <w:tabs>
          <w:tab w:pos="1760" w:val="left" w:leader="none"/>
        </w:tabs>
        <w:spacing w:line="240" w:lineRule="auto" w:before="239" w:after="0"/>
        <w:ind w:left="1760" w:right="0" w:hanging="720"/>
        <w:jc w:val="left"/>
        <w:rPr>
          <w:i/>
        </w:rPr>
      </w:pPr>
      <w:bookmarkStart w:name="3.2.4.1 Motor Vehicle Traffic" w:id="135"/>
      <w:bookmarkEnd w:id="135"/>
      <w:r>
        <w:rPr>
          <w:b w:val="0"/>
          <w:i w:val="0"/>
        </w:rPr>
      </w:r>
      <w:bookmarkStart w:name="3.2.4.1 Motor Vehicle Traffic" w:id="136"/>
      <w:bookmarkEnd w:id="136"/>
      <w:r>
        <w:rPr>
          <w:i/>
        </w:rPr>
        <w:t>Mo</w:t>
      </w:r>
      <w:r>
        <w:rPr>
          <w:i/>
        </w:rPr>
        <w:t>tor Vehicle</w:t>
      </w:r>
      <w:r>
        <w:rPr>
          <w:i/>
          <w:spacing w:val="-6"/>
        </w:rPr>
        <w:t> </w:t>
      </w:r>
      <w:r>
        <w:rPr>
          <w:i/>
        </w:rPr>
        <w:t>Traffic</w:t>
      </w:r>
    </w:p>
    <w:p>
      <w:pPr>
        <w:pStyle w:val="BodyText"/>
        <w:spacing w:before="7"/>
        <w:rPr>
          <w:b/>
          <w:i/>
          <w:sz w:val="20"/>
        </w:rPr>
      </w:pPr>
    </w:p>
    <w:p>
      <w:pPr>
        <w:pStyle w:val="BodyText"/>
        <w:ind w:left="1039" w:right="1596"/>
      </w:pPr>
      <w:r>
        <w:rPr/>
        <w:t>Traffic volume data were assembled for all segments and intersections. A variety of sources were used to gather these data and convert to AADT values. These methods included internet searches and public record requests by the research team. The counts were either available as AADT (already factored and converted by reporting agency), ADT, or peak-hour counts. All the AADT data were calibrated to 2014 using growth factors obtained from the ODOT ATR station growth factors and following the methods described in Appendix B of ODOT SPR 756 “Improved Safety Performance Functions for Signalized Intersections” (Dixon et al,</w:t>
      </w:r>
      <w:r>
        <w:rPr>
          <w:spacing w:val="-3"/>
        </w:rPr>
        <w:t> </w:t>
      </w:r>
      <w:r>
        <w:rPr/>
        <w:t>2015).</w:t>
      </w:r>
    </w:p>
    <w:p>
      <w:pPr>
        <w:pStyle w:val="BodyText"/>
        <w:spacing w:before="1"/>
        <w:rPr>
          <w:sz w:val="21"/>
        </w:rPr>
      </w:pPr>
    </w:p>
    <w:p>
      <w:pPr>
        <w:pStyle w:val="Heading5"/>
        <w:numPr>
          <w:ilvl w:val="3"/>
          <w:numId w:val="27"/>
        </w:numPr>
        <w:tabs>
          <w:tab w:pos="1760" w:val="left" w:leader="none"/>
        </w:tabs>
        <w:spacing w:line="240" w:lineRule="auto" w:before="1" w:after="0"/>
        <w:ind w:left="1760" w:right="0" w:hanging="720"/>
        <w:jc w:val="left"/>
        <w:rPr>
          <w:i/>
        </w:rPr>
      </w:pPr>
      <w:bookmarkStart w:name="3.2.4.2 Bicycle Traffic (STRAVA)" w:id="137"/>
      <w:bookmarkEnd w:id="137"/>
      <w:r>
        <w:rPr>
          <w:b w:val="0"/>
          <w:i w:val="0"/>
        </w:rPr>
      </w:r>
      <w:bookmarkStart w:name="3.2.4.2 Bicycle Traffic (STRAVA)" w:id="138"/>
      <w:bookmarkEnd w:id="138"/>
      <w:r>
        <w:rPr>
          <w:i/>
        </w:rPr>
        <w:t>B</w:t>
      </w:r>
      <w:r>
        <w:rPr>
          <w:i/>
        </w:rPr>
        <w:t>icycle Traffic</w:t>
      </w:r>
      <w:r>
        <w:rPr>
          <w:i/>
          <w:spacing w:val="-1"/>
        </w:rPr>
        <w:t> </w:t>
      </w:r>
      <w:r>
        <w:rPr>
          <w:i/>
        </w:rPr>
        <w:t>(STRAVA)</w:t>
      </w:r>
    </w:p>
    <w:p>
      <w:pPr>
        <w:pStyle w:val="BodyText"/>
        <w:spacing w:before="7"/>
        <w:rPr>
          <w:b/>
          <w:i/>
          <w:sz w:val="20"/>
        </w:rPr>
      </w:pPr>
    </w:p>
    <w:p>
      <w:pPr>
        <w:pStyle w:val="BodyText"/>
        <w:ind w:left="1040" w:right="1695"/>
      </w:pPr>
      <w:r>
        <w:rPr/>
        <w:t>Systematic bicycle count data were not available. However, STRAVA is a mobile application that can track athletic activities including cycling and running through GPS (STRAVA, 2016a). When athletes and others are doing activities with the app open on their mobile devices, the STRAVA app will record the detailed information such as location and time. STRAVA has social network features by which users can communicate and interact with other users and groups.</w:t>
      </w:r>
    </w:p>
    <w:p>
      <w:pPr>
        <w:pStyle w:val="BodyText"/>
        <w:spacing w:before="10"/>
        <w:rPr>
          <w:sz w:val="20"/>
        </w:rPr>
      </w:pPr>
    </w:p>
    <w:p>
      <w:pPr>
        <w:pStyle w:val="BodyText"/>
        <w:ind w:left="1040" w:right="1876"/>
      </w:pPr>
      <w:r>
        <w:rPr/>
        <w:t>STRAVA cooperated with several departments of transportations to create a research product called STRAVA Metro, which aggregates all of the cycling records from</w:t>
      </w:r>
    </w:p>
    <w:p>
      <w:pPr>
        <w:spacing w:after="0"/>
        <w:sectPr>
          <w:pgSz w:w="12240" w:h="15840"/>
          <w:pgMar w:header="0" w:footer="709" w:top="1100" w:bottom="980" w:left="1120" w:right="0"/>
        </w:sectPr>
      </w:pPr>
    </w:p>
    <w:p>
      <w:pPr>
        <w:pStyle w:val="BodyText"/>
        <w:spacing w:before="72"/>
        <w:ind w:left="1039" w:right="1468"/>
      </w:pPr>
      <w:r>
        <w:rPr/>
        <w:t>STRAVA members. ODOT has purchased STRAVA Metro for research and project purposes (OSU and PSU researchers were allowed to obtain the data under this agreement). In this product, locations and time frames are aggregated into street networks and compiled to a shape file that can be used in GIS. The GIS map provides the information from cycling records for individual segments, including location, time, month, year, week or weekend, gender, and commuter or cyclist. </w:t>
      </w:r>
      <w:hyperlink w:history="true" w:anchor="_bookmark21">
        <w:r>
          <w:rPr/>
          <w:t>Figure 3.5</w:t>
        </w:r>
      </w:hyperlink>
      <w:r>
        <w:rPr/>
        <w:t> illustrates the bike count on each link in</w:t>
      </w:r>
      <w:r>
        <w:rPr>
          <w:spacing w:val="-4"/>
        </w:rPr>
        <w:t> </w:t>
      </w:r>
      <w:r>
        <w:rPr/>
        <w:t>Oregon.</w:t>
      </w:r>
    </w:p>
    <w:p>
      <w:pPr>
        <w:pStyle w:val="BodyText"/>
        <w:spacing w:before="11"/>
        <w:rPr>
          <w:sz w:val="16"/>
        </w:rPr>
      </w:pPr>
      <w:r>
        <w:rPr/>
        <w:pict>
          <v:group style="position:absolute;margin-left:72pt;margin-top:12.199203pt;width:473pt;height:174.1pt;mso-position-horizontal-relative:page;mso-position-vertical-relative:paragraph;z-index:-808;mso-wrap-distance-left:0;mso-wrap-distance-right:0" coordorigin="1440,244" coordsize="9460,3482">
            <v:shape style="position:absolute;left:1440;top:253;width:4258;height:3473" type="#_x0000_t75" alt="þÿ" stroked="false">
              <v:imagedata r:id="rId31" o:title=""/>
            </v:shape>
            <v:shape style="position:absolute;left:5740;top:243;width:5160;height:3471" type="#_x0000_t75" alt="þÿ" stroked="false">
              <v:imagedata r:id="rId32" o:title=""/>
            </v:shape>
            <w10:wrap type="topAndBottom"/>
          </v:group>
        </w:pict>
      </w:r>
    </w:p>
    <w:p>
      <w:pPr>
        <w:spacing w:before="78"/>
        <w:ind w:left="430" w:right="0" w:firstLine="0"/>
        <w:jc w:val="left"/>
        <w:rPr>
          <w:sz w:val="20"/>
        </w:rPr>
      </w:pPr>
      <w:bookmarkStart w:name="_bookmark21" w:id="139"/>
      <w:bookmarkEnd w:id="139"/>
      <w:r>
        <w:rPr/>
      </w:r>
      <w:r>
        <w:rPr>
          <w:sz w:val="20"/>
        </w:rPr>
        <w:t>Figure 3.5: STRAVA Cyclist Count in Oregon (left) and in Portland Metropolitan Area (right) (STRAVA, 2016b)</w:t>
      </w:r>
    </w:p>
    <w:p>
      <w:pPr>
        <w:pStyle w:val="BodyText"/>
        <w:rPr>
          <w:sz w:val="22"/>
        </w:rPr>
      </w:pPr>
    </w:p>
    <w:p>
      <w:pPr>
        <w:pStyle w:val="BodyText"/>
        <w:spacing w:before="8"/>
        <w:rPr>
          <w:sz w:val="19"/>
        </w:rPr>
      </w:pPr>
    </w:p>
    <w:p>
      <w:pPr>
        <w:pStyle w:val="BodyText"/>
        <w:ind w:left="1039" w:right="1522"/>
      </w:pPr>
      <w:r>
        <w:rPr/>
        <w:t>The bike volume can be roughly represented via the STRAVA bike count, but the accuracy of representation is one limitation of the data (even though STRAVA has differentiated the commuter count and cyclist count). ODOT TPAU has been doing tests to compare STRAVA counts to actual bike volumes. Some comparisons indicate that the results show the STRAVA count can represent 1% of total bike volume without considering the difference between commuter and cyclist. Other researchers have used STRAVA data in bicycle safety work and found significant results.</w:t>
      </w:r>
    </w:p>
    <w:p>
      <w:pPr>
        <w:pStyle w:val="BodyText"/>
        <w:spacing w:before="10"/>
        <w:rPr>
          <w:sz w:val="20"/>
        </w:rPr>
      </w:pPr>
    </w:p>
    <w:p>
      <w:pPr>
        <w:pStyle w:val="BodyText"/>
        <w:ind w:left="1039" w:right="1543"/>
      </w:pPr>
      <w:r>
        <w:rPr/>
        <w:t>One issue with STRAVA data in GIS is that there can be multiple lines representing the same link on some segments. For example, </w:t>
      </w:r>
      <w:hyperlink w:history="true" w:anchor="_bookmark22">
        <w:r>
          <w:rPr/>
          <w:t>Figure 3.6</w:t>
        </w:r>
      </w:hyperlink>
      <w:r>
        <w:rPr/>
        <w:t> shows that there are three count links (in red) on a bridge in the Portland downtown area, and each of them has a bike count of 3,473 bike trip/year, 5,264 bike trip/year, and 2,983 bike trip/year from top to bottom, respectively. This issue may come from the bike count assignment process since STRAVA built buffers around the GPS signal to assign bike counts to segments. Thus, we manually checked all of the links in our sample and only used the link with the highest bike count.</w:t>
      </w:r>
    </w:p>
    <w:p>
      <w:pPr>
        <w:pStyle w:val="BodyText"/>
        <w:spacing w:before="10"/>
        <w:rPr>
          <w:sz w:val="20"/>
        </w:rPr>
      </w:pPr>
    </w:p>
    <w:p>
      <w:pPr>
        <w:pStyle w:val="BodyText"/>
        <w:ind w:left="1039" w:right="1496"/>
      </w:pPr>
      <w:r>
        <w:rPr/>
        <w:t>The unit of bike volume presented in the STRAVA data is bike count per year. However, bicycle ADT is a more commonly used variable in models. In this work, we made the very broad assumption that the STRAVA bike count represents around 1% of the actual bike volume on average. To convert the data to estimated bike volume so that these volumes could be interpreted in the risk scoring tool, we used the following formula to convert STRAVA bike count to bike ADT:</w:t>
      </w:r>
    </w:p>
    <w:p>
      <w:pPr>
        <w:pStyle w:val="BodyText"/>
        <w:spacing w:before="6"/>
        <w:rPr>
          <w:sz w:val="11"/>
        </w:rPr>
      </w:pPr>
    </w:p>
    <w:p>
      <w:pPr>
        <w:spacing w:after="0"/>
        <w:rPr>
          <w:sz w:val="11"/>
        </w:rPr>
        <w:sectPr>
          <w:pgSz w:w="12240" w:h="15840"/>
          <w:pgMar w:header="0" w:footer="709" w:top="920" w:bottom="980" w:left="1120" w:right="0"/>
        </w:sectPr>
      </w:pPr>
    </w:p>
    <w:p>
      <w:pPr>
        <w:spacing w:line="122" w:lineRule="auto" w:before="143"/>
        <w:ind w:left="1684" w:right="0" w:firstLine="0"/>
        <w:jc w:val="left"/>
        <w:rPr>
          <w:rFonts w:ascii="Cambria Math" w:eastAsia="Cambria Math"/>
          <w:sz w:val="17"/>
        </w:rPr>
      </w:pPr>
      <w:r>
        <w:rPr/>
        <w:pict>
          <v:line style="position:absolute;mso-position-horizontal-relative:page;mso-position-vertical-relative:paragraph;z-index:1264" from="208.979996pt,16.743538pt" to="289.019996pt,16.743538pt" stroked="true" strokeweight=".78pt" strokecolor="#000000">
            <v:stroke dashstyle="solid"/>
            <w10:wrap type="none"/>
          </v:line>
        </w:pict>
      </w:r>
      <w:r>
        <w:rPr/>
        <w:pict>
          <v:line style="position:absolute;mso-position-horizontal-relative:page;mso-position-vertical-relative:paragraph;z-index:1288" from="304.679993pt,16.743538pt" to="384.720993pt,16.743538pt" stroked="true" strokeweight=".78pt" strokecolor="#000000">
            <v:stroke dashstyle="solid"/>
            <w10:wrap type="none"/>
          </v:line>
        </w:pict>
      </w:r>
      <w:r>
        <w:rPr>
          <w:rFonts w:ascii="Cambria Math" w:eastAsia="Cambria Math"/>
          <w:w w:val="55"/>
          <w:position w:val="-13"/>
          <w:sz w:val="24"/>
        </w:rPr>
        <w:t>𝐵𝐵𝐵𝐵𝐵𝐵𝐵𝐵 𝐴𝐴𝐴𝐴𝑇𝑇 = </w:t>
      </w:r>
      <w:r>
        <w:rPr>
          <w:rFonts w:ascii="Cambria Math" w:eastAsia="Cambria Math"/>
          <w:w w:val="55"/>
          <w:sz w:val="17"/>
        </w:rPr>
        <w:t>𝑆𝑆𝑆𝑆𝑆𝑆𝑆𝑆𝑆𝑆𝑆𝑆 𝐵𝐵𝐵𝐵𝐵𝐵𝐵𝐵 𝐶𝐶𝐶𝐶𝐶𝐶𝐶𝐶𝐶𝐶 </w:t>
      </w:r>
      <w:r>
        <w:rPr>
          <w:rFonts w:ascii="Cambria Math" w:eastAsia="Cambria Math"/>
          <w:w w:val="55"/>
          <w:position w:val="-13"/>
          <w:sz w:val="24"/>
        </w:rPr>
        <w:t>= </w:t>
      </w:r>
      <w:r>
        <w:rPr>
          <w:rFonts w:ascii="Cambria Math" w:eastAsia="Cambria Math"/>
          <w:w w:val="55"/>
          <w:sz w:val="17"/>
        </w:rPr>
        <w:t>𝑆𝑆𝑆𝑆𝑆𝑆𝑆𝑆𝑆𝑆𝑆𝑆 𝐵𝐵𝐵𝐵𝐵𝐵𝐵𝐵</w:t>
      </w:r>
      <w:r>
        <w:rPr>
          <w:rFonts w:ascii="Cambria Math" w:eastAsia="Cambria Math"/>
          <w:spacing w:val="-16"/>
          <w:w w:val="55"/>
          <w:sz w:val="17"/>
        </w:rPr>
        <w:t> </w:t>
      </w:r>
      <w:r>
        <w:rPr>
          <w:rFonts w:ascii="Cambria Math" w:eastAsia="Cambria Math"/>
          <w:w w:val="55"/>
          <w:sz w:val="17"/>
        </w:rPr>
        <w:t>𝐶𝐶𝐶𝐶𝐶𝐶𝐶𝐶𝐶𝐶</w:t>
      </w:r>
    </w:p>
    <w:p>
      <w:pPr>
        <w:spacing w:line="183" w:lineRule="exact" w:before="179"/>
        <w:ind w:left="1224" w:right="0" w:firstLine="0"/>
        <w:jc w:val="left"/>
        <w:rPr>
          <w:b/>
          <w:sz w:val="24"/>
        </w:rPr>
      </w:pPr>
      <w:r>
        <w:rPr/>
        <w:br w:type="column"/>
      </w:r>
      <w:r>
        <w:rPr>
          <w:b/>
          <w:sz w:val="24"/>
        </w:rPr>
        <w:t>(3-1)</w:t>
      </w:r>
    </w:p>
    <w:p>
      <w:pPr>
        <w:spacing w:after="0" w:line="183" w:lineRule="exact"/>
        <w:jc w:val="left"/>
        <w:rPr>
          <w:sz w:val="24"/>
        </w:rPr>
        <w:sectPr>
          <w:type w:val="continuous"/>
          <w:pgSz w:w="12240" w:h="15840"/>
          <w:pgMar w:top="1500" w:bottom="280" w:left="1120" w:right="0"/>
          <w:cols w:num="2" w:equalWidth="0">
            <w:col w:w="6570" w:space="40"/>
            <w:col w:w="4510"/>
          </w:cols>
        </w:sectPr>
      </w:pPr>
    </w:p>
    <w:p>
      <w:pPr>
        <w:tabs>
          <w:tab w:pos="5608" w:val="left" w:leader="none"/>
        </w:tabs>
        <w:spacing w:before="0"/>
        <w:ind w:left="3546" w:right="0" w:firstLine="0"/>
        <w:jc w:val="left"/>
        <w:rPr>
          <w:rFonts w:ascii="Cambria Math" w:hAnsi="Cambria Math"/>
          <w:sz w:val="17"/>
        </w:rPr>
      </w:pPr>
      <w:r>
        <w:rPr>
          <w:rFonts w:ascii="Cambria Math" w:hAnsi="Cambria Math"/>
          <w:w w:val="105"/>
          <w:sz w:val="17"/>
        </w:rPr>
        <w:t>1%∗365</w:t>
        <w:tab/>
        <w:t>3.65</w:t>
      </w:r>
    </w:p>
    <w:p>
      <w:pPr>
        <w:spacing w:after="0"/>
        <w:jc w:val="left"/>
        <w:rPr>
          <w:rFonts w:ascii="Cambria Math" w:hAnsi="Cambria Math"/>
          <w:sz w:val="17"/>
        </w:rPr>
        <w:sectPr>
          <w:type w:val="continuous"/>
          <w:pgSz w:w="12240" w:h="15840"/>
          <w:pgMar w:top="1500" w:bottom="280" w:left="1120" w:right="0"/>
        </w:sectPr>
      </w:pPr>
    </w:p>
    <w:p>
      <w:pPr>
        <w:pStyle w:val="BodyText"/>
        <w:ind w:left="1455"/>
        <w:rPr>
          <w:rFonts w:ascii="Cambria Math"/>
          <w:sz w:val="20"/>
        </w:rPr>
      </w:pPr>
      <w:r>
        <w:rPr>
          <w:rFonts w:ascii="Cambria Math"/>
          <w:sz w:val="20"/>
        </w:rPr>
        <w:drawing>
          <wp:inline distT="0" distB="0" distL="0" distR="0">
            <wp:extent cx="4549738" cy="2129028"/>
            <wp:effectExtent l="0" t="0" r="0" b="0"/>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33" cstate="print"/>
                    <a:stretch>
                      <a:fillRect/>
                    </a:stretch>
                  </pic:blipFill>
                  <pic:spPr>
                    <a:xfrm>
                      <a:off x="0" y="0"/>
                      <a:ext cx="4549738" cy="2129028"/>
                    </a:xfrm>
                    <a:prstGeom prst="rect">
                      <a:avLst/>
                    </a:prstGeom>
                  </pic:spPr>
                </pic:pic>
              </a:graphicData>
            </a:graphic>
          </wp:inline>
        </w:drawing>
      </w:r>
      <w:r>
        <w:rPr>
          <w:rFonts w:ascii="Cambria Math"/>
          <w:sz w:val="20"/>
        </w:rPr>
      </w:r>
    </w:p>
    <w:p>
      <w:pPr>
        <w:spacing w:before="90"/>
        <w:ind w:left="1674" w:right="0" w:firstLine="0"/>
        <w:jc w:val="left"/>
        <w:rPr>
          <w:sz w:val="20"/>
        </w:rPr>
      </w:pPr>
      <w:bookmarkStart w:name="_bookmark22" w:id="140"/>
      <w:bookmarkEnd w:id="140"/>
      <w:r>
        <w:rPr/>
      </w:r>
      <w:r>
        <w:rPr>
          <w:sz w:val="20"/>
        </w:rPr>
        <w:t>Figure 3.6: Multiple Bike Links on the Same Segment in Portland Downtown Area</w:t>
      </w:r>
    </w:p>
    <w:p>
      <w:pPr>
        <w:pStyle w:val="BodyText"/>
        <w:rPr>
          <w:sz w:val="22"/>
        </w:rPr>
      </w:pPr>
    </w:p>
    <w:p>
      <w:pPr>
        <w:pStyle w:val="BodyText"/>
        <w:rPr>
          <w:sz w:val="20"/>
        </w:rPr>
      </w:pPr>
    </w:p>
    <w:p>
      <w:pPr>
        <w:pStyle w:val="Heading3"/>
        <w:numPr>
          <w:ilvl w:val="2"/>
          <w:numId w:val="27"/>
        </w:numPr>
        <w:tabs>
          <w:tab w:pos="1040" w:val="left" w:leader="none"/>
        </w:tabs>
        <w:spacing w:line="240" w:lineRule="auto" w:before="0" w:after="0"/>
        <w:ind w:left="1039" w:right="0" w:hanging="719"/>
        <w:jc w:val="left"/>
      </w:pPr>
      <w:bookmarkStart w:name="_TOC_250042" w:id="141"/>
      <w:bookmarkStart w:name="3.2.5 Crash Data" w:id="142"/>
      <w:r>
        <w:rPr>
          <w:b w:val="0"/>
        </w:rPr>
      </w:r>
      <w:bookmarkEnd w:id="142"/>
      <w:bookmarkStart w:name="3.2.5 Crash Data" w:id="143"/>
      <w:r>
        <w:rPr/>
        <w:t>C</w:t>
      </w:r>
      <w:r>
        <w:rPr/>
        <w:t>rash</w:t>
      </w:r>
      <w:r>
        <w:rPr>
          <w:spacing w:val="-1"/>
        </w:rPr>
        <w:t> </w:t>
      </w:r>
      <w:bookmarkEnd w:id="141"/>
      <w:r>
        <w:rPr/>
        <w:t>Data</w:t>
      </w:r>
    </w:p>
    <w:p>
      <w:pPr>
        <w:pStyle w:val="BodyText"/>
        <w:spacing w:before="237"/>
        <w:ind w:left="1039" w:right="1446"/>
      </w:pPr>
      <w:r>
        <w:rPr/>
        <w:t>Statewide geolocation of reported crashes in Oregon began in the 2007 data year. To merge and extract the crash data for safety analysis, locations of all the crossing enhancements were mapped in ArcGIS</w:t>
      </w:r>
      <w:r>
        <w:rPr>
          <w:vertAlign w:val="superscript"/>
        </w:rPr>
        <w:t>®</w:t>
      </w:r>
      <w:r>
        <w:rPr>
          <w:vertAlign w:val="baseline"/>
        </w:rPr>
        <w:t> using the latitude and longitude of the location at the center of the crossing. The crashes for each year were also imported into ArcGIS</w:t>
      </w:r>
      <w:r>
        <w:rPr>
          <w:vertAlign w:val="superscript"/>
        </w:rPr>
        <w:t>®</w:t>
      </w:r>
      <w:r>
        <w:rPr>
          <w:vertAlign w:val="baseline"/>
        </w:rPr>
        <w:t> using the latitude and longitude. Crash data were used from 2010-2013. The data includes severity and other detailed crash</w:t>
      </w:r>
      <w:r>
        <w:rPr>
          <w:spacing w:val="-3"/>
          <w:vertAlign w:val="baseline"/>
        </w:rPr>
        <w:t> </w:t>
      </w:r>
      <w:r>
        <w:rPr>
          <w:vertAlign w:val="baseline"/>
        </w:rPr>
        <w:t>information.</w:t>
      </w:r>
    </w:p>
    <w:p>
      <w:pPr>
        <w:pStyle w:val="BodyText"/>
        <w:spacing w:before="9"/>
        <w:rPr>
          <w:sz w:val="20"/>
        </w:rPr>
      </w:pPr>
    </w:p>
    <w:p>
      <w:pPr>
        <w:pStyle w:val="BodyText"/>
        <w:spacing w:before="1"/>
        <w:ind w:left="1039" w:right="1495"/>
      </w:pPr>
      <w:r>
        <w:rPr/>
        <w:t>One important step of this project is to link crash data to intersections and road</w:t>
      </w:r>
      <w:r>
        <w:rPr>
          <w:spacing w:val="-22"/>
        </w:rPr>
        <w:t> </w:t>
      </w:r>
      <w:r>
        <w:rPr/>
        <w:t>segments. ArcGIS 10.2.2 was used to automatically assign crashes into segments and intersections. The spatial relation is used to determine whether a crash happened at an intersection or on a road segment, so it is crucial to identify how large an area an intersection or a segment can cover. An intersection can generally influence an area with a 250-foot diameter. Therefore, a buffer with a 125-foot radius was created at every middle point of intersections to build the influence area of an intersection. The crashes that occurred in this area are assigned to the corresponding intersection, shown in </w:t>
      </w:r>
      <w:hyperlink w:history="true" w:anchor="_bookmark23">
        <w:r>
          <w:rPr/>
          <w:t>Figure 3.7.</w:t>
        </w:r>
      </w:hyperlink>
      <w:r>
        <w:rPr/>
        <w:t> Similarly, a buffer with a 50-foot radius was created around a segment (line in ArcGIS) to build the influence area of the road segment, and crashes within the buffer were assigned to the segment.</w:t>
      </w:r>
    </w:p>
    <w:p>
      <w:pPr>
        <w:spacing w:after="0"/>
        <w:sectPr>
          <w:pgSz w:w="12240" w:h="15840"/>
          <w:pgMar w:header="0" w:footer="709" w:top="1000" w:bottom="980" w:left="1120" w:right="0"/>
        </w:sectPr>
      </w:pPr>
    </w:p>
    <w:p>
      <w:pPr>
        <w:pStyle w:val="BodyText"/>
        <w:ind w:left="1630"/>
        <w:rPr>
          <w:sz w:val="20"/>
        </w:rPr>
      </w:pPr>
      <w:r>
        <w:rPr>
          <w:sz w:val="20"/>
        </w:rPr>
        <w:pict>
          <v:group style="width:335.55pt;height:315.5pt;mso-position-horizontal-relative:char;mso-position-vertical-relative:line" coordorigin="0,0" coordsize="6711,6310">
            <v:shape style="position:absolute;left:0;top:566;width:6711;height:5743" type="#_x0000_t75" alt="https://lh3.googleusercontent.com/Ad0om2S0tcH_27di1u0VnaHm1KBR69CwA8sO3BlKDkmmQh_BmiVlxOUHHqg-jvWNKCdybrDyofNiut0a8K34623Nn6rUycFAi1vpUQm1xp4UKXqvtLjkTNaoQe02czeq3vusxgtqkp6yO_VgTA" stroked="false">
              <v:imagedata r:id="rId34" o:title=""/>
            </v:shape>
            <v:shape style="position:absolute;left:483;top:0;width:5610;height:6310" type="#_x0000_t75" alt="https://docs.google.com/a/oregonstate.edu/drawings/d/sFOo3ZzZDiQHKl__9JSJQZg/image?w=529&amp;h=595&amp;rev=1&amp;ac=1" stroked="false">
              <v:imagedata r:id="rId35" o:title=""/>
            </v:shape>
          </v:group>
        </w:pict>
      </w:r>
      <w:r>
        <w:rPr>
          <w:sz w:val="20"/>
        </w:rPr>
      </w:r>
    </w:p>
    <w:p>
      <w:pPr>
        <w:spacing w:before="96"/>
        <w:ind w:left="1955" w:right="0" w:firstLine="0"/>
        <w:jc w:val="left"/>
        <w:rPr>
          <w:sz w:val="20"/>
        </w:rPr>
      </w:pPr>
      <w:bookmarkStart w:name="_bookmark23" w:id="144"/>
      <w:bookmarkEnd w:id="144"/>
      <w:r>
        <w:rPr/>
      </w:r>
      <w:r>
        <w:rPr>
          <w:sz w:val="20"/>
        </w:rPr>
        <w:t>Figure 3.7: Intersection Crashes Counted within a 250-Foot Buffer Distance</w:t>
      </w:r>
    </w:p>
    <w:p>
      <w:pPr>
        <w:pStyle w:val="BodyText"/>
        <w:rPr>
          <w:sz w:val="22"/>
        </w:rPr>
      </w:pPr>
    </w:p>
    <w:p>
      <w:pPr>
        <w:pStyle w:val="BodyText"/>
        <w:spacing w:before="11"/>
        <w:rPr>
          <w:sz w:val="19"/>
        </w:rPr>
      </w:pPr>
    </w:p>
    <w:p>
      <w:pPr>
        <w:pStyle w:val="Heading3"/>
        <w:numPr>
          <w:ilvl w:val="1"/>
          <w:numId w:val="27"/>
        </w:numPr>
        <w:tabs>
          <w:tab w:pos="1039" w:val="left" w:leader="none"/>
          <w:tab w:pos="1040" w:val="left" w:leader="none"/>
        </w:tabs>
        <w:spacing w:line="240" w:lineRule="auto" w:before="0" w:after="0"/>
        <w:ind w:left="1039" w:right="0" w:hanging="719"/>
        <w:jc w:val="left"/>
      </w:pPr>
      <w:bookmarkStart w:name="_TOC_250041" w:id="145"/>
      <w:bookmarkStart w:name="3.3 Summary" w:id="146"/>
      <w:r>
        <w:rPr>
          <w:b w:val="0"/>
        </w:rPr>
      </w:r>
      <w:bookmarkEnd w:id="146"/>
      <w:bookmarkStart w:name="3.3 Summary" w:id="147"/>
      <w:r>
        <w:rPr/>
        <w:t>S</w:t>
      </w:r>
      <w:bookmarkEnd w:id="145"/>
      <w:r>
        <w:rPr/>
        <w:t>UMMARY</w:t>
      </w:r>
    </w:p>
    <w:p>
      <w:pPr>
        <w:pStyle w:val="BodyText"/>
        <w:spacing w:before="237"/>
        <w:ind w:left="320" w:right="1962"/>
      </w:pPr>
      <w:r>
        <w:rPr/>
        <w:t>All of the data described in this chapter were assembled in a consistent format for use in the modeling effort. Descriptive analysis of the data are described in the next chapter.</w:t>
      </w:r>
    </w:p>
    <w:p>
      <w:pPr>
        <w:spacing w:after="0"/>
        <w:sectPr>
          <w:pgSz w:w="12240" w:h="15840"/>
          <w:pgMar w:header="0" w:footer="709" w:top="420" w:bottom="980" w:left="1120" w:right="0"/>
        </w:sectPr>
      </w:pPr>
    </w:p>
    <w:p>
      <w:pPr>
        <w:pStyle w:val="Heading2"/>
        <w:numPr>
          <w:ilvl w:val="1"/>
          <w:numId w:val="28"/>
        </w:numPr>
        <w:tabs>
          <w:tab w:pos="2979" w:val="left" w:leader="none"/>
          <w:tab w:pos="2980" w:val="left" w:leader="none"/>
        </w:tabs>
        <w:spacing w:line="240" w:lineRule="auto" w:before="75" w:after="0"/>
        <w:ind w:left="2979" w:right="0" w:hanging="720"/>
        <w:jc w:val="left"/>
      </w:pPr>
      <w:bookmarkStart w:name="_TOC_250040" w:id="148"/>
      <w:bookmarkStart w:name="4.0 DESCRIPTIVE DATA ANALYSIS" w:id="149"/>
      <w:r>
        <w:rPr>
          <w:b w:val="0"/>
        </w:rPr>
      </w:r>
      <w:bookmarkEnd w:id="149"/>
      <w:bookmarkStart w:name="4.0 DESCRIPTIVE DATA ANALYSIS" w:id="150"/>
      <w:r>
        <w:rPr/>
        <w:t>D</w:t>
      </w:r>
      <w:r>
        <w:rPr/>
        <w:t>ESCRIPTIVE </w:t>
      </w:r>
      <w:r>
        <w:rPr>
          <w:spacing w:val="-13"/>
        </w:rPr>
        <w:t>DATA</w:t>
      </w:r>
      <w:r>
        <w:rPr>
          <w:spacing w:val="-37"/>
        </w:rPr>
        <w:t> </w:t>
      </w:r>
      <w:bookmarkEnd w:id="148"/>
      <w:r>
        <w:rPr>
          <w:spacing w:val="-5"/>
        </w:rPr>
        <w:t>ANALYSIS</w:t>
      </w:r>
    </w:p>
    <w:p>
      <w:pPr>
        <w:pStyle w:val="BodyText"/>
        <w:spacing w:before="6"/>
        <w:rPr>
          <w:b/>
          <w:sz w:val="41"/>
        </w:rPr>
      </w:pPr>
    </w:p>
    <w:p>
      <w:pPr>
        <w:pStyle w:val="BodyText"/>
        <w:ind w:left="320" w:right="2296"/>
      </w:pPr>
      <w:r>
        <w:rPr/>
        <w:t>This chapter presents the descriptive analysis of crash, geometric and volume count data collected for the modeling process. Data on a total of 188 statewide segments and 184 intersections were collected. The chapter presents descriptive summaries for segment, intersection, and land use and count data.</w:t>
      </w:r>
    </w:p>
    <w:p>
      <w:pPr>
        <w:pStyle w:val="BodyText"/>
        <w:spacing w:before="2"/>
        <w:rPr>
          <w:sz w:val="21"/>
        </w:rPr>
      </w:pPr>
    </w:p>
    <w:p>
      <w:pPr>
        <w:pStyle w:val="Heading3"/>
        <w:numPr>
          <w:ilvl w:val="1"/>
          <w:numId w:val="28"/>
        </w:numPr>
        <w:tabs>
          <w:tab w:pos="1039" w:val="left" w:leader="none"/>
          <w:tab w:pos="1040" w:val="left" w:leader="none"/>
        </w:tabs>
        <w:spacing w:line="240" w:lineRule="auto" w:before="0" w:after="0"/>
        <w:ind w:left="1039" w:right="0" w:hanging="719"/>
        <w:jc w:val="left"/>
      </w:pPr>
      <w:bookmarkStart w:name="_TOC_250039" w:id="151"/>
      <w:bookmarkStart w:name="4.1 SEGMENTS" w:id="152"/>
      <w:r>
        <w:rPr>
          <w:b w:val="0"/>
        </w:rPr>
      </w:r>
      <w:bookmarkEnd w:id="152"/>
      <w:bookmarkStart w:name="4.1 SEGMENTS" w:id="153"/>
      <w:r>
        <w:rPr/>
        <w:t>S</w:t>
      </w:r>
      <w:bookmarkEnd w:id="151"/>
      <w:r>
        <w:rPr/>
        <w:t>EGMENTS</w:t>
      </w:r>
    </w:p>
    <w:p>
      <w:pPr>
        <w:pStyle w:val="BodyText"/>
        <w:spacing w:before="237"/>
        <w:ind w:left="319" w:right="1589"/>
      </w:pPr>
      <w:r>
        <w:rPr/>
        <w:t>There are 12 categorical variables (number of total traffic lanes, presence of TWLTL, presence of bike lanes, presence of sidewalk buffer, number of marked crosswalks, presence of on-street parking, presence of lighting, one or two-way travel, posted speed, presence of school, state highway and ODOT Region), and five continuous variables (segment length, width of bike lane (feet), number of driveways, number of intersections and maximum walking distance).</w:t>
      </w:r>
    </w:p>
    <w:p>
      <w:pPr>
        <w:pStyle w:val="BodyText"/>
        <w:spacing w:before="10"/>
        <w:rPr>
          <w:sz w:val="20"/>
        </w:rPr>
      </w:pPr>
    </w:p>
    <w:p>
      <w:pPr>
        <w:pStyle w:val="BodyText"/>
        <w:ind w:left="319" w:right="1503"/>
      </w:pPr>
      <w:hyperlink w:history="true" w:anchor="_bookmark24">
        <w:r>
          <w:rPr/>
          <w:t>Table 4.1</w:t>
        </w:r>
      </w:hyperlink>
      <w:r>
        <w:rPr/>
        <w:t> presents the summary of categorical geometric-related variables of 188 selected segments. </w:t>
      </w:r>
      <w:hyperlink w:history="true" w:anchor="_bookmark26">
        <w:r>
          <w:rPr/>
          <w:t>Figure 4.1</w:t>
        </w:r>
      </w:hyperlink>
      <w:r>
        <w:rPr/>
        <w:t> and </w:t>
      </w:r>
      <w:hyperlink w:history="true" w:anchor="_bookmark27">
        <w:r>
          <w:rPr/>
          <w:t>Figure 4.2</w:t>
        </w:r>
      </w:hyperlink>
      <w:r>
        <w:rPr/>
        <w:t> show the same data but in a graphical format for easier inspection. More than half of the segments have only 2 traffic lanes and about 30% of the segment have 4 or more lanes. Most of the segment samples do not have two-way-left-turn lanes (69%), sidewalk buffer (76%), marked crosswalk (96%) or on-street parking (76%). About 40% of the segments do not have transit line go through it and 45% of the samples have only 1 transit line.</w:t>
      </w:r>
    </w:p>
    <w:p>
      <w:pPr>
        <w:pStyle w:val="BodyText"/>
        <w:spacing w:before="10"/>
        <w:rPr>
          <w:sz w:val="20"/>
        </w:rPr>
      </w:pPr>
    </w:p>
    <w:p>
      <w:pPr>
        <w:pStyle w:val="BodyText"/>
        <w:ind w:left="319" w:right="1725"/>
        <w:jc w:val="both"/>
      </w:pPr>
      <w:hyperlink w:history="true" w:anchor="_bookmark25">
        <w:r>
          <w:rPr/>
          <w:t>Table 4.2</w:t>
        </w:r>
      </w:hyperlink>
      <w:r>
        <w:rPr/>
        <w:t> presents the descriptive statistics for the continuous variables of segment geometric information. The number of driveways within the segment varies between a minimum of zero and a maximum of 26, with a mean of 4.36. The maximum number of transit lines through the segment is five but the mean number is only 0.81. Most segments do not have intersections, as the mean number of intersections is 0.28.</w:t>
      </w:r>
    </w:p>
    <w:p>
      <w:pPr>
        <w:spacing w:after="0"/>
        <w:jc w:val="both"/>
        <w:sectPr>
          <w:pgSz w:w="12240" w:h="15840"/>
          <w:pgMar w:header="0" w:footer="709" w:top="1400" w:bottom="980" w:left="1120" w:right="0"/>
        </w:sectPr>
      </w:pPr>
    </w:p>
    <w:p>
      <w:pPr>
        <w:spacing w:before="75"/>
        <w:ind w:left="320" w:right="0" w:firstLine="0"/>
        <w:jc w:val="left"/>
        <w:rPr>
          <w:b/>
          <w:sz w:val="20"/>
        </w:rPr>
      </w:pPr>
      <w:bookmarkStart w:name="_bookmark24" w:id="154"/>
      <w:bookmarkEnd w:id="154"/>
      <w:r>
        <w:rPr/>
      </w:r>
      <w:r>
        <w:rPr>
          <w:b/>
          <w:sz w:val="20"/>
        </w:rPr>
        <w:t>Table 4.1: Summary of Categorical Geometric Variables of</w:t>
      </w:r>
      <w:r>
        <w:rPr>
          <w:b/>
          <w:spacing w:val="-34"/>
          <w:sz w:val="20"/>
        </w:rPr>
        <w:t> </w:t>
      </w:r>
      <w:r>
        <w:rPr>
          <w:b/>
          <w:sz w:val="20"/>
        </w:rPr>
        <w:t>Segments</w:t>
      </w:r>
    </w:p>
    <w:tbl>
      <w:tblPr>
        <w:tblW w:w="0" w:type="auto"/>
        <w:jc w:val="left"/>
        <w:tblInd w:w="29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150"/>
        <w:gridCol w:w="2160"/>
        <w:gridCol w:w="2340"/>
        <w:gridCol w:w="1574"/>
      </w:tblGrid>
      <w:tr>
        <w:trPr>
          <w:trHeight w:val="344" w:hRule="atLeast"/>
        </w:trPr>
        <w:tc>
          <w:tcPr>
            <w:tcW w:w="5310" w:type="dxa"/>
            <w:gridSpan w:val="2"/>
            <w:tcBorders>
              <w:left w:val="nil"/>
              <w:right w:val="single" w:sz="4" w:space="0" w:color="000000"/>
            </w:tcBorders>
          </w:tcPr>
          <w:p>
            <w:pPr>
              <w:pStyle w:val="TableParagraph"/>
              <w:spacing w:before="54"/>
              <w:ind w:left="2306" w:right="2213"/>
              <w:jc w:val="center"/>
              <w:rPr>
                <w:b/>
                <w:sz w:val="20"/>
              </w:rPr>
            </w:pPr>
            <w:r>
              <w:rPr>
                <w:b/>
                <w:sz w:val="20"/>
              </w:rPr>
              <w:t>Variable</w:t>
            </w:r>
          </w:p>
        </w:tc>
        <w:tc>
          <w:tcPr>
            <w:tcW w:w="2340" w:type="dxa"/>
            <w:tcBorders>
              <w:left w:val="single" w:sz="4" w:space="0" w:color="000000"/>
              <w:right w:val="single" w:sz="4" w:space="0" w:color="000000"/>
            </w:tcBorders>
          </w:tcPr>
          <w:p>
            <w:pPr>
              <w:pStyle w:val="TableParagraph"/>
              <w:spacing w:before="57"/>
              <w:ind w:left="711" w:right="667"/>
              <w:jc w:val="center"/>
              <w:rPr>
                <w:b/>
                <w:sz w:val="20"/>
              </w:rPr>
            </w:pPr>
            <w:r>
              <w:rPr>
                <w:b/>
                <w:sz w:val="20"/>
              </w:rPr>
              <w:t>Frequency</w:t>
            </w:r>
          </w:p>
        </w:tc>
        <w:tc>
          <w:tcPr>
            <w:tcW w:w="1574" w:type="dxa"/>
            <w:tcBorders>
              <w:left w:val="single" w:sz="4" w:space="0" w:color="000000"/>
              <w:right w:val="nil"/>
            </w:tcBorders>
          </w:tcPr>
          <w:p>
            <w:pPr>
              <w:pStyle w:val="TableParagraph"/>
              <w:spacing w:before="57"/>
              <w:ind w:left="174" w:right="210"/>
              <w:jc w:val="center"/>
              <w:rPr>
                <w:b/>
                <w:sz w:val="20"/>
              </w:rPr>
            </w:pPr>
            <w:r>
              <w:rPr>
                <w:b/>
                <w:sz w:val="20"/>
              </w:rPr>
              <w:t>Percentage%</w:t>
            </w:r>
          </w:p>
        </w:tc>
      </w:tr>
      <w:tr>
        <w:trPr>
          <w:trHeight w:val="220" w:hRule="atLeast"/>
        </w:trPr>
        <w:tc>
          <w:tcPr>
            <w:tcW w:w="3150" w:type="dxa"/>
            <w:vMerge w:val="restart"/>
            <w:tcBorders>
              <w:left w:val="nil"/>
              <w:right w:val="single" w:sz="4" w:space="0" w:color="000000"/>
            </w:tcBorders>
          </w:tcPr>
          <w:p>
            <w:pPr>
              <w:pStyle w:val="TableParagraph"/>
              <w:rPr>
                <w:b/>
                <w:sz w:val="21"/>
              </w:rPr>
            </w:pPr>
          </w:p>
          <w:p>
            <w:pPr>
              <w:pStyle w:val="TableParagraph"/>
              <w:ind w:left="123" w:right="242"/>
              <w:rPr>
                <w:sz w:val="20"/>
              </w:rPr>
            </w:pPr>
            <w:r>
              <w:rPr>
                <w:sz w:val="20"/>
              </w:rPr>
              <w:t>Number of traffic lanes (excluding two-way left turn lane)</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2"/>
              <w:jc w:val="center"/>
              <w:rPr>
                <w:sz w:val="20"/>
              </w:rPr>
            </w:pPr>
            <w:r>
              <w:rPr>
                <w:sz w:val="20"/>
              </w:rPr>
              <w:t>1 Lane</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29"/>
              <w:jc w:val="center"/>
              <w:rPr>
                <w:sz w:val="20"/>
              </w:rPr>
            </w:pPr>
            <w:r>
              <w:rPr>
                <w:w w:val="100"/>
                <w:sz w:val="20"/>
              </w:rPr>
              <w:t>2</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1.06%</w:t>
            </w:r>
          </w:p>
        </w:tc>
      </w:tr>
      <w:tr>
        <w:trPr>
          <w:trHeight w:val="209"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303" w:right="272"/>
              <w:jc w:val="center"/>
              <w:rPr>
                <w:sz w:val="20"/>
              </w:rPr>
            </w:pPr>
            <w:r>
              <w:rPr>
                <w:sz w:val="20"/>
              </w:rPr>
              <w:t>2 Lane</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6" w:right="667"/>
              <w:jc w:val="center"/>
              <w:rPr>
                <w:sz w:val="20"/>
              </w:rPr>
            </w:pPr>
            <w:r>
              <w:rPr>
                <w:sz w:val="20"/>
              </w:rPr>
              <w:t>112</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59.57%</w:t>
            </w:r>
          </w:p>
        </w:tc>
      </w:tr>
      <w:tr>
        <w:trPr>
          <w:trHeight w:val="21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303" w:right="272"/>
              <w:jc w:val="center"/>
              <w:rPr>
                <w:sz w:val="20"/>
              </w:rPr>
            </w:pPr>
            <w:r>
              <w:rPr>
                <w:sz w:val="20"/>
              </w:rPr>
              <w:t>3 Lane</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16</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8.51%</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3" w:right="273"/>
              <w:jc w:val="center"/>
              <w:rPr>
                <w:sz w:val="20"/>
              </w:rPr>
            </w:pPr>
            <w:r>
              <w:rPr>
                <w:sz w:val="20"/>
              </w:rPr>
              <w:t>4 Lanes or more</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58</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30.85%</w:t>
            </w:r>
          </w:p>
        </w:tc>
      </w:tr>
      <w:tr>
        <w:trPr>
          <w:trHeight w:val="219" w:hRule="atLeast"/>
        </w:trPr>
        <w:tc>
          <w:tcPr>
            <w:tcW w:w="3150" w:type="dxa"/>
            <w:vMerge w:val="restart"/>
            <w:tcBorders>
              <w:left w:val="nil"/>
              <w:right w:val="single" w:sz="4" w:space="0" w:color="000000"/>
            </w:tcBorders>
          </w:tcPr>
          <w:p>
            <w:pPr>
              <w:pStyle w:val="TableParagraph"/>
              <w:spacing w:line="230" w:lineRule="atLeast" w:before="1"/>
              <w:ind w:left="123" w:right="236"/>
              <w:rPr>
                <w:sz w:val="20"/>
              </w:rPr>
            </w:pPr>
            <w:r>
              <w:rPr>
                <w:sz w:val="20"/>
              </w:rPr>
              <w:t>Presence of two-way left-turn lane (TWLTL)</w:t>
            </w:r>
          </w:p>
        </w:tc>
        <w:tc>
          <w:tcPr>
            <w:tcW w:w="2160" w:type="dxa"/>
            <w:tcBorders>
              <w:left w:val="single" w:sz="4" w:space="0" w:color="000000"/>
              <w:bottom w:val="single" w:sz="4" w:space="0" w:color="000000"/>
              <w:right w:val="single" w:sz="4" w:space="0" w:color="000000"/>
            </w:tcBorders>
          </w:tcPr>
          <w:p>
            <w:pPr>
              <w:pStyle w:val="TableParagraph"/>
              <w:spacing w:line="199"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199" w:lineRule="exact"/>
              <w:ind w:left="696" w:right="667"/>
              <w:jc w:val="center"/>
              <w:rPr>
                <w:sz w:val="20"/>
              </w:rPr>
            </w:pPr>
            <w:r>
              <w:rPr>
                <w:sz w:val="20"/>
              </w:rPr>
              <w:t>130</w:t>
            </w:r>
          </w:p>
        </w:tc>
        <w:tc>
          <w:tcPr>
            <w:tcW w:w="1574" w:type="dxa"/>
            <w:tcBorders>
              <w:left w:val="single" w:sz="4" w:space="0" w:color="000000"/>
              <w:bottom w:val="single" w:sz="4" w:space="0" w:color="000000"/>
              <w:right w:val="nil"/>
            </w:tcBorders>
          </w:tcPr>
          <w:p>
            <w:pPr>
              <w:pStyle w:val="TableParagraph"/>
              <w:spacing w:line="199" w:lineRule="exact"/>
              <w:ind w:left="174" w:right="176"/>
              <w:jc w:val="center"/>
              <w:rPr>
                <w:sz w:val="20"/>
              </w:rPr>
            </w:pPr>
            <w:r>
              <w:rPr>
                <w:sz w:val="20"/>
              </w:rPr>
              <w:t>69.15%</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58</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30.85%</w:t>
            </w:r>
          </w:p>
        </w:tc>
      </w:tr>
      <w:tr>
        <w:trPr>
          <w:trHeight w:val="220" w:hRule="atLeast"/>
        </w:trPr>
        <w:tc>
          <w:tcPr>
            <w:tcW w:w="3150" w:type="dxa"/>
            <w:vMerge w:val="restart"/>
            <w:tcBorders>
              <w:left w:val="nil"/>
              <w:right w:val="single" w:sz="4" w:space="0" w:color="000000"/>
            </w:tcBorders>
          </w:tcPr>
          <w:p>
            <w:pPr>
              <w:pStyle w:val="TableParagraph"/>
              <w:spacing w:before="117"/>
              <w:ind w:left="123"/>
              <w:rPr>
                <w:sz w:val="20"/>
              </w:rPr>
            </w:pPr>
            <w:r>
              <w:rPr>
                <w:sz w:val="20"/>
              </w:rPr>
              <w:t>Presence of bike lane</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697" w:right="667"/>
              <w:jc w:val="center"/>
              <w:rPr>
                <w:sz w:val="20"/>
              </w:rPr>
            </w:pPr>
            <w:r>
              <w:rPr>
                <w:sz w:val="20"/>
              </w:rPr>
              <w:t>97</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51.60%</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91</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48.40%</w:t>
            </w:r>
          </w:p>
        </w:tc>
      </w:tr>
      <w:tr>
        <w:trPr>
          <w:trHeight w:val="220" w:hRule="atLeast"/>
        </w:trPr>
        <w:tc>
          <w:tcPr>
            <w:tcW w:w="3150" w:type="dxa"/>
            <w:vMerge w:val="restart"/>
            <w:tcBorders>
              <w:left w:val="nil"/>
              <w:right w:val="single" w:sz="4" w:space="0" w:color="000000"/>
            </w:tcBorders>
          </w:tcPr>
          <w:p>
            <w:pPr>
              <w:pStyle w:val="TableParagraph"/>
              <w:spacing w:before="117"/>
              <w:ind w:left="123"/>
              <w:rPr>
                <w:sz w:val="20"/>
              </w:rPr>
            </w:pPr>
            <w:r>
              <w:rPr>
                <w:sz w:val="20"/>
              </w:rPr>
              <w:t>Presence of sidewalk buffer</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696" w:right="667"/>
              <w:jc w:val="center"/>
              <w:rPr>
                <w:sz w:val="20"/>
              </w:rPr>
            </w:pPr>
            <w:r>
              <w:rPr>
                <w:sz w:val="20"/>
              </w:rPr>
              <w:t>143</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76.06%</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45</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23.94%</w:t>
            </w:r>
          </w:p>
        </w:tc>
      </w:tr>
      <w:tr>
        <w:trPr>
          <w:trHeight w:val="218" w:hRule="atLeast"/>
        </w:trPr>
        <w:tc>
          <w:tcPr>
            <w:tcW w:w="3150" w:type="dxa"/>
            <w:vMerge w:val="restart"/>
            <w:tcBorders>
              <w:left w:val="nil"/>
              <w:right w:val="single" w:sz="4" w:space="0" w:color="000000"/>
            </w:tcBorders>
          </w:tcPr>
          <w:p>
            <w:pPr>
              <w:pStyle w:val="TableParagraph"/>
              <w:spacing w:line="230" w:lineRule="exact" w:before="4"/>
              <w:ind w:left="123" w:right="619"/>
              <w:rPr>
                <w:sz w:val="20"/>
              </w:rPr>
            </w:pPr>
            <w:r>
              <w:rPr>
                <w:sz w:val="20"/>
              </w:rPr>
              <w:t>Presence of marked midblock crosswalks within segment</w:t>
            </w:r>
          </w:p>
        </w:tc>
        <w:tc>
          <w:tcPr>
            <w:tcW w:w="2160" w:type="dxa"/>
            <w:tcBorders>
              <w:left w:val="single" w:sz="4" w:space="0" w:color="000000"/>
              <w:bottom w:val="single" w:sz="4" w:space="0" w:color="000000"/>
              <w:right w:val="single" w:sz="4" w:space="0" w:color="000000"/>
            </w:tcBorders>
          </w:tcPr>
          <w:p>
            <w:pPr>
              <w:pStyle w:val="TableParagraph"/>
              <w:spacing w:line="199"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199" w:lineRule="exact"/>
              <w:ind w:left="696" w:right="667"/>
              <w:jc w:val="center"/>
              <w:rPr>
                <w:sz w:val="20"/>
              </w:rPr>
            </w:pPr>
            <w:r>
              <w:rPr>
                <w:sz w:val="20"/>
              </w:rPr>
              <w:t>181</w:t>
            </w:r>
          </w:p>
        </w:tc>
        <w:tc>
          <w:tcPr>
            <w:tcW w:w="1574" w:type="dxa"/>
            <w:tcBorders>
              <w:left w:val="single" w:sz="4" w:space="0" w:color="000000"/>
              <w:bottom w:val="single" w:sz="4" w:space="0" w:color="000000"/>
              <w:right w:val="nil"/>
            </w:tcBorders>
          </w:tcPr>
          <w:p>
            <w:pPr>
              <w:pStyle w:val="TableParagraph"/>
              <w:spacing w:line="199" w:lineRule="exact"/>
              <w:ind w:left="174" w:right="176"/>
              <w:jc w:val="center"/>
              <w:rPr>
                <w:sz w:val="20"/>
              </w:rPr>
            </w:pPr>
            <w:r>
              <w:rPr>
                <w:sz w:val="20"/>
              </w:rPr>
              <w:t>96.28%</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29"/>
              <w:jc w:val="center"/>
              <w:rPr>
                <w:sz w:val="20"/>
              </w:rPr>
            </w:pPr>
            <w:r>
              <w:rPr>
                <w:w w:val="100"/>
                <w:sz w:val="20"/>
              </w:rPr>
              <w:t>7</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3.72%</w:t>
            </w:r>
          </w:p>
        </w:tc>
      </w:tr>
      <w:tr>
        <w:trPr>
          <w:trHeight w:val="220" w:hRule="atLeast"/>
        </w:trPr>
        <w:tc>
          <w:tcPr>
            <w:tcW w:w="3150" w:type="dxa"/>
            <w:vMerge w:val="restart"/>
            <w:tcBorders>
              <w:left w:val="nil"/>
              <w:right w:val="single" w:sz="4" w:space="0" w:color="000000"/>
            </w:tcBorders>
          </w:tcPr>
          <w:p>
            <w:pPr>
              <w:pStyle w:val="TableParagraph"/>
              <w:spacing w:before="117"/>
              <w:ind w:left="123"/>
              <w:rPr>
                <w:sz w:val="20"/>
              </w:rPr>
            </w:pPr>
            <w:r>
              <w:rPr>
                <w:sz w:val="20"/>
              </w:rPr>
              <w:t>Presence of on-street parking</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696" w:right="667"/>
              <w:jc w:val="center"/>
              <w:rPr>
                <w:sz w:val="20"/>
              </w:rPr>
            </w:pPr>
            <w:r>
              <w:rPr>
                <w:sz w:val="20"/>
              </w:rPr>
              <w:t>143</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76.06%</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45</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23.94%</w:t>
            </w:r>
          </w:p>
        </w:tc>
      </w:tr>
      <w:tr>
        <w:trPr>
          <w:trHeight w:val="220" w:hRule="atLeast"/>
        </w:trPr>
        <w:tc>
          <w:tcPr>
            <w:tcW w:w="3150" w:type="dxa"/>
            <w:vMerge w:val="restart"/>
            <w:tcBorders>
              <w:left w:val="nil"/>
              <w:right w:val="single" w:sz="4" w:space="0" w:color="000000"/>
            </w:tcBorders>
          </w:tcPr>
          <w:p>
            <w:pPr>
              <w:pStyle w:val="TableParagraph"/>
              <w:spacing w:before="117"/>
              <w:ind w:left="123"/>
              <w:rPr>
                <w:sz w:val="20"/>
              </w:rPr>
            </w:pPr>
            <w:r>
              <w:rPr>
                <w:sz w:val="20"/>
              </w:rPr>
              <w:t>Presence of lighting along segment</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697" w:right="667"/>
              <w:jc w:val="center"/>
              <w:rPr>
                <w:sz w:val="20"/>
              </w:rPr>
            </w:pPr>
            <w:r>
              <w:rPr>
                <w:sz w:val="20"/>
              </w:rPr>
              <w:t>73</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38.83%</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Yes</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6" w:right="667"/>
              <w:jc w:val="center"/>
              <w:rPr>
                <w:sz w:val="20"/>
              </w:rPr>
            </w:pPr>
            <w:r>
              <w:rPr>
                <w:sz w:val="20"/>
              </w:rPr>
              <w:t>115</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61.17%</w:t>
            </w:r>
          </w:p>
        </w:tc>
      </w:tr>
      <w:tr>
        <w:trPr>
          <w:trHeight w:val="219" w:hRule="atLeast"/>
        </w:trPr>
        <w:tc>
          <w:tcPr>
            <w:tcW w:w="3150" w:type="dxa"/>
            <w:vMerge w:val="restart"/>
            <w:tcBorders>
              <w:left w:val="nil"/>
              <w:right w:val="single" w:sz="4" w:space="0" w:color="000000"/>
            </w:tcBorders>
          </w:tcPr>
          <w:p>
            <w:pPr>
              <w:pStyle w:val="TableParagraph"/>
              <w:spacing w:before="117"/>
              <w:ind w:left="123"/>
              <w:rPr>
                <w:sz w:val="20"/>
              </w:rPr>
            </w:pPr>
            <w:r>
              <w:rPr>
                <w:sz w:val="20"/>
              </w:rPr>
              <w:t>Traffic direction</w:t>
            </w:r>
          </w:p>
        </w:tc>
        <w:tc>
          <w:tcPr>
            <w:tcW w:w="2160" w:type="dxa"/>
            <w:tcBorders>
              <w:left w:val="single" w:sz="4" w:space="0" w:color="000000"/>
              <w:bottom w:val="single" w:sz="4" w:space="0" w:color="000000"/>
              <w:right w:val="single" w:sz="4" w:space="0" w:color="000000"/>
            </w:tcBorders>
          </w:tcPr>
          <w:p>
            <w:pPr>
              <w:pStyle w:val="TableParagraph"/>
              <w:spacing w:line="199" w:lineRule="exact"/>
              <w:ind w:left="302" w:right="273"/>
              <w:jc w:val="center"/>
              <w:rPr>
                <w:sz w:val="20"/>
              </w:rPr>
            </w:pPr>
            <w:r>
              <w:rPr>
                <w:sz w:val="20"/>
              </w:rPr>
              <w:t>One-way</w:t>
            </w:r>
          </w:p>
        </w:tc>
        <w:tc>
          <w:tcPr>
            <w:tcW w:w="2340" w:type="dxa"/>
            <w:tcBorders>
              <w:left w:val="single" w:sz="4" w:space="0" w:color="000000"/>
              <w:bottom w:val="single" w:sz="4" w:space="0" w:color="000000"/>
              <w:right w:val="single" w:sz="4" w:space="0" w:color="000000"/>
            </w:tcBorders>
          </w:tcPr>
          <w:p>
            <w:pPr>
              <w:pStyle w:val="TableParagraph"/>
              <w:spacing w:line="199" w:lineRule="exact"/>
              <w:ind w:left="697" w:right="667"/>
              <w:jc w:val="center"/>
              <w:rPr>
                <w:sz w:val="20"/>
              </w:rPr>
            </w:pPr>
            <w:r>
              <w:rPr>
                <w:sz w:val="20"/>
              </w:rPr>
              <w:t>24</w:t>
            </w:r>
          </w:p>
        </w:tc>
        <w:tc>
          <w:tcPr>
            <w:tcW w:w="1574" w:type="dxa"/>
            <w:tcBorders>
              <w:left w:val="single" w:sz="4" w:space="0" w:color="000000"/>
              <w:bottom w:val="single" w:sz="4" w:space="0" w:color="000000"/>
              <w:right w:val="nil"/>
            </w:tcBorders>
          </w:tcPr>
          <w:p>
            <w:pPr>
              <w:pStyle w:val="TableParagraph"/>
              <w:spacing w:line="199" w:lineRule="exact"/>
              <w:ind w:left="174" w:right="176"/>
              <w:jc w:val="center"/>
              <w:rPr>
                <w:sz w:val="20"/>
              </w:rPr>
            </w:pPr>
            <w:r>
              <w:rPr>
                <w:sz w:val="20"/>
              </w:rPr>
              <w:t>12.77%</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Two-way</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6" w:right="667"/>
              <w:jc w:val="center"/>
              <w:rPr>
                <w:sz w:val="20"/>
              </w:rPr>
            </w:pPr>
            <w:r>
              <w:rPr>
                <w:sz w:val="20"/>
              </w:rPr>
              <w:t>164</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87.23%</w:t>
            </w:r>
          </w:p>
        </w:tc>
      </w:tr>
      <w:tr>
        <w:trPr>
          <w:trHeight w:val="220" w:hRule="atLeast"/>
        </w:trPr>
        <w:tc>
          <w:tcPr>
            <w:tcW w:w="3150" w:type="dxa"/>
            <w:vMerge w:val="restart"/>
            <w:tcBorders>
              <w:left w:val="nil"/>
              <w:right w:val="single" w:sz="4" w:space="0" w:color="000000"/>
            </w:tcBorders>
          </w:tcPr>
          <w:p>
            <w:pPr>
              <w:pStyle w:val="TableParagraph"/>
              <w:rPr>
                <w:b/>
                <w:sz w:val="22"/>
              </w:rPr>
            </w:pPr>
          </w:p>
          <w:p>
            <w:pPr>
              <w:pStyle w:val="TableParagraph"/>
              <w:spacing w:before="5"/>
              <w:rPr>
                <w:b/>
                <w:sz w:val="19"/>
              </w:rPr>
            </w:pPr>
          </w:p>
          <w:p>
            <w:pPr>
              <w:pStyle w:val="TableParagraph"/>
              <w:ind w:left="123"/>
              <w:rPr>
                <w:sz w:val="20"/>
              </w:rPr>
            </w:pPr>
            <w:r>
              <w:rPr>
                <w:sz w:val="20"/>
              </w:rPr>
              <w:t>Posted speed limit (mph)</w:t>
            </w:r>
          </w:p>
        </w:tc>
        <w:tc>
          <w:tcPr>
            <w:tcW w:w="2160" w:type="dxa"/>
            <w:tcBorders>
              <w:left w:val="single" w:sz="4" w:space="0" w:color="000000"/>
              <w:bottom w:val="single" w:sz="4" w:space="0" w:color="000000"/>
              <w:right w:val="single" w:sz="4" w:space="0" w:color="000000"/>
            </w:tcBorders>
          </w:tcPr>
          <w:p>
            <w:pPr>
              <w:pStyle w:val="TableParagraph"/>
              <w:spacing w:line="200" w:lineRule="exact"/>
              <w:ind w:left="303" w:right="273"/>
              <w:jc w:val="center"/>
              <w:rPr>
                <w:sz w:val="20"/>
              </w:rPr>
            </w:pPr>
            <w:r>
              <w:rPr>
                <w:sz w:val="20"/>
              </w:rPr>
              <w:t>20</w:t>
            </w:r>
          </w:p>
        </w:tc>
        <w:tc>
          <w:tcPr>
            <w:tcW w:w="2340" w:type="dxa"/>
            <w:tcBorders>
              <w:left w:val="single" w:sz="4" w:space="0" w:color="000000"/>
              <w:bottom w:val="single" w:sz="4" w:space="0" w:color="000000"/>
              <w:right w:val="single" w:sz="4" w:space="0" w:color="000000"/>
            </w:tcBorders>
          </w:tcPr>
          <w:p>
            <w:pPr>
              <w:pStyle w:val="TableParagraph"/>
              <w:spacing w:line="200" w:lineRule="exact"/>
              <w:ind w:left="697" w:right="667"/>
              <w:jc w:val="center"/>
              <w:rPr>
                <w:sz w:val="20"/>
              </w:rPr>
            </w:pPr>
            <w:r>
              <w:rPr>
                <w:sz w:val="20"/>
              </w:rPr>
              <w:t>12</w:t>
            </w:r>
          </w:p>
        </w:tc>
        <w:tc>
          <w:tcPr>
            <w:tcW w:w="1574" w:type="dxa"/>
            <w:tcBorders>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6.38%</w:t>
            </w:r>
          </w:p>
        </w:tc>
      </w:tr>
      <w:tr>
        <w:trPr>
          <w:trHeight w:val="21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303" w:right="273"/>
              <w:jc w:val="center"/>
              <w:rPr>
                <w:sz w:val="20"/>
              </w:rPr>
            </w:pPr>
            <w:r>
              <w:rPr>
                <w:sz w:val="20"/>
              </w:rPr>
              <w:t>25</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40</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21.28%</w:t>
            </w:r>
          </w:p>
        </w:tc>
      </w:tr>
      <w:tr>
        <w:trPr>
          <w:trHeight w:val="209"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303" w:right="273"/>
              <w:jc w:val="center"/>
              <w:rPr>
                <w:sz w:val="20"/>
              </w:rPr>
            </w:pPr>
            <w:r>
              <w:rPr>
                <w:sz w:val="20"/>
              </w:rPr>
              <w:t>30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27</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14.36%</w:t>
            </w:r>
          </w:p>
        </w:tc>
      </w:tr>
      <w:tr>
        <w:trPr>
          <w:trHeight w:val="21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303" w:right="273"/>
              <w:jc w:val="center"/>
              <w:rPr>
                <w:sz w:val="20"/>
              </w:rPr>
            </w:pPr>
            <w:r>
              <w:rPr>
                <w:sz w:val="20"/>
              </w:rPr>
              <w:t>35</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79</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42.02%</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&gt;35</w:t>
            </w:r>
          </w:p>
        </w:tc>
        <w:tc>
          <w:tcPr>
            <w:tcW w:w="2340" w:type="dxa"/>
            <w:tcBorders>
              <w:top w:val="single" w:sz="4" w:space="0" w:color="000000"/>
              <w:left w:val="single" w:sz="4" w:space="0" w:color="000000"/>
              <w:right w:val="single" w:sz="4" w:space="0" w:color="000000"/>
            </w:tcBorders>
          </w:tcPr>
          <w:p>
            <w:pPr>
              <w:pStyle w:val="TableParagraph"/>
              <w:spacing w:line="200" w:lineRule="exact"/>
              <w:ind w:left="697" w:right="667"/>
              <w:jc w:val="center"/>
              <w:rPr>
                <w:sz w:val="20"/>
              </w:rPr>
            </w:pPr>
            <w:r>
              <w:rPr>
                <w:sz w:val="20"/>
              </w:rPr>
              <w:t>30</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15.96%</w:t>
            </w:r>
          </w:p>
        </w:tc>
      </w:tr>
      <w:tr>
        <w:trPr>
          <w:trHeight w:val="228" w:hRule="atLeast"/>
        </w:trPr>
        <w:tc>
          <w:tcPr>
            <w:tcW w:w="3150" w:type="dxa"/>
            <w:vMerge w:val="restart"/>
            <w:tcBorders>
              <w:left w:val="nil"/>
              <w:bottom w:val="single" w:sz="4" w:space="0" w:color="000000"/>
              <w:right w:val="single" w:sz="4" w:space="0" w:color="000000"/>
            </w:tcBorders>
          </w:tcPr>
          <w:p>
            <w:pPr>
              <w:pStyle w:val="TableParagraph"/>
              <w:spacing w:line="230" w:lineRule="atLeast" w:before="1"/>
              <w:ind w:left="123" w:right="108"/>
              <w:rPr>
                <w:sz w:val="20"/>
              </w:rPr>
            </w:pPr>
            <w:r>
              <w:rPr>
                <w:sz w:val="20"/>
              </w:rPr>
              <w:t>Presence of school area within 1000 feet from midpoint of segment</w:t>
            </w:r>
          </w:p>
        </w:tc>
        <w:tc>
          <w:tcPr>
            <w:tcW w:w="2160" w:type="dxa"/>
            <w:tcBorders>
              <w:left w:val="single" w:sz="4" w:space="0" w:color="000000"/>
              <w:bottom w:val="single" w:sz="4" w:space="0" w:color="000000"/>
              <w:right w:val="single" w:sz="4" w:space="0" w:color="000000"/>
            </w:tcBorders>
          </w:tcPr>
          <w:p>
            <w:pPr>
              <w:pStyle w:val="TableParagraph"/>
              <w:spacing w:line="209" w:lineRule="exact"/>
              <w:ind w:left="303" w:right="273"/>
              <w:jc w:val="center"/>
              <w:rPr>
                <w:sz w:val="20"/>
              </w:rPr>
            </w:pPr>
            <w:r>
              <w:rPr>
                <w:sz w:val="20"/>
              </w:rPr>
              <w:t>No</w:t>
            </w:r>
          </w:p>
        </w:tc>
        <w:tc>
          <w:tcPr>
            <w:tcW w:w="2340" w:type="dxa"/>
            <w:tcBorders>
              <w:left w:val="single" w:sz="4" w:space="0" w:color="000000"/>
              <w:bottom w:val="single" w:sz="4" w:space="0" w:color="000000"/>
              <w:right w:val="single" w:sz="4" w:space="0" w:color="000000"/>
            </w:tcBorders>
          </w:tcPr>
          <w:p>
            <w:pPr>
              <w:pStyle w:val="TableParagraph"/>
              <w:spacing w:line="209" w:lineRule="exact"/>
              <w:ind w:left="696" w:right="667"/>
              <w:jc w:val="center"/>
              <w:rPr>
                <w:sz w:val="20"/>
              </w:rPr>
            </w:pPr>
            <w:r>
              <w:rPr>
                <w:sz w:val="20"/>
              </w:rPr>
              <w:t>110</w:t>
            </w:r>
          </w:p>
        </w:tc>
        <w:tc>
          <w:tcPr>
            <w:tcW w:w="1574" w:type="dxa"/>
            <w:tcBorders>
              <w:left w:val="single" w:sz="4" w:space="0" w:color="000000"/>
              <w:bottom w:val="single" w:sz="4" w:space="0" w:color="000000"/>
              <w:right w:val="nil"/>
            </w:tcBorders>
          </w:tcPr>
          <w:p>
            <w:pPr>
              <w:pStyle w:val="TableParagraph"/>
              <w:spacing w:line="209" w:lineRule="exact"/>
              <w:ind w:left="174" w:right="176"/>
              <w:jc w:val="center"/>
              <w:rPr>
                <w:sz w:val="20"/>
              </w:rPr>
            </w:pPr>
            <w:r>
              <w:rPr>
                <w:sz w:val="20"/>
              </w:rPr>
              <w:t>58.51%</w:t>
            </w:r>
          </w:p>
        </w:tc>
      </w:tr>
      <w:tr>
        <w:trPr>
          <w:trHeight w:val="229"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2" w:right="273"/>
              <w:jc w:val="center"/>
              <w:rPr>
                <w:sz w:val="20"/>
              </w:rPr>
            </w:pPr>
            <w:r>
              <w:rPr>
                <w:sz w:val="20"/>
              </w:rPr>
              <w:t>Yes</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7" w:right="667"/>
              <w:jc w:val="center"/>
              <w:rPr>
                <w:sz w:val="20"/>
              </w:rPr>
            </w:pPr>
            <w:r>
              <w:rPr>
                <w:sz w:val="20"/>
              </w:rPr>
              <w:t>78</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41.49%</w:t>
            </w:r>
          </w:p>
        </w:tc>
      </w:tr>
      <w:tr>
        <w:trPr>
          <w:trHeight w:val="230" w:hRule="atLeast"/>
        </w:trPr>
        <w:tc>
          <w:tcPr>
            <w:tcW w:w="3150" w:type="dxa"/>
            <w:vMerge w:val="restart"/>
            <w:tcBorders>
              <w:top w:val="single" w:sz="4" w:space="0" w:color="000000"/>
              <w:left w:val="nil"/>
              <w:bottom w:val="single" w:sz="4" w:space="0" w:color="000000"/>
              <w:right w:val="single" w:sz="4" w:space="0" w:color="000000"/>
            </w:tcBorders>
          </w:tcPr>
          <w:p>
            <w:pPr>
              <w:pStyle w:val="TableParagraph"/>
              <w:spacing w:before="118"/>
              <w:ind w:left="123"/>
              <w:rPr>
                <w:sz w:val="20"/>
              </w:rPr>
            </w:pPr>
            <w:r>
              <w:rPr>
                <w:sz w:val="20"/>
              </w:rPr>
              <w:t>State highway</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3" w:right="272"/>
              <w:jc w:val="center"/>
              <w:rPr>
                <w:sz w:val="20"/>
              </w:rPr>
            </w:pPr>
            <w:r>
              <w:rPr>
                <w:sz w:val="20"/>
              </w:rPr>
              <w:t>State Highway</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8</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4.26%</w:t>
            </w:r>
          </w:p>
        </w:tc>
      </w:tr>
      <w:tr>
        <w:trPr>
          <w:trHeight w:val="230"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303" w:right="273"/>
              <w:jc w:val="center"/>
              <w:rPr>
                <w:sz w:val="20"/>
              </w:rPr>
            </w:pPr>
            <w:r>
              <w:rPr>
                <w:sz w:val="20"/>
              </w:rPr>
              <w:t>Not State Highway</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6" w:right="667"/>
              <w:jc w:val="center"/>
              <w:rPr>
                <w:sz w:val="20"/>
              </w:rPr>
            </w:pPr>
            <w:r>
              <w:rPr>
                <w:sz w:val="20"/>
              </w:rPr>
              <w:t>180</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95.74%</w:t>
            </w:r>
          </w:p>
        </w:tc>
      </w:tr>
      <w:tr>
        <w:trPr>
          <w:trHeight w:val="229" w:hRule="atLeast"/>
        </w:trPr>
        <w:tc>
          <w:tcPr>
            <w:tcW w:w="3150"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spacing w:before="6"/>
              <w:rPr>
                <w:b/>
                <w:sz w:val="19"/>
              </w:rPr>
            </w:pPr>
          </w:p>
          <w:p>
            <w:pPr>
              <w:pStyle w:val="TableParagraph"/>
              <w:ind w:left="123"/>
              <w:rPr>
                <w:sz w:val="20"/>
              </w:rPr>
            </w:pPr>
            <w:r>
              <w:rPr>
                <w:sz w:val="20"/>
              </w:rPr>
              <w:t>Region</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7" w:right="667"/>
              <w:jc w:val="center"/>
              <w:rPr>
                <w:sz w:val="20"/>
              </w:rPr>
            </w:pPr>
            <w:r>
              <w:rPr>
                <w:sz w:val="20"/>
              </w:rPr>
              <w:t>66</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35.11%</w:t>
            </w:r>
          </w:p>
        </w:tc>
      </w:tr>
      <w:tr>
        <w:trPr>
          <w:trHeight w:val="230"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7" w:right="667"/>
              <w:jc w:val="center"/>
              <w:rPr>
                <w:sz w:val="20"/>
              </w:rPr>
            </w:pPr>
            <w:r>
              <w:rPr>
                <w:sz w:val="20"/>
              </w:rPr>
              <w:t>56</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29.79%</w:t>
            </w:r>
          </w:p>
        </w:tc>
      </w:tr>
      <w:tr>
        <w:trPr>
          <w:trHeight w:val="230"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3</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7" w:right="667"/>
              <w:jc w:val="center"/>
              <w:rPr>
                <w:sz w:val="20"/>
              </w:rPr>
            </w:pPr>
            <w:r>
              <w:rPr>
                <w:sz w:val="20"/>
              </w:rPr>
              <w:t>28</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14.89%</w:t>
            </w:r>
          </w:p>
        </w:tc>
      </w:tr>
      <w:tr>
        <w:trPr>
          <w:trHeight w:val="229"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4</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697" w:right="667"/>
              <w:jc w:val="center"/>
              <w:rPr>
                <w:sz w:val="20"/>
              </w:rPr>
            </w:pPr>
            <w:r>
              <w:rPr>
                <w:sz w:val="20"/>
              </w:rPr>
              <w:t>19</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10.11%</w:t>
            </w:r>
          </w:p>
        </w:tc>
      </w:tr>
      <w:tr>
        <w:trPr>
          <w:trHeight w:val="230" w:hRule="atLeast"/>
        </w:trPr>
        <w:tc>
          <w:tcPr>
            <w:tcW w:w="3150" w:type="dxa"/>
            <w:vMerge/>
            <w:tcBorders>
              <w:top w:val="nil"/>
              <w:left w:val="nil"/>
              <w:bottom w:val="single" w:sz="4" w:space="0" w:color="000000"/>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5</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9"/>
              <w:jc w:val="center"/>
              <w:rPr>
                <w:sz w:val="20"/>
              </w:rPr>
            </w:pPr>
            <w:r>
              <w:rPr>
                <w:w w:val="100"/>
                <w:sz w:val="20"/>
              </w:rPr>
              <w:t>9</w:t>
            </w:r>
          </w:p>
        </w:tc>
        <w:tc>
          <w:tcPr>
            <w:tcW w:w="1574" w:type="dxa"/>
            <w:tcBorders>
              <w:top w:val="single" w:sz="4" w:space="0" w:color="000000"/>
              <w:left w:val="single" w:sz="4" w:space="0" w:color="000000"/>
              <w:bottom w:val="single" w:sz="4" w:space="0" w:color="000000"/>
              <w:right w:val="nil"/>
            </w:tcBorders>
          </w:tcPr>
          <w:p>
            <w:pPr>
              <w:pStyle w:val="TableParagraph"/>
              <w:spacing w:line="210" w:lineRule="exact"/>
              <w:ind w:left="174" w:right="176"/>
              <w:jc w:val="center"/>
              <w:rPr>
                <w:sz w:val="20"/>
              </w:rPr>
            </w:pPr>
            <w:r>
              <w:rPr>
                <w:sz w:val="20"/>
              </w:rPr>
              <w:t>4.79%</w:t>
            </w:r>
          </w:p>
        </w:tc>
      </w:tr>
      <w:tr>
        <w:trPr>
          <w:trHeight w:val="220" w:hRule="atLeast"/>
        </w:trPr>
        <w:tc>
          <w:tcPr>
            <w:tcW w:w="3150" w:type="dxa"/>
            <w:vMerge w:val="restart"/>
            <w:tcBorders>
              <w:top w:val="single" w:sz="4" w:space="0" w:color="000000"/>
              <w:left w:val="nil"/>
              <w:right w:val="single" w:sz="4" w:space="0" w:color="000000"/>
            </w:tcBorders>
          </w:tcPr>
          <w:p>
            <w:pPr>
              <w:pStyle w:val="TableParagraph"/>
              <w:spacing w:before="6"/>
              <w:rPr>
                <w:b/>
                <w:sz w:val="31"/>
              </w:rPr>
            </w:pPr>
          </w:p>
          <w:p>
            <w:pPr>
              <w:pStyle w:val="TableParagraph"/>
              <w:ind w:left="123" w:right="230"/>
              <w:rPr>
                <w:sz w:val="20"/>
              </w:rPr>
            </w:pPr>
            <w:r>
              <w:rPr>
                <w:sz w:val="20"/>
              </w:rPr>
              <w:t>Number of transit lines go through the segment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29"/>
              <w:jc w:val="center"/>
              <w:rPr>
                <w:sz w:val="20"/>
              </w:rPr>
            </w:pPr>
            <w:r>
              <w:rPr>
                <w:w w:val="100"/>
                <w:sz w:val="20"/>
              </w:rPr>
              <w:t>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697" w:right="667"/>
              <w:jc w:val="center"/>
              <w:rPr>
                <w:sz w:val="20"/>
              </w:rPr>
            </w:pPr>
            <w:r>
              <w:rPr>
                <w:sz w:val="20"/>
              </w:rPr>
              <w:t>76</w:t>
            </w:r>
          </w:p>
        </w:tc>
        <w:tc>
          <w:tcPr>
            <w:tcW w:w="1574" w:type="dxa"/>
            <w:tcBorders>
              <w:top w:val="single" w:sz="4" w:space="0" w:color="000000"/>
              <w:left w:val="single" w:sz="4" w:space="0" w:color="000000"/>
              <w:bottom w:val="single" w:sz="4" w:space="0" w:color="000000"/>
              <w:right w:val="nil"/>
            </w:tcBorders>
          </w:tcPr>
          <w:p>
            <w:pPr>
              <w:pStyle w:val="TableParagraph"/>
              <w:spacing w:line="200" w:lineRule="exact"/>
              <w:ind w:left="174" w:right="176"/>
              <w:jc w:val="center"/>
              <w:rPr>
                <w:sz w:val="20"/>
              </w:rPr>
            </w:pPr>
            <w:r>
              <w:rPr>
                <w:sz w:val="20"/>
              </w:rPr>
              <w:t>40.43%</w:t>
            </w:r>
          </w:p>
        </w:tc>
      </w:tr>
      <w:tr>
        <w:trPr>
          <w:trHeight w:val="209"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1</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85</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45.21%</w:t>
            </w:r>
          </w:p>
        </w:tc>
      </w:tr>
      <w:tr>
        <w:trPr>
          <w:trHeight w:val="21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2</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697" w:right="667"/>
              <w:jc w:val="center"/>
              <w:rPr>
                <w:sz w:val="20"/>
              </w:rPr>
            </w:pPr>
            <w:r>
              <w:rPr>
                <w:sz w:val="20"/>
              </w:rPr>
              <w:t>19</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10.11%</w:t>
            </w:r>
          </w:p>
        </w:tc>
      </w:tr>
      <w:tr>
        <w:trPr>
          <w:trHeight w:val="21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3</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5</w:t>
            </w:r>
          </w:p>
        </w:tc>
        <w:tc>
          <w:tcPr>
            <w:tcW w:w="1574" w:type="dxa"/>
            <w:tcBorders>
              <w:top w:val="single" w:sz="4" w:space="0" w:color="000000"/>
              <w:left w:val="single" w:sz="4" w:space="0" w:color="000000"/>
              <w:bottom w:val="single" w:sz="4" w:space="0" w:color="000000"/>
              <w:right w:val="nil"/>
            </w:tcBorders>
          </w:tcPr>
          <w:p>
            <w:pPr>
              <w:pStyle w:val="TableParagraph"/>
              <w:spacing w:line="190" w:lineRule="exact"/>
              <w:ind w:left="174" w:right="176"/>
              <w:jc w:val="center"/>
              <w:rPr>
                <w:sz w:val="20"/>
              </w:rPr>
            </w:pPr>
            <w:r>
              <w:rPr>
                <w:sz w:val="20"/>
              </w:rPr>
              <w:t>2.66%</w:t>
            </w:r>
          </w:p>
        </w:tc>
      </w:tr>
      <w:tr>
        <w:trPr>
          <w:trHeight w:val="220" w:hRule="atLeast"/>
        </w:trPr>
        <w:tc>
          <w:tcPr>
            <w:tcW w:w="3150" w:type="dxa"/>
            <w:vMerge/>
            <w:tcBorders>
              <w:top w:val="nil"/>
              <w:left w:val="nil"/>
              <w:right w:val="single" w:sz="4" w:space="0" w:color="000000"/>
            </w:tcBorders>
          </w:tcPr>
          <w:p>
            <w:pPr>
              <w:rPr>
                <w:sz w:val="2"/>
                <w:szCs w:val="2"/>
              </w:rPr>
            </w:pPr>
          </w:p>
        </w:tc>
        <w:tc>
          <w:tcPr>
            <w:tcW w:w="2160" w:type="dxa"/>
            <w:tcBorders>
              <w:top w:val="single" w:sz="4" w:space="0" w:color="000000"/>
              <w:left w:val="single" w:sz="4" w:space="0" w:color="000000"/>
              <w:right w:val="single" w:sz="4" w:space="0" w:color="000000"/>
            </w:tcBorders>
          </w:tcPr>
          <w:p>
            <w:pPr>
              <w:pStyle w:val="TableParagraph"/>
              <w:spacing w:line="200" w:lineRule="exact"/>
              <w:ind w:left="302" w:right="273"/>
              <w:jc w:val="center"/>
              <w:rPr>
                <w:sz w:val="20"/>
              </w:rPr>
            </w:pPr>
            <w:r>
              <w:rPr>
                <w:sz w:val="20"/>
              </w:rPr>
              <w:t>&gt;3</w:t>
            </w:r>
          </w:p>
        </w:tc>
        <w:tc>
          <w:tcPr>
            <w:tcW w:w="2340" w:type="dxa"/>
            <w:tcBorders>
              <w:top w:val="single" w:sz="4" w:space="0" w:color="000000"/>
              <w:left w:val="single" w:sz="4" w:space="0" w:color="000000"/>
              <w:right w:val="single" w:sz="4" w:space="0" w:color="000000"/>
            </w:tcBorders>
          </w:tcPr>
          <w:p>
            <w:pPr>
              <w:pStyle w:val="TableParagraph"/>
              <w:spacing w:line="200" w:lineRule="exact"/>
              <w:ind w:left="29"/>
              <w:jc w:val="center"/>
              <w:rPr>
                <w:sz w:val="20"/>
              </w:rPr>
            </w:pPr>
            <w:r>
              <w:rPr>
                <w:w w:val="100"/>
                <w:sz w:val="20"/>
              </w:rPr>
              <w:t>3</w:t>
            </w:r>
          </w:p>
        </w:tc>
        <w:tc>
          <w:tcPr>
            <w:tcW w:w="1574" w:type="dxa"/>
            <w:tcBorders>
              <w:top w:val="single" w:sz="4" w:space="0" w:color="000000"/>
              <w:left w:val="single" w:sz="4" w:space="0" w:color="000000"/>
              <w:right w:val="nil"/>
            </w:tcBorders>
          </w:tcPr>
          <w:p>
            <w:pPr>
              <w:pStyle w:val="TableParagraph"/>
              <w:spacing w:line="200" w:lineRule="exact"/>
              <w:ind w:left="174" w:right="176"/>
              <w:jc w:val="center"/>
              <w:rPr>
                <w:sz w:val="20"/>
              </w:rPr>
            </w:pPr>
            <w:r>
              <w:rPr>
                <w:sz w:val="20"/>
              </w:rPr>
              <w:t>1.60%</w:t>
            </w:r>
          </w:p>
        </w:tc>
      </w:tr>
    </w:tbl>
    <w:p>
      <w:pPr>
        <w:spacing w:before="119"/>
        <w:ind w:left="320" w:right="0" w:firstLine="0"/>
        <w:jc w:val="left"/>
        <w:rPr>
          <w:b/>
          <w:sz w:val="20"/>
        </w:rPr>
      </w:pPr>
      <w:bookmarkStart w:name="_bookmark25" w:id="155"/>
      <w:bookmarkEnd w:id="155"/>
      <w:r>
        <w:rPr/>
      </w:r>
      <w:r>
        <w:rPr>
          <w:b/>
          <w:sz w:val="20"/>
        </w:rPr>
        <w:t>Table 4.2: Summary of Continuous Geometric Variables of</w:t>
      </w:r>
      <w:r>
        <w:rPr>
          <w:b/>
          <w:spacing w:val="-31"/>
          <w:sz w:val="20"/>
        </w:rPr>
        <w:t> </w:t>
      </w:r>
      <w:r>
        <w:rPr>
          <w:b/>
          <w:sz w:val="20"/>
        </w:rPr>
        <w:t>Segments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524"/>
        <w:gridCol w:w="2008"/>
        <w:gridCol w:w="3840"/>
      </w:tblGrid>
      <w:tr>
        <w:trPr>
          <w:trHeight w:val="257" w:hRule="atLeast"/>
        </w:trPr>
        <w:tc>
          <w:tcPr>
            <w:tcW w:w="3524" w:type="dxa"/>
            <w:tcBorders>
              <w:left w:val="nil"/>
              <w:right w:val="single" w:sz="4" w:space="0" w:color="000000"/>
            </w:tcBorders>
          </w:tcPr>
          <w:p>
            <w:pPr>
              <w:pStyle w:val="TableParagraph"/>
              <w:spacing w:line="224" w:lineRule="exact" w:before="13"/>
              <w:ind w:left="1391" w:right="1342"/>
              <w:jc w:val="center"/>
              <w:rPr>
                <w:b/>
                <w:sz w:val="20"/>
              </w:rPr>
            </w:pPr>
            <w:r>
              <w:rPr>
                <w:b/>
                <w:sz w:val="20"/>
              </w:rPr>
              <w:t>Variable</w:t>
            </w:r>
          </w:p>
        </w:tc>
        <w:tc>
          <w:tcPr>
            <w:tcW w:w="2008" w:type="dxa"/>
            <w:tcBorders>
              <w:left w:val="single" w:sz="4" w:space="0" w:color="000000"/>
              <w:right w:val="single" w:sz="4" w:space="0" w:color="000000"/>
            </w:tcBorders>
          </w:tcPr>
          <w:p>
            <w:pPr>
              <w:pStyle w:val="TableParagraph"/>
              <w:spacing w:line="224" w:lineRule="exact" w:before="13"/>
              <w:ind w:left="770"/>
              <w:rPr>
                <w:b/>
                <w:sz w:val="20"/>
              </w:rPr>
            </w:pPr>
            <w:r>
              <w:rPr>
                <w:b/>
                <w:sz w:val="20"/>
              </w:rPr>
              <w:t>Mean</w:t>
            </w:r>
          </w:p>
        </w:tc>
        <w:tc>
          <w:tcPr>
            <w:tcW w:w="3840" w:type="dxa"/>
            <w:tcBorders>
              <w:left w:val="single" w:sz="4" w:space="0" w:color="000000"/>
              <w:right w:val="nil"/>
            </w:tcBorders>
          </w:tcPr>
          <w:p>
            <w:pPr>
              <w:pStyle w:val="TableParagraph"/>
              <w:spacing w:line="224" w:lineRule="exact" w:before="13"/>
              <w:ind w:left="1075" w:right="1047"/>
              <w:jc w:val="center"/>
              <w:rPr>
                <w:b/>
                <w:sz w:val="20"/>
              </w:rPr>
            </w:pPr>
            <w:r>
              <w:rPr>
                <w:b/>
                <w:sz w:val="20"/>
              </w:rPr>
              <w:t>Standard Deviation</w:t>
            </w:r>
          </w:p>
        </w:tc>
      </w:tr>
      <w:tr>
        <w:trPr>
          <w:trHeight w:val="257" w:hRule="atLeast"/>
        </w:trPr>
        <w:tc>
          <w:tcPr>
            <w:tcW w:w="3524" w:type="dxa"/>
            <w:tcBorders>
              <w:left w:val="nil"/>
              <w:bottom w:val="single" w:sz="4" w:space="0" w:color="000000"/>
              <w:right w:val="single" w:sz="4" w:space="0" w:color="000000"/>
            </w:tcBorders>
          </w:tcPr>
          <w:p>
            <w:pPr>
              <w:pStyle w:val="TableParagraph"/>
              <w:spacing w:line="227" w:lineRule="exact" w:before="11"/>
              <w:ind w:left="137"/>
              <w:rPr>
                <w:sz w:val="20"/>
              </w:rPr>
            </w:pPr>
            <w:r>
              <w:rPr>
                <w:sz w:val="20"/>
              </w:rPr>
              <w:t>Segment length (ft.)</w:t>
            </w:r>
          </w:p>
        </w:tc>
        <w:tc>
          <w:tcPr>
            <w:tcW w:w="2008" w:type="dxa"/>
            <w:tcBorders>
              <w:left w:val="single" w:sz="4" w:space="0" w:color="000000"/>
              <w:bottom w:val="single" w:sz="4" w:space="0" w:color="000000"/>
              <w:right w:val="single" w:sz="4" w:space="0" w:color="000000"/>
            </w:tcBorders>
          </w:tcPr>
          <w:p>
            <w:pPr>
              <w:pStyle w:val="TableParagraph"/>
              <w:spacing w:line="227" w:lineRule="exact" w:before="11"/>
              <w:ind w:left="740"/>
              <w:rPr>
                <w:sz w:val="20"/>
              </w:rPr>
            </w:pPr>
            <w:r>
              <w:rPr>
                <w:sz w:val="20"/>
              </w:rPr>
              <w:t>706.49</w:t>
            </w:r>
          </w:p>
        </w:tc>
        <w:tc>
          <w:tcPr>
            <w:tcW w:w="3840" w:type="dxa"/>
            <w:tcBorders>
              <w:left w:val="single" w:sz="4" w:space="0" w:color="000000"/>
              <w:bottom w:val="single" w:sz="4" w:space="0" w:color="000000"/>
              <w:right w:val="nil"/>
            </w:tcBorders>
          </w:tcPr>
          <w:p>
            <w:pPr>
              <w:pStyle w:val="TableParagraph"/>
              <w:spacing w:line="227" w:lineRule="exact" w:before="11"/>
              <w:ind w:left="1074" w:right="1047"/>
              <w:jc w:val="center"/>
              <w:rPr>
                <w:sz w:val="20"/>
              </w:rPr>
            </w:pPr>
            <w:r>
              <w:rPr>
                <w:sz w:val="20"/>
              </w:rPr>
              <w:t>722.60</w:t>
            </w:r>
          </w:p>
        </w:tc>
      </w:tr>
      <w:tr>
        <w:trPr>
          <w:trHeight w:val="277" w:hRule="atLeast"/>
        </w:trPr>
        <w:tc>
          <w:tcPr>
            <w:tcW w:w="3524" w:type="dxa"/>
            <w:tcBorders>
              <w:top w:val="single" w:sz="4" w:space="0" w:color="000000"/>
              <w:left w:val="nil"/>
              <w:bottom w:val="single" w:sz="4" w:space="0" w:color="000000"/>
              <w:right w:val="single" w:sz="4" w:space="0" w:color="000000"/>
            </w:tcBorders>
          </w:tcPr>
          <w:p>
            <w:pPr>
              <w:pStyle w:val="TableParagraph"/>
              <w:spacing w:before="20"/>
              <w:ind w:left="137"/>
              <w:rPr>
                <w:sz w:val="20"/>
              </w:rPr>
            </w:pPr>
            <w:r>
              <w:rPr>
                <w:sz w:val="20"/>
              </w:rPr>
              <w:t>Width of bike lane (ft.)</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before="20"/>
              <w:ind w:left="839"/>
              <w:rPr>
                <w:sz w:val="20"/>
              </w:rPr>
            </w:pPr>
            <w:r>
              <w:rPr>
                <w:sz w:val="20"/>
              </w:rPr>
              <w:t>5.47</w:t>
            </w:r>
          </w:p>
        </w:tc>
        <w:tc>
          <w:tcPr>
            <w:tcW w:w="3840" w:type="dxa"/>
            <w:tcBorders>
              <w:top w:val="single" w:sz="4" w:space="0" w:color="000000"/>
              <w:left w:val="single" w:sz="4" w:space="0" w:color="000000"/>
              <w:bottom w:val="single" w:sz="4" w:space="0" w:color="000000"/>
              <w:right w:val="nil"/>
            </w:tcBorders>
          </w:tcPr>
          <w:p>
            <w:pPr>
              <w:pStyle w:val="TableParagraph"/>
              <w:spacing w:before="20"/>
              <w:ind w:left="1075" w:right="1047"/>
              <w:jc w:val="center"/>
              <w:rPr>
                <w:sz w:val="20"/>
              </w:rPr>
            </w:pPr>
            <w:r>
              <w:rPr>
                <w:sz w:val="20"/>
              </w:rPr>
              <w:t>1.02</w:t>
            </w:r>
          </w:p>
        </w:tc>
      </w:tr>
      <w:tr>
        <w:trPr>
          <w:trHeight w:val="278" w:hRule="atLeast"/>
        </w:trPr>
        <w:tc>
          <w:tcPr>
            <w:tcW w:w="3524" w:type="dxa"/>
            <w:tcBorders>
              <w:top w:val="single" w:sz="4" w:space="0" w:color="000000"/>
              <w:left w:val="nil"/>
              <w:bottom w:val="single" w:sz="4" w:space="0" w:color="000000"/>
              <w:right w:val="single" w:sz="4" w:space="0" w:color="000000"/>
            </w:tcBorders>
          </w:tcPr>
          <w:p>
            <w:pPr>
              <w:pStyle w:val="TableParagraph"/>
              <w:spacing w:before="20"/>
              <w:ind w:left="137"/>
              <w:rPr>
                <w:sz w:val="20"/>
              </w:rPr>
            </w:pPr>
            <w:r>
              <w:rPr>
                <w:sz w:val="20"/>
              </w:rPr>
              <w:t>Number of driveways</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before="20"/>
              <w:ind w:left="839"/>
              <w:rPr>
                <w:sz w:val="20"/>
              </w:rPr>
            </w:pPr>
            <w:r>
              <w:rPr>
                <w:sz w:val="20"/>
              </w:rPr>
              <w:t>4.43</w:t>
            </w:r>
          </w:p>
        </w:tc>
        <w:tc>
          <w:tcPr>
            <w:tcW w:w="3840" w:type="dxa"/>
            <w:tcBorders>
              <w:top w:val="single" w:sz="4" w:space="0" w:color="000000"/>
              <w:left w:val="single" w:sz="4" w:space="0" w:color="000000"/>
              <w:bottom w:val="single" w:sz="4" w:space="0" w:color="000000"/>
              <w:right w:val="nil"/>
            </w:tcBorders>
          </w:tcPr>
          <w:p>
            <w:pPr>
              <w:pStyle w:val="TableParagraph"/>
              <w:spacing w:before="20"/>
              <w:ind w:left="1075" w:right="1047"/>
              <w:jc w:val="center"/>
              <w:rPr>
                <w:sz w:val="20"/>
              </w:rPr>
            </w:pPr>
            <w:r>
              <w:rPr>
                <w:sz w:val="20"/>
              </w:rPr>
              <w:t>4.39</w:t>
            </w:r>
          </w:p>
        </w:tc>
      </w:tr>
      <w:tr>
        <w:trPr>
          <w:trHeight w:val="277" w:hRule="atLeast"/>
        </w:trPr>
        <w:tc>
          <w:tcPr>
            <w:tcW w:w="3524" w:type="dxa"/>
            <w:tcBorders>
              <w:top w:val="single" w:sz="4" w:space="0" w:color="000000"/>
              <w:left w:val="nil"/>
              <w:bottom w:val="single" w:sz="4" w:space="0" w:color="000000"/>
              <w:right w:val="single" w:sz="4" w:space="0" w:color="000000"/>
            </w:tcBorders>
          </w:tcPr>
          <w:p>
            <w:pPr>
              <w:pStyle w:val="TableParagraph"/>
              <w:spacing w:before="20"/>
              <w:ind w:left="137"/>
              <w:rPr>
                <w:sz w:val="20"/>
              </w:rPr>
            </w:pPr>
            <w:r>
              <w:rPr>
                <w:sz w:val="20"/>
              </w:rPr>
              <w:t>Number of intersections within segment</w:t>
            </w:r>
          </w:p>
        </w:tc>
        <w:tc>
          <w:tcPr>
            <w:tcW w:w="2008" w:type="dxa"/>
            <w:tcBorders>
              <w:top w:val="single" w:sz="4" w:space="0" w:color="000000"/>
              <w:left w:val="single" w:sz="4" w:space="0" w:color="000000"/>
              <w:bottom w:val="single" w:sz="4" w:space="0" w:color="000000"/>
              <w:right w:val="single" w:sz="4" w:space="0" w:color="000000"/>
            </w:tcBorders>
          </w:tcPr>
          <w:p>
            <w:pPr>
              <w:pStyle w:val="TableParagraph"/>
              <w:spacing w:before="20"/>
              <w:ind w:left="839"/>
              <w:rPr>
                <w:sz w:val="20"/>
              </w:rPr>
            </w:pPr>
            <w:r>
              <w:rPr>
                <w:sz w:val="20"/>
              </w:rPr>
              <w:t>0.21</w:t>
            </w:r>
          </w:p>
        </w:tc>
        <w:tc>
          <w:tcPr>
            <w:tcW w:w="3840" w:type="dxa"/>
            <w:tcBorders>
              <w:top w:val="single" w:sz="4" w:space="0" w:color="000000"/>
              <w:left w:val="single" w:sz="4" w:space="0" w:color="000000"/>
              <w:bottom w:val="single" w:sz="4" w:space="0" w:color="000000"/>
              <w:right w:val="nil"/>
            </w:tcBorders>
          </w:tcPr>
          <w:p>
            <w:pPr>
              <w:pStyle w:val="TableParagraph"/>
              <w:spacing w:before="20"/>
              <w:ind w:left="1075" w:right="1047"/>
              <w:jc w:val="center"/>
              <w:rPr>
                <w:sz w:val="20"/>
              </w:rPr>
            </w:pPr>
            <w:r>
              <w:rPr>
                <w:sz w:val="20"/>
              </w:rPr>
              <w:t>0.82</w:t>
            </w:r>
          </w:p>
        </w:tc>
      </w:tr>
      <w:tr>
        <w:trPr>
          <w:trHeight w:val="278" w:hRule="atLeast"/>
        </w:trPr>
        <w:tc>
          <w:tcPr>
            <w:tcW w:w="3524" w:type="dxa"/>
            <w:tcBorders>
              <w:top w:val="single" w:sz="4" w:space="0" w:color="000000"/>
              <w:left w:val="nil"/>
              <w:right w:val="single" w:sz="4" w:space="0" w:color="000000"/>
            </w:tcBorders>
          </w:tcPr>
          <w:p>
            <w:pPr>
              <w:pStyle w:val="TableParagraph"/>
              <w:spacing w:before="20"/>
              <w:ind w:left="137"/>
              <w:rPr>
                <w:sz w:val="20"/>
              </w:rPr>
            </w:pPr>
            <w:r>
              <w:rPr>
                <w:sz w:val="20"/>
              </w:rPr>
              <w:t>Maximum walk distance</w:t>
            </w:r>
          </w:p>
        </w:tc>
        <w:tc>
          <w:tcPr>
            <w:tcW w:w="2008" w:type="dxa"/>
            <w:tcBorders>
              <w:top w:val="single" w:sz="4" w:space="0" w:color="000000"/>
              <w:left w:val="single" w:sz="4" w:space="0" w:color="000000"/>
              <w:right w:val="single" w:sz="4" w:space="0" w:color="000000"/>
            </w:tcBorders>
          </w:tcPr>
          <w:p>
            <w:pPr>
              <w:pStyle w:val="TableParagraph"/>
              <w:spacing w:before="20"/>
              <w:ind w:left="740"/>
              <w:rPr>
                <w:sz w:val="20"/>
              </w:rPr>
            </w:pPr>
            <w:r>
              <w:rPr>
                <w:sz w:val="20"/>
              </w:rPr>
              <w:t>350.09</w:t>
            </w:r>
          </w:p>
        </w:tc>
        <w:tc>
          <w:tcPr>
            <w:tcW w:w="3840" w:type="dxa"/>
            <w:tcBorders>
              <w:top w:val="single" w:sz="4" w:space="0" w:color="000000"/>
              <w:left w:val="single" w:sz="4" w:space="0" w:color="000000"/>
              <w:right w:val="nil"/>
            </w:tcBorders>
          </w:tcPr>
          <w:p>
            <w:pPr>
              <w:pStyle w:val="TableParagraph"/>
              <w:spacing w:before="20"/>
              <w:ind w:left="1074" w:right="1047"/>
              <w:jc w:val="center"/>
              <w:rPr>
                <w:sz w:val="20"/>
              </w:rPr>
            </w:pPr>
            <w:r>
              <w:rPr>
                <w:sz w:val="20"/>
              </w:rPr>
              <w:t>325.48</w:t>
            </w:r>
          </w:p>
        </w:tc>
      </w:tr>
    </w:tbl>
    <w:p>
      <w:pPr>
        <w:spacing w:after="0"/>
        <w:jc w:val="center"/>
        <w:rPr>
          <w:sz w:val="20"/>
        </w:rPr>
        <w:sectPr>
          <w:pgSz w:w="12240" w:h="15840"/>
          <w:pgMar w:header="0" w:footer="709" w:top="920" w:bottom="980" w:left="1120" w:right="0"/>
        </w:sectPr>
      </w:pPr>
    </w:p>
    <w:p>
      <w:pPr>
        <w:spacing w:before="127"/>
        <w:ind w:left="894" w:right="0" w:firstLine="0"/>
        <w:jc w:val="left"/>
        <w:rPr>
          <w:rFonts w:ascii="Calibri"/>
          <w:sz w:val="18"/>
        </w:rPr>
      </w:pPr>
      <w:r>
        <w:rPr/>
        <w:pict>
          <v:group style="position:absolute;margin-left:230.339996pt;margin-top:-.241277pt;width:289pt;height:176.65pt;mso-position-horizontal-relative:page;mso-position-vertical-relative:paragraph;z-index:1696" coordorigin="4607,-5" coordsize="5780,3533">
            <v:shape style="position:absolute;left:5191;top:-5;width:2306;height:657" coordorigin="5191,-5" coordsize="2306,657" path="m5191,-5l5191,146m5191,349l5191,652m5767,-5l5767,146m5767,349l5767,652m6343,-5l6343,146m6343,349l6343,652m6920,-5l6920,146m6920,349l6920,652m7496,-5l7496,146m7496,349l7496,652e" filled="false" stroked="true" strokeweight=".72pt" strokecolor="#dadada">
              <v:path arrowok="t"/>
              <v:stroke dashstyle="solid"/>
            </v:shape>
            <v:rect style="position:absolute;left:4614;top:146;width:3374;height:203" filled="true" fillcolor="#b4c7e7" stroked="false">
              <v:fill type="solid"/>
            </v:rect>
            <v:shape style="position:absolute;left:5191;top:853;width:1730;height:304" coordorigin="5191,853" coordsize="1730,304" path="m5191,853l5191,1157m5767,853l5767,1157m6343,853l6343,1157m6920,853l6920,1157e" filled="false" stroked="true" strokeweight=".72pt" strokecolor="#dadada">
              <v:path arrowok="t"/>
              <v:stroke dashstyle="solid"/>
            </v:shape>
            <v:rect style="position:absolute;left:4614;top:651;width:2240;height:202" filled="true" fillcolor="#b4c7e7" stroked="false">
              <v:fill type="solid"/>
            </v:rect>
            <v:shape style="position:absolute;left:5191;top:853;width:3459;height:808" coordorigin="5191,853" coordsize="3459,808" path="m5191,1358l5191,1661m5767,1358l5767,1661m6343,1358l6343,1661m6920,1358l6920,1661m7496,853l7496,1157m7496,1358l7496,1661m8074,853l8074,1157m8074,1358l8074,1661m8650,853l8650,1157m8650,1358l8650,1661e" filled="false" stroked="true" strokeweight=".72pt" strokecolor="#dadada">
              <v:path arrowok="t"/>
              <v:stroke dashstyle="solid"/>
            </v:shape>
            <v:rect style="position:absolute;left:4614;top:1156;width:4385;height:202" filled="true" fillcolor="#b4c7e7" stroked="false">
              <v:fill type="solid"/>
            </v:rect>
            <v:shape style="position:absolute;left:5191;top:1358;width:4612;height:808" coordorigin="5191,1358" coordsize="4612,808" path="m5191,1862l5191,2166m5767,1862l5767,2166m6343,1862l6343,2166m6920,1862l6920,2166m7496,1862l7496,2166m8074,1862l8074,2166m8650,1862l8650,2166m9226,1358l9226,1661m9226,1862l9226,2166m9803,1358l9803,1661m9803,1862l9803,2166e" filled="false" stroked="true" strokeweight=".72pt" strokecolor="#dadada">
              <v:path arrowok="t"/>
              <v:stroke dashstyle="solid"/>
            </v:shape>
            <v:rect style="position:absolute;left:4614;top:1660;width:5551;height:202" filled="true" fillcolor="#b4c7e7" stroked="false">
              <v:fill type="solid"/>
            </v:rect>
            <v:shape style="position:absolute;left:5191;top:2367;width:3459;height:303" coordorigin="5191,2368" coordsize="3459,303" path="m5191,2368l5191,2670m5767,2368l5767,2670m6343,2368l6343,2670m6920,2368l6920,2670m7496,2368l7496,2670m8074,2368l8074,2670m8650,2368l8650,2670e" filled="false" stroked="true" strokeweight=".72pt" strokecolor="#dadada">
              <v:path arrowok="t"/>
              <v:stroke dashstyle="solid"/>
            </v:shape>
            <v:rect style="position:absolute;left:4614;top:2165;width:4385;height:202" filled="true" fillcolor="#b4c7e7" stroked="false">
              <v:fill type="solid"/>
            </v:rect>
            <v:shape style="position:absolute;left:5191;top:2871;width:2306;height:304" coordorigin="5191,2872" coordsize="2306,304" path="m5191,2872l5191,3175m5767,2872l5767,3175m6343,2872l6343,3175m6920,2872l6920,3175m7496,2872l7496,3175e" filled="false" stroked="true" strokeweight=".72pt" strokecolor="#dadada">
              <v:path arrowok="t"/>
              <v:stroke dashstyle="solid"/>
            </v:shape>
            <v:rect style="position:absolute;left:4614;top:2669;width:2975;height:202" filled="true" fillcolor="#b4c7e7" stroked="false">
              <v:fill type="solid"/>
            </v:rect>
            <v:shape style="position:absolute;left:5191;top:2871;width:3459;height:657" coordorigin="5191,2872" coordsize="3459,657" path="m5191,3377l5191,3528m5767,3377l5767,3528m6343,3377l6343,3528m6920,3377l6920,3528m7496,3377l7496,3528m8074,2872l8074,3175m8074,3377l8074,3528m8650,2872l8650,3175m8650,3377l8650,3528e" filled="false" stroked="true" strokeweight=".72pt" strokecolor="#dadada">
              <v:path arrowok="t"/>
              <v:stroke dashstyle="solid"/>
            </v:shape>
            <v:rect style="position:absolute;left:4614;top:3175;width:3987;height:202" filled="true" fillcolor="#b4c7e7" stroked="false">
              <v:fill type="solid"/>
            </v:rect>
            <v:shape style="position:absolute;left:9225;top:2871;width:578;height:657" coordorigin="9226,2872" coordsize="578,657" path="m9226,2872l9226,3175m9226,3377l9226,3528m9803,2872l9803,3175m9803,3377l9803,3528e" filled="false" stroked="true" strokeweight=".72pt" strokecolor="#dadada">
              <v:path arrowok="t"/>
              <v:stroke dashstyle="solid"/>
            </v:shape>
            <v:line style="position:absolute" from="10379,-5" to="10379,3528" stroked="true" strokeweight=".72pt" strokecolor="#dadada">
              <v:stroke dashstyle="solid"/>
            </v:line>
            <v:rect style="position:absolute;left:8600;top:3175;width:1779;height:202" filled="true" fillcolor="#c55a11" stroked="false">
              <v:fill type="solid"/>
            </v:rect>
            <v:shape style="position:absolute;left:9225;top:2367;width:578;height:303" coordorigin="9226,2368" coordsize="578,303" path="m9226,2368l9226,2670m9803,2368l9803,2670e" filled="false" stroked="true" strokeweight=".72pt" strokecolor="#dadada">
              <v:path arrowok="t"/>
              <v:stroke dashstyle="solid"/>
            </v:shape>
            <v:shape style="position:absolute;left:7588;top:1660;width:2790;height:1211" coordorigin="7589,1661" coordsize="2790,1211" path="m10379,1661l10164,1661,10164,1862,10379,1862,10379,1661m10379,2670l7589,2670,7589,2872,10379,2872,10379,2670m10379,2166l8999,2166,8999,2368,10379,2368,10379,2166e" filled="true" fillcolor="#c55a11" stroked="false">
              <v:path arrowok="t"/>
              <v:fill type="solid"/>
            </v:shape>
            <v:shape style="position:absolute;left:9225;top:853;width:578;height:304" coordorigin="9226,853" coordsize="578,304" path="m9226,853l9226,1157m9803,853l9803,1157e" filled="false" stroked="true" strokeweight=".72pt" strokecolor="#dadada">
              <v:path arrowok="t"/>
              <v:stroke dashstyle="solid"/>
            </v:shape>
            <v:rect style="position:absolute;left:8998;top:1156;width:1380;height:202" filled="true" fillcolor="#c55a11" stroked="false">
              <v:fill type="solid"/>
            </v:rect>
            <v:shape style="position:absolute;left:8073;top:349;width:1730;height:303" coordorigin="8074,349" coordsize="1730,303" path="m8074,349l8074,652m8650,349l8650,652m9226,349l9226,652m9803,349l9803,652e" filled="false" stroked="true" strokeweight=".72pt" strokecolor="#dadada">
              <v:path arrowok="t"/>
              <v:stroke dashstyle="solid"/>
            </v:shape>
            <v:rect style="position:absolute;left:6853;top:651;width:3526;height:202" filled="true" fillcolor="#c55a11" stroked="false">
              <v:fill type="solid"/>
            </v:rect>
            <v:shape style="position:absolute;left:8073;top:-5;width:1730;height:152" coordorigin="8074,-5" coordsize="1730,152" path="m8074,-5l8074,146m8650,-5l8650,146m9226,-5l9226,146m9803,-5l9803,146e" filled="false" stroked="true" strokeweight=".72pt" strokecolor="#dadada">
              <v:path arrowok="t"/>
              <v:stroke dashstyle="solid"/>
            </v:shape>
            <v:rect style="position:absolute;left:7987;top:146;width:2392;height:203" filled="true" fillcolor="#c55a11" stroked="false">
              <v:fill type="solid"/>
            </v:rect>
            <v:line style="position:absolute" from="4614,3528" to="4614,-5" stroked="true" strokeweight=".72pt" strokecolor="#dadada">
              <v:stroke dashstyle="solid"/>
            </v:line>
            <v:shape style="position:absolute;left:6164;top:174;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110</w:t>
                    </w:r>
                  </w:p>
                </w:txbxContent>
              </v:textbox>
              <w10:wrap type="none"/>
            </v:shape>
            <v:shape style="position:absolute;left:9091;top:173;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78</w:t>
                    </w:r>
                  </w:p>
                </w:txbxContent>
              </v:textbox>
              <w10:wrap type="none"/>
            </v:shape>
            <v:shape style="position:absolute;left:5642;top:678;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73</w:t>
                    </w:r>
                  </w:p>
                </w:txbxContent>
              </v:textbox>
              <w10:wrap type="none"/>
            </v:shape>
            <v:shape style="position:absolute;left:8479;top:678;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115</w:t>
                    </w:r>
                  </w:p>
                </w:txbxContent>
              </v:textbox>
              <w10:wrap type="none"/>
            </v:shape>
            <v:shape style="position:absolute;left:6670;top:1183;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143</w:t>
                    </w:r>
                  </w:p>
                </w:txbxContent>
              </v:textbox>
              <w10:wrap type="none"/>
            </v:shape>
            <v:shape style="position:absolute;left:9597;top:1183;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45</w:t>
                    </w:r>
                  </w:p>
                </w:txbxContent>
              </v:textbox>
              <w10:wrap type="none"/>
            </v:shape>
            <v:shape style="position:absolute;left:7252;top:1688;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181</w:t>
                    </w:r>
                  </w:p>
                </w:txbxContent>
              </v:textbox>
              <w10:wrap type="none"/>
            </v:shape>
            <v:shape style="position:absolute;left:10225;top:1687;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7</w:t>
                    </w:r>
                  </w:p>
                </w:txbxContent>
              </v:textbox>
              <w10:wrap type="none"/>
            </v:shape>
            <v:shape style="position:absolute;left:6670;top:2193;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143</w:t>
                    </w:r>
                  </w:p>
                </w:txbxContent>
              </v:textbox>
              <w10:wrap type="none"/>
            </v:shape>
            <v:shape style="position:absolute;left:9597;top:2192;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45</w:t>
                    </w:r>
                  </w:p>
                </w:txbxContent>
              </v:textbox>
              <w10:wrap type="none"/>
            </v:shape>
            <v:shape style="position:absolute;left:6010;top:2697;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97</w:t>
                    </w:r>
                  </w:p>
                </w:txbxContent>
              </v:textbox>
              <w10:wrap type="none"/>
            </v:shape>
            <v:shape style="position:absolute;left:8892;top:2697;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91</w:t>
                    </w:r>
                  </w:p>
                </w:txbxContent>
              </v:textbox>
              <w10:wrap type="none"/>
            </v:shape>
            <v:shape style="position:absolute;left:6470;top:3202;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130</w:t>
                    </w:r>
                  </w:p>
                </w:txbxContent>
              </v:textbox>
              <w10:wrap type="none"/>
            </v:shape>
            <v:shape style="position:absolute;left:9398;top:3202;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58</w:t>
                    </w:r>
                  </w:p>
                </w:txbxContent>
              </v:textbox>
              <w10:wrap type="none"/>
            </v:shape>
            <w10:wrap type="none"/>
          </v:group>
        </w:pict>
      </w:r>
      <w:r>
        <w:rPr>
          <w:rFonts w:ascii="Calibri"/>
          <w:color w:val="595958"/>
          <w:sz w:val="18"/>
        </w:rPr>
        <w:t>Presence of school within 1000</w:t>
      </w:r>
      <w:r>
        <w:rPr>
          <w:rFonts w:ascii="Calibri"/>
          <w:color w:val="595958"/>
          <w:spacing w:val="-14"/>
          <w:sz w:val="18"/>
        </w:rPr>
        <w:t> </w:t>
      </w:r>
      <w:r>
        <w:rPr>
          <w:rFonts w:ascii="Calibri"/>
          <w:color w:val="595958"/>
          <w:sz w:val="18"/>
        </w:rPr>
        <w:t>ft</w:t>
      </w:r>
    </w:p>
    <w:p>
      <w:pPr>
        <w:pStyle w:val="BodyText"/>
        <w:spacing w:before="2"/>
        <w:rPr>
          <w:rFonts w:ascii="Calibri"/>
          <w:sz w:val="18"/>
        </w:rPr>
      </w:pPr>
    </w:p>
    <w:p>
      <w:pPr>
        <w:spacing w:before="63"/>
        <w:ind w:left="1887" w:right="0" w:firstLine="0"/>
        <w:jc w:val="left"/>
        <w:rPr>
          <w:rFonts w:ascii="Calibri"/>
          <w:sz w:val="18"/>
        </w:rPr>
      </w:pPr>
      <w:r>
        <w:rPr>
          <w:rFonts w:ascii="Calibri"/>
          <w:color w:val="595958"/>
          <w:sz w:val="18"/>
        </w:rPr>
        <w:t>Presence of</w:t>
      </w:r>
      <w:r>
        <w:rPr>
          <w:rFonts w:ascii="Calibri"/>
          <w:color w:val="595958"/>
          <w:spacing w:val="-8"/>
          <w:sz w:val="18"/>
        </w:rPr>
        <w:t> </w:t>
      </w:r>
      <w:r>
        <w:rPr>
          <w:rFonts w:ascii="Calibri"/>
          <w:color w:val="595958"/>
          <w:sz w:val="18"/>
        </w:rPr>
        <w:t>lighting</w:t>
      </w:r>
    </w:p>
    <w:p>
      <w:pPr>
        <w:pStyle w:val="BodyText"/>
        <w:spacing w:before="2"/>
        <w:rPr>
          <w:rFonts w:ascii="Calibri"/>
          <w:sz w:val="18"/>
        </w:rPr>
      </w:pPr>
    </w:p>
    <w:p>
      <w:pPr>
        <w:spacing w:before="64"/>
        <w:ind w:left="1165" w:right="0" w:firstLine="0"/>
        <w:jc w:val="left"/>
        <w:rPr>
          <w:rFonts w:ascii="Calibri"/>
          <w:sz w:val="18"/>
        </w:rPr>
      </w:pPr>
      <w:r>
        <w:rPr>
          <w:rFonts w:ascii="Calibri"/>
          <w:color w:val="595958"/>
          <w:sz w:val="18"/>
        </w:rPr>
        <w:t>Presence of on-street</w:t>
      </w:r>
      <w:r>
        <w:rPr>
          <w:rFonts w:ascii="Calibri"/>
          <w:color w:val="595958"/>
          <w:spacing w:val="-11"/>
          <w:sz w:val="18"/>
        </w:rPr>
        <w:t> </w:t>
      </w:r>
      <w:r>
        <w:rPr>
          <w:rFonts w:ascii="Calibri"/>
          <w:color w:val="595958"/>
          <w:sz w:val="18"/>
        </w:rPr>
        <w:t>parking</w:t>
      </w:r>
    </w:p>
    <w:p>
      <w:pPr>
        <w:pStyle w:val="BodyText"/>
        <w:spacing w:before="1"/>
        <w:rPr>
          <w:rFonts w:ascii="Calibri"/>
          <w:sz w:val="18"/>
        </w:rPr>
      </w:pPr>
    </w:p>
    <w:p>
      <w:pPr>
        <w:spacing w:before="64"/>
        <w:ind w:left="449" w:right="0" w:firstLine="0"/>
        <w:jc w:val="left"/>
        <w:rPr>
          <w:rFonts w:ascii="Calibri"/>
          <w:sz w:val="18"/>
        </w:rPr>
      </w:pPr>
      <w:r>
        <w:rPr>
          <w:rFonts w:ascii="Calibri"/>
          <w:color w:val="595958"/>
          <w:sz w:val="18"/>
        </w:rPr>
        <w:t>Presence ofmarked midblock</w:t>
      </w:r>
      <w:r>
        <w:rPr>
          <w:rFonts w:ascii="Calibri"/>
          <w:color w:val="595958"/>
          <w:spacing w:val="-14"/>
          <w:sz w:val="18"/>
        </w:rPr>
        <w:t> </w:t>
      </w:r>
      <w:r>
        <w:rPr>
          <w:rFonts w:ascii="Calibri"/>
          <w:color w:val="595958"/>
          <w:sz w:val="18"/>
        </w:rPr>
        <w:t>crosswalk</w:t>
      </w:r>
    </w:p>
    <w:p>
      <w:pPr>
        <w:pStyle w:val="BodyText"/>
        <w:spacing w:before="1"/>
        <w:rPr>
          <w:rFonts w:ascii="Calibri"/>
          <w:sz w:val="18"/>
        </w:rPr>
      </w:pPr>
    </w:p>
    <w:p>
      <w:pPr>
        <w:spacing w:before="64"/>
        <w:ind w:left="1303" w:right="0" w:firstLine="0"/>
        <w:jc w:val="left"/>
        <w:rPr>
          <w:rFonts w:ascii="Calibri"/>
          <w:sz w:val="18"/>
        </w:rPr>
      </w:pPr>
      <w:r>
        <w:rPr>
          <w:rFonts w:ascii="Calibri"/>
          <w:color w:val="595958"/>
          <w:sz w:val="18"/>
        </w:rPr>
        <w:t>Presence of sidewalk</w:t>
      </w:r>
      <w:r>
        <w:rPr>
          <w:rFonts w:ascii="Calibri"/>
          <w:color w:val="595958"/>
          <w:spacing w:val="-10"/>
          <w:sz w:val="18"/>
        </w:rPr>
        <w:t> </w:t>
      </w:r>
      <w:r>
        <w:rPr>
          <w:rFonts w:ascii="Calibri"/>
          <w:color w:val="595958"/>
          <w:sz w:val="18"/>
        </w:rPr>
        <w:t>buffer</w:t>
      </w:r>
    </w:p>
    <w:p>
      <w:pPr>
        <w:pStyle w:val="BodyText"/>
        <w:spacing w:before="2"/>
        <w:rPr>
          <w:rFonts w:ascii="Calibri"/>
          <w:sz w:val="18"/>
        </w:rPr>
      </w:pPr>
    </w:p>
    <w:p>
      <w:pPr>
        <w:spacing w:before="63"/>
        <w:ind w:left="1770" w:right="0" w:firstLine="0"/>
        <w:jc w:val="left"/>
        <w:rPr>
          <w:rFonts w:ascii="Calibri"/>
          <w:sz w:val="18"/>
        </w:rPr>
      </w:pPr>
      <w:r>
        <w:rPr>
          <w:rFonts w:ascii="Calibri"/>
          <w:color w:val="595958"/>
          <w:sz w:val="18"/>
        </w:rPr>
        <w:t>Presence of bike</w:t>
      </w:r>
      <w:r>
        <w:rPr>
          <w:rFonts w:ascii="Calibri"/>
          <w:color w:val="595958"/>
          <w:spacing w:val="-7"/>
          <w:sz w:val="18"/>
        </w:rPr>
        <w:t> </w:t>
      </w:r>
      <w:r>
        <w:rPr>
          <w:rFonts w:ascii="Calibri"/>
          <w:color w:val="595958"/>
          <w:sz w:val="18"/>
        </w:rPr>
        <w:t>lane</w:t>
      </w:r>
    </w:p>
    <w:p>
      <w:pPr>
        <w:pStyle w:val="BodyText"/>
        <w:spacing w:before="2"/>
        <w:rPr>
          <w:rFonts w:ascii="Calibri"/>
          <w:sz w:val="18"/>
        </w:rPr>
      </w:pPr>
    </w:p>
    <w:p>
      <w:pPr>
        <w:spacing w:before="64"/>
        <w:ind w:left="1943" w:right="0" w:firstLine="0"/>
        <w:jc w:val="left"/>
        <w:rPr>
          <w:rFonts w:ascii="Calibri"/>
          <w:sz w:val="18"/>
        </w:rPr>
      </w:pPr>
      <w:r>
        <w:rPr>
          <w:rFonts w:ascii="Calibri"/>
          <w:color w:val="595958"/>
          <w:sz w:val="18"/>
        </w:rPr>
        <w:t>Presence of</w:t>
      </w:r>
      <w:r>
        <w:rPr>
          <w:rFonts w:ascii="Calibri"/>
          <w:color w:val="595958"/>
          <w:spacing w:val="-7"/>
          <w:sz w:val="18"/>
        </w:rPr>
        <w:t> </w:t>
      </w:r>
      <w:r>
        <w:rPr>
          <w:rFonts w:ascii="Calibri"/>
          <w:color w:val="595958"/>
          <w:sz w:val="18"/>
        </w:rPr>
        <w:t>TWLTL</w:t>
      </w:r>
    </w:p>
    <w:p>
      <w:pPr>
        <w:pStyle w:val="BodyText"/>
        <w:spacing w:before="7"/>
        <w:rPr>
          <w:rFonts w:ascii="Calibri"/>
          <w:sz w:val="16"/>
        </w:rPr>
      </w:pPr>
    </w:p>
    <w:p>
      <w:pPr>
        <w:tabs>
          <w:tab w:pos="3915" w:val="left" w:leader="none"/>
          <w:tab w:pos="4491" w:val="left" w:leader="none"/>
          <w:tab w:pos="5068" w:val="left" w:leader="none"/>
          <w:tab w:pos="5644" w:val="left" w:leader="none"/>
          <w:tab w:pos="6220" w:val="left" w:leader="none"/>
          <w:tab w:pos="6797" w:val="left" w:leader="none"/>
          <w:tab w:pos="7373" w:val="left" w:leader="none"/>
          <w:tab w:pos="7949" w:val="left" w:leader="none"/>
          <w:tab w:pos="8526" w:val="left" w:leader="none"/>
          <w:tab w:pos="9057" w:val="left" w:leader="none"/>
        </w:tabs>
        <w:spacing w:before="64"/>
        <w:ind w:left="3384" w:right="0" w:firstLine="0"/>
        <w:jc w:val="left"/>
        <w:rPr>
          <w:rFonts w:ascii="Calibri"/>
          <w:sz w:val="18"/>
        </w:rPr>
      </w:pPr>
      <w:r>
        <w:rPr>
          <w:rFonts w:ascii="Calibri"/>
          <w:color w:val="595958"/>
          <w:sz w:val="18"/>
        </w:rPr>
        <w:t>0%</w:t>
        <w:tab/>
        <w:t>10%</w:t>
        <w:tab/>
        <w:t>20%</w:t>
        <w:tab/>
        <w:t>30%</w:t>
        <w:tab/>
        <w:t>40%</w:t>
        <w:tab/>
        <w:t>50%</w:t>
        <w:tab/>
        <w:t>60%</w:t>
        <w:tab/>
        <w:t>70%</w:t>
        <w:tab/>
        <w:t>80%</w:t>
        <w:tab/>
        <w:t>90%</w:t>
        <w:tab/>
        <w:t>100%</w:t>
      </w:r>
    </w:p>
    <w:p>
      <w:pPr>
        <w:pStyle w:val="BodyText"/>
        <w:spacing w:before="6"/>
        <w:rPr>
          <w:rFonts w:ascii="Calibri"/>
          <w:sz w:val="9"/>
        </w:rPr>
      </w:pPr>
    </w:p>
    <w:p>
      <w:pPr>
        <w:tabs>
          <w:tab w:pos="465" w:val="left" w:leader="none"/>
        </w:tabs>
        <w:spacing w:before="64"/>
        <w:ind w:left="0" w:right="904" w:firstLine="0"/>
        <w:jc w:val="center"/>
        <w:rPr>
          <w:rFonts w:ascii="Calibri"/>
          <w:sz w:val="18"/>
        </w:rPr>
      </w:pPr>
      <w:r>
        <w:rPr/>
        <w:pict>
          <v:rect style="position:absolute;margin-left:286.440002pt;margin-top:6.696809pt;width:4.92pt;height:4.980pt;mso-position-horizontal-relative:page;mso-position-vertical-relative:paragraph;z-index:1720" filled="true" fillcolor="#b4c7e7" stroked="false">
            <v:fill type="solid"/>
            <w10:wrap type="none"/>
          </v:rect>
        </w:pict>
      </w:r>
      <w:r>
        <w:rPr/>
        <w:pict>
          <v:rect style="position:absolute;margin-left:309.720001pt;margin-top:6.696809pt;width:4.980pt;height:4.980pt;mso-position-horizontal-relative:page;mso-position-vertical-relative:paragraph;z-index:-257032" filled="true" fillcolor="#c55a11" stroked="false">
            <v:fill type="solid"/>
            <w10:wrap type="none"/>
          </v:rect>
        </w:pict>
      </w:r>
      <w:r>
        <w:rPr>
          <w:rFonts w:ascii="Calibri"/>
          <w:color w:val="595958"/>
          <w:sz w:val="18"/>
        </w:rPr>
        <w:t>No</w:t>
        <w:tab/>
        <w:t>Yes</w:t>
      </w:r>
    </w:p>
    <w:p>
      <w:pPr>
        <w:pStyle w:val="BodyText"/>
        <w:rPr>
          <w:rFonts w:ascii="Calibri"/>
          <w:sz w:val="18"/>
        </w:rPr>
      </w:pPr>
    </w:p>
    <w:p>
      <w:pPr>
        <w:spacing w:before="92"/>
        <w:ind w:left="1826" w:right="0" w:firstLine="0"/>
        <w:jc w:val="left"/>
        <w:rPr>
          <w:sz w:val="20"/>
        </w:rPr>
      </w:pPr>
      <w:bookmarkStart w:name="_bookmark26" w:id="156"/>
      <w:bookmarkEnd w:id="156"/>
      <w:r>
        <w:rPr/>
      </w:r>
      <w:r>
        <w:rPr>
          <w:sz w:val="20"/>
        </w:rPr>
        <w:t>Figure 4.1: Summary of Segment Categorical Data in Each Category (No, Yes)</w:t>
      </w:r>
    </w:p>
    <w:p>
      <w:pPr>
        <w:pStyle w:val="BodyText"/>
        <w:rPr>
          <w:sz w:val="20"/>
        </w:rPr>
      </w:pPr>
    </w:p>
    <w:p>
      <w:pPr>
        <w:pStyle w:val="BodyText"/>
        <w:spacing w:before="8"/>
        <w:rPr>
          <w:sz w:val="29"/>
        </w:rPr>
      </w:pPr>
      <w:r>
        <w:rPr/>
        <w:drawing>
          <wp:anchor distT="0" distB="0" distL="0" distR="0" allowOverlap="1" layoutInCell="1" locked="0" behindDoc="0" simplePos="0" relativeHeight="13">
            <wp:simplePos x="0" y="0"/>
            <wp:positionH relativeFrom="page">
              <wp:posOffset>1046643</wp:posOffset>
            </wp:positionH>
            <wp:positionV relativeFrom="paragraph">
              <wp:posOffset>241847</wp:posOffset>
            </wp:positionV>
            <wp:extent cx="5627313" cy="2244280"/>
            <wp:effectExtent l="0" t="0" r="0" b="0"/>
            <wp:wrapTopAndBottom/>
            <wp:docPr id="43" name="image27.png" descr="C:\Users\wyCar\AppData\Local\Temp\WeChat Files\1488415001(1.png"/>
            <wp:cNvGraphicFramePr>
              <a:graphicFrameLocks noChangeAspect="1"/>
            </wp:cNvGraphicFramePr>
            <a:graphic>
              <a:graphicData uri="http://schemas.openxmlformats.org/drawingml/2006/picture">
                <pic:pic>
                  <pic:nvPicPr>
                    <pic:cNvPr id="44" name="image27.png"/>
                    <pic:cNvPicPr/>
                  </pic:nvPicPr>
                  <pic:blipFill>
                    <a:blip r:embed="rId36" cstate="print"/>
                    <a:stretch>
                      <a:fillRect/>
                    </a:stretch>
                  </pic:blipFill>
                  <pic:spPr>
                    <a:xfrm>
                      <a:off x="0" y="0"/>
                      <a:ext cx="5627313" cy="2244280"/>
                    </a:xfrm>
                    <a:prstGeom prst="rect">
                      <a:avLst/>
                    </a:prstGeom>
                  </pic:spPr>
                </pic:pic>
              </a:graphicData>
            </a:graphic>
          </wp:anchor>
        </w:drawing>
      </w:r>
    </w:p>
    <w:p>
      <w:pPr>
        <w:pStyle w:val="BodyText"/>
        <w:rPr>
          <w:sz w:val="22"/>
        </w:rPr>
      </w:pPr>
    </w:p>
    <w:p>
      <w:pPr>
        <w:pStyle w:val="BodyText"/>
        <w:rPr>
          <w:sz w:val="22"/>
        </w:rPr>
      </w:pPr>
    </w:p>
    <w:p>
      <w:pPr>
        <w:spacing w:before="155"/>
        <w:ind w:left="2259" w:right="0" w:firstLine="0"/>
        <w:jc w:val="left"/>
        <w:rPr>
          <w:sz w:val="20"/>
        </w:rPr>
      </w:pPr>
      <w:bookmarkStart w:name="_bookmark27" w:id="157"/>
      <w:bookmarkEnd w:id="157"/>
      <w:r>
        <w:rPr/>
      </w:r>
      <w:r>
        <w:rPr>
          <w:sz w:val="20"/>
        </w:rPr>
        <w:t>Figure 4.2: Graphical Summary of Segment Categorical Data, Part 2</w:t>
      </w:r>
    </w:p>
    <w:p>
      <w:pPr>
        <w:pStyle w:val="BodyText"/>
        <w:rPr>
          <w:sz w:val="22"/>
        </w:rPr>
      </w:pPr>
    </w:p>
    <w:p>
      <w:pPr>
        <w:pStyle w:val="BodyText"/>
        <w:spacing w:before="11"/>
        <w:rPr>
          <w:sz w:val="19"/>
        </w:rPr>
      </w:pPr>
    </w:p>
    <w:p>
      <w:pPr>
        <w:pStyle w:val="Heading3"/>
        <w:numPr>
          <w:ilvl w:val="1"/>
          <w:numId w:val="28"/>
        </w:numPr>
        <w:tabs>
          <w:tab w:pos="1039" w:val="left" w:leader="none"/>
          <w:tab w:pos="1040" w:val="left" w:leader="none"/>
        </w:tabs>
        <w:spacing w:line="240" w:lineRule="auto" w:before="0" w:after="0"/>
        <w:ind w:left="1039" w:right="0" w:hanging="719"/>
        <w:jc w:val="left"/>
      </w:pPr>
      <w:bookmarkStart w:name="_TOC_250038" w:id="158"/>
      <w:bookmarkStart w:name="4.2 INTERSECTIONS" w:id="159"/>
      <w:r>
        <w:rPr>
          <w:b w:val="0"/>
        </w:rPr>
      </w:r>
      <w:bookmarkEnd w:id="159"/>
      <w:bookmarkStart w:name="4.2 INTERSECTIONS" w:id="160"/>
      <w:r>
        <w:rPr/>
        <w:t>I</w:t>
      </w:r>
      <w:bookmarkEnd w:id="158"/>
      <w:r>
        <w:rPr/>
        <w:t>NTERSECTIONS</w:t>
      </w:r>
    </w:p>
    <w:p>
      <w:pPr>
        <w:pStyle w:val="BodyText"/>
        <w:spacing w:before="237"/>
        <w:ind w:left="320" w:right="1429"/>
      </w:pPr>
      <w:hyperlink w:history="true" w:anchor="_bookmark28">
        <w:r>
          <w:rPr/>
          <w:t>Table 4.3</w:t>
        </w:r>
      </w:hyperlink>
      <w:r>
        <w:rPr/>
        <w:t> shows the summary of categorical geometric-related variables of intersection samples. </w:t>
      </w:r>
      <w:hyperlink w:history="true" w:anchor="_bookmark30">
        <w:r>
          <w:rPr/>
          <w:t>Figure 4.3</w:t>
        </w:r>
      </w:hyperlink>
      <w:r>
        <w:rPr/>
        <w:t> and </w:t>
      </w:r>
      <w:hyperlink w:history="true" w:anchor="_bookmark31">
        <w:r>
          <w:rPr/>
          <w:t>Figure 4.4</w:t>
        </w:r>
      </w:hyperlink>
      <w:r>
        <w:rPr/>
        <w:t> show the same data but in a graphical format for easier inspection. shows the summary of categorical geometric-related variables of intersection samples. Most of the samples are two-way, 4-leg signalized intersections with lighting facilities. Almost half of the intersections are located in the area where school presence within 1000 ft. Around 90% of the major roads are arterials while only 50% of the minor roads are arterials. The percentage of presence of left-turn lane and a right-turn lane on the major road and on the minor road are very similar, which is 72% and 27% for major road and 65% and 35% on the minor road. </w:t>
      </w:r>
      <w:hyperlink w:history="true" w:anchor="_bookmark29">
        <w:r>
          <w:rPr/>
          <w:t>Table 4.4</w:t>
        </w:r>
      </w:hyperlink>
      <w:r>
        <w:rPr/>
        <w:t> shows the one continuous variable in the sample.</w:t>
      </w:r>
    </w:p>
    <w:p>
      <w:pPr>
        <w:spacing w:after="0"/>
        <w:sectPr>
          <w:pgSz w:w="12240" w:h="15840"/>
          <w:pgMar w:header="0" w:footer="709" w:top="1220" w:bottom="980" w:left="1120" w:right="0"/>
        </w:sectPr>
      </w:pPr>
    </w:p>
    <w:p>
      <w:pPr>
        <w:spacing w:before="75"/>
        <w:ind w:left="320" w:right="0" w:firstLine="0"/>
        <w:jc w:val="left"/>
        <w:rPr>
          <w:b/>
          <w:sz w:val="20"/>
        </w:rPr>
      </w:pPr>
      <w:bookmarkStart w:name="_bookmark28" w:id="161"/>
      <w:bookmarkEnd w:id="161"/>
      <w:r>
        <w:rPr/>
      </w:r>
      <w:r>
        <w:rPr>
          <w:b/>
          <w:sz w:val="20"/>
        </w:rPr>
        <w:t>Table 4.3: Summary of Categorical Geometric Variables of Intersections</w:t>
      </w:r>
    </w:p>
    <w:tbl>
      <w:tblPr>
        <w:tblW w:w="0" w:type="auto"/>
        <w:jc w:val="left"/>
        <w:tblInd w:w="20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38"/>
        <w:gridCol w:w="3328"/>
        <w:gridCol w:w="1890"/>
        <w:gridCol w:w="1795"/>
      </w:tblGrid>
      <w:tr>
        <w:trPr>
          <w:trHeight w:val="330" w:hRule="atLeast"/>
        </w:trPr>
        <w:tc>
          <w:tcPr>
            <w:tcW w:w="5666" w:type="dxa"/>
            <w:gridSpan w:val="2"/>
            <w:tcBorders>
              <w:left w:val="nil"/>
              <w:right w:val="single" w:sz="4" w:space="0" w:color="000000"/>
            </w:tcBorders>
          </w:tcPr>
          <w:p>
            <w:pPr>
              <w:pStyle w:val="TableParagraph"/>
              <w:spacing w:before="48"/>
              <w:ind w:left="2455" w:right="2421"/>
              <w:jc w:val="center"/>
              <w:rPr>
                <w:b/>
                <w:sz w:val="20"/>
              </w:rPr>
            </w:pPr>
            <w:r>
              <w:rPr>
                <w:b/>
                <w:sz w:val="20"/>
              </w:rPr>
              <w:t>Variable</w:t>
            </w:r>
          </w:p>
        </w:tc>
        <w:tc>
          <w:tcPr>
            <w:tcW w:w="1890" w:type="dxa"/>
            <w:tcBorders>
              <w:left w:val="single" w:sz="4" w:space="0" w:color="000000"/>
              <w:right w:val="single" w:sz="4" w:space="0" w:color="000000"/>
            </w:tcBorders>
          </w:tcPr>
          <w:p>
            <w:pPr>
              <w:pStyle w:val="TableParagraph"/>
              <w:spacing w:before="48"/>
              <w:ind w:left="479" w:right="450"/>
              <w:jc w:val="center"/>
              <w:rPr>
                <w:b/>
                <w:sz w:val="20"/>
              </w:rPr>
            </w:pPr>
            <w:r>
              <w:rPr>
                <w:b/>
                <w:sz w:val="20"/>
              </w:rPr>
              <w:t>Frequency</w:t>
            </w:r>
          </w:p>
        </w:tc>
        <w:tc>
          <w:tcPr>
            <w:tcW w:w="1795" w:type="dxa"/>
            <w:tcBorders>
              <w:left w:val="single" w:sz="4" w:space="0" w:color="000000"/>
              <w:right w:val="nil"/>
            </w:tcBorders>
          </w:tcPr>
          <w:p>
            <w:pPr>
              <w:pStyle w:val="TableParagraph"/>
              <w:spacing w:before="48"/>
              <w:ind w:left="290" w:right="265"/>
              <w:jc w:val="center"/>
              <w:rPr>
                <w:b/>
                <w:sz w:val="20"/>
              </w:rPr>
            </w:pPr>
            <w:r>
              <w:rPr>
                <w:b/>
                <w:sz w:val="20"/>
              </w:rPr>
              <w:t>Percentage %</w:t>
            </w:r>
          </w:p>
        </w:tc>
      </w:tr>
      <w:tr>
        <w:trPr>
          <w:trHeight w:val="218" w:hRule="atLeast"/>
        </w:trPr>
        <w:tc>
          <w:tcPr>
            <w:tcW w:w="2338" w:type="dxa"/>
            <w:vMerge w:val="restart"/>
            <w:tcBorders>
              <w:left w:val="nil"/>
              <w:right w:val="single" w:sz="4" w:space="0" w:color="000000"/>
            </w:tcBorders>
          </w:tcPr>
          <w:p>
            <w:pPr>
              <w:pStyle w:val="TableParagraph"/>
              <w:spacing w:before="6"/>
              <w:rPr>
                <w:b/>
                <w:sz w:val="20"/>
              </w:rPr>
            </w:pPr>
          </w:p>
          <w:p>
            <w:pPr>
              <w:pStyle w:val="TableParagraph"/>
              <w:spacing w:before="1"/>
              <w:ind w:left="122"/>
              <w:rPr>
                <w:sz w:val="20"/>
              </w:rPr>
            </w:pPr>
            <w:r>
              <w:rPr>
                <w:sz w:val="20"/>
              </w:rPr>
              <w:t>Type of traffic control</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1164" w:right="1135"/>
              <w:jc w:val="center"/>
              <w:rPr>
                <w:sz w:val="20"/>
              </w:rPr>
            </w:pPr>
            <w:r>
              <w:rPr>
                <w:sz w:val="20"/>
              </w:rPr>
              <w:t>Signal</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7" w:right="450"/>
              <w:jc w:val="center"/>
              <w:rPr>
                <w:sz w:val="20"/>
              </w:rPr>
            </w:pPr>
            <w:r>
              <w:rPr>
                <w:sz w:val="20"/>
              </w:rPr>
              <w:t>172</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93.48%</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5"/>
              <w:jc w:val="center"/>
              <w:rPr>
                <w:sz w:val="20"/>
              </w:rPr>
            </w:pPr>
            <w:r>
              <w:rPr>
                <w:sz w:val="20"/>
              </w:rPr>
              <w:t>4-Way Stop</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9</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4.89%</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Roundabout</w:t>
            </w:r>
          </w:p>
        </w:tc>
        <w:tc>
          <w:tcPr>
            <w:tcW w:w="1890" w:type="dxa"/>
            <w:tcBorders>
              <w:top w:val="single" w:sz="4" w:space="0" w:color="000000"/>
              <w:left w:val="single" w:sz="4" w:space="0" w:color="000000"/>
              <w:right w:val="single" w:sz="4" w:space="0" w:color="000000"/>
            </w:tcBorders>
          </w:tcPr>
          <w:p>
            <w:pPr>
              <w:pStyle w:val="TableParagraph"/>
              <w:spacing w:line="200" w:lineRule="exact"/>
              <w:ind w:left="29"/>
              <w:jc w:val="center"/>
              <w:rPr>
                <w:sz w:val="20"/>
              </w:rPr>
            </w:pPr>
            <w:r>
              <w:rPr>
                <w:w w:val="100"/>
                <w:sz w:val="20"/>
              </w:rPr>
              <w:t>3</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1.63%</w:t>
            </w:r>
          </w:p>
        </w:tc>
      </w:tr>
      <w:tr>
        <w:trPr>
          <w:trHeight w:val="220" w:hRule="atLeast"/>
        </w:trPr>
        <w:tc>
          <w:tcPr>
            <w:tcW w:w="2338" w:type="dxa"/>
            <w:vMerge w:val="restart"/>
            <w:tcBorders>
              <w:left w:val="nil"/>
              <w:right w:val="single" w:sz="4" w:space="0" w:color="000000"/>
            </w:tcBorders>
          </w:tcPr>
          <w:p>
            <w:pPr>
              <w:pStyle w:val="TableParagraph"/>
              <w:spacing w:before="117"/>
              <w:ind w:left="122"/>
              <w:rPr>
                <w:sz w:val="20"/>
              </w:rPr>
            </w:pPr>
            <w:r>
              <w:rPr>
                <w:sz w:val="20"/>
              </w:rPr>
              <w:t>Presence of lighting</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29"/>
              <w:jc w:val="center"/>
              <w:rPr>
                <w:sz w:val="20"/>
              </w:rPr>
            </w:pPr>
            <w:r>
              <w:rPr>
                <w:w w:val="100"/>
                <w:sz w:val="20"/>
              </w:rPr>
              <w:t>6</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3.26%</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178</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96.74%</w:t>
            </w:r>
          </w:p>
        </w:tc>
      </w:tr>
      <w:tr>
        <w:trPr>
          <w:trHeight w:val="220" w:hRule="atLeast"/>
        </w:trPr>
        <w:tc>
          <w:tcPr>
            <w:tcW w:w="2338" w:type="dxa"/>
            <w:vMerge w:val="restart"/>
            <w:tcBorders>
              <w:left w:val="nil"/>
              <w:right w:val="single" w:sz="4" w:space="0" w:color="000000"/>
            </w:tcBorders>
          </w:tcPr>
          <w:p>
            <w:pPr>
              <w:pStyle w:val="TableParagraph"/>
              <w:spacing w:line="230" w:lineRule="atLeast" w:before="1"/>
              <w:ind w:left="122" w:right="130"/>
              <w:rPr>
                <w:sz w:val="20"/>
              </w:rPr>
            </w:pPr>
            <w:r>
              <w:rPr>
                <w:sz w:val="20"/>
              </w:rPr>
              <w:t>Presence of school within 1000ft</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7" w:right="450"/>
              <w:jc w:val="center"/>
              <w:rPr>
                <w:sz w:val="20"/>
              </w:rPr>
            </w:pPr>
            <w:r>
              <w:rPr>
                <w:sz w:val="20"/>
              </w:rPr>
              <w:t>103</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55.98%</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81</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44.02%</w:t>
            </w:r>
          </w:p>
        </w:tc>
      </w:tr>
      <w:tr>
        <w:trPr>
          <w:trHeight w:val="218" w:hRule="atLeast"/>
        </w:trPr>
        <w:tc>
          <w:tcPr>
            <w:tcW w:w="2338" w:type="dxa"/>
            <w:vMerge w:val="restart"/>
            <w:tcBorders>
              <w:left w:val="nil"/>
              <w:right w:val="single" w:sz="4" w:space="0" w:color="000000"/>
            </w:tcBorders>
          </w:tcPr>
          <w:p>
            <w:pPr>
              <w:pStyle w:val="TableParagraph"/>
              <w:spacing w:before="117"/>
              <w:ind w:left="122"/>
              <w:rPr>
                <w:sz w:val="20"/>
              </w:rPr>
            </w:pPr>
            <w:r>
              <w:rPr>
                <w:sz w:val="20"/>
              </w:rPr>
              <w:t>Intersection legs</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1161" w:right="1135"/>
              <w:jc w:val="center"/>
              <w:rPr>
                <w:sz w:val="20"/>
              </w:rPr>
            </w:pPr>
            <w:r>
              <w:rPr>
                <w:sz w:val="20"/>
              </w:rPr>
              <w:t>4-Leg</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7" w:right="450"/>
              <w:jc w:val="center"/>
              <w:rPr>
                <w:sz w:val="20"/>
              </w:rPr>
            </w:pPr>
            <w:r>
              <w:rPr>
                <w:sz w:val="20"/>
              </w:rPr>
              <w:t>157</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85.33%</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1" w:right="1135"/>
              <w:jc w:val="center"/>
              <w:rPr>
                <w:sz w:val="20"/>
              </w:rPr>
            </w:pPr>
            <w:r>
              <w:rPr>
                <w:sz w:val="20"/>
              </w:rPr>
              <w:t>3-Leg</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27</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14.67%</w:t>
            </w:r>
          </w:p>
        </w:tc>
      </w:tr>
      <w:tr>
        <w:trPr>
          <w:trHeight w:val="220" w:hRule="atLeast"/>
        </w:trPr>
        <w:tc>
          <w:tcPr>
            <w:tcW w:w="2338" w:type="dxa"/>
            <w:vMerge w:val="restart"/>
            <w:tcBorders>
              <w:left w:val="nil"/>
              <w:right w:val="single" w:sz="4" w:space="0" w:color="000000"/>
            </w:tcBorders>
          </w:tcPr>
          <w:p>
            <w:pPr>
              <w:pStyle w:val="TableParagraph"/>
              <w:spacing w:before="5"/>
              <w:rPr>
                <w:b/>
                <w:sz w:val="31"/>
              </w:rPr>
            </w:pPr>
          </w:p>
          <w:p>
            <w:pPr>
              <w:pStyle w:val="TableParagraph"/>
              <w:ind w:left="122" w:right="158"/>
              <w:rPr>
                <w:sz w:val="20"/>
              </w:rPr>
            </w:pPr>
            <w:r>
              <w:rPr>
                <w:sz w:val="20"/>
              </w:rPr>
              <w:t>Major road. Posted speed limit (mph)</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4" w:right="1135"/>
              <w:jc w:val="center"/>
              <w:rPr>
                <w:sz w:val="20"/>
              </w:rPr>
            </w:pPr>
            <w:r>
              <w:rPr>
                <w:sz w:val="20"/>
              </w:rPr>
              <w:t>&lt;=20</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29"/>
              <w:jc w:val="center"/>
              <w:rPr>
                <w:sz w:val="20"/>
              </w:rPr>
            </w:pPr>
            <w:r>
              <w:rPr>
                <w:w w:val="100"/>
                <w:sz w:val="20"/>
              </w:rPr>
              <w:t>7</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3.80%</w:t>
            </w:r>
          </w:p>
        </w:tc>
      </w:tr>
      <w:tr>
        <w:trPr>
          <w:trHeight w:val="209"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25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32</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17.39%</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30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30</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16.30%</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35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80</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43.48%</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&gt;35</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35</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19.02%</w:t>
            </w:r>
          </w:p>
        </w:tc>
      </w:tr>
      <w:tr>
        <w:trPr>
          <w:trHeight w:val="218" w:hRule="atLeast"/>
        </w:trPr>
        <w:tc>
          <w:tcPr>
            <w:tcW w:w="2338" w:type="dxa"/>
            <w:vMerge w:val="restart"/>
            <w:tcBorders>
              <w:left w:val="nil"/>
              <w:right w:val="single" w:sz="4" w:space="0" w:color="000000"/>
            </w:tcBorders>
          </w:tcPr>
          <w:p>
            <w:pPr>
              <w:pStyle w:val="TableParagraph"/>
              <w:spacing w:line="230" w:lineRule="atLeast" w:before="1"/>
              <w:ind w:left="122" w:right="674"/>
              <w:rPr>
                <w:sz w:val="20"/>
              </w:rPr>
            </w:pPr>
            <w:r>
              <w:rPr>
                <w:sz w:val="20"/>
              </w:rPr>
              <w:t>Major road. Travel direction</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1162" w:right="1135"/>
              <w:jc w:val="center"/>
              <w:rPr>
                <w:sz w:val="20"/>
              </w:rPr>
            </w:pPr>
            <w:r>
              <w:rPr>
                <w:sz w:val="20"/>
              </w:rPr>
              <w:t>One-Way</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9" w:right="450"/>
              <w:jc w:val="center"/>
              <w:rPr>
                <w:sz w:val="20"/>
              </w:rPr>
            </w:pPr>
            <w:r>
              <w:rPr>
                <w:sz w:val="20"/>
              </w:rPr>
              <w:t>30</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16.30%</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3" w:right="1135"/>
              <w:jc w:val="center"/>
              <w:rPr>
                <w:sz w:val="20"/>
              </w:rPr>
            </w:pPr>
            <w:r>
              <w:rPr>
                <w:sz w:val="20"/>
              </w:rPr>
              <w:t>Two Way</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154</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83.70%</w:t>
            </w:r>
          </w:p>
        </w:tc>
      </w:tr>
      <w:tr>
        <w:trPr>
          <w:trHeight w:val="220" w:hRule="atLeast"/>
        </w:trPr>
        <w:tc>
          <w:tcPr>
            <w:tcW w:w="2338" w:type="dxa"/>
            <w:vMerge w:val="restart"/>
            <w:tcBorders>
              <w:left w:val="nil"/>
              <w:right w:val="single" w:sz="4" w:space="0" w:color="000000"/>
            </w:tcBorders>
          </w:tcPr>
          <w:p>
            <w:pPr>
              <w:pStyle w:val="TableParagraph"/>
              <w:spacing w:line="230" w:lineRule="exact" w:before="5"/>
              <w:ind w:left="122" w:right="284"/>
              <w:rPr>
                <w:sz w:val="20"/>
              </w:rPr>
            </w:pPr>
            <w:r>
              <w:rPr>
                <w:sz w:val="20"/>
              </w:rPr>
              <w:t>Major road. Presence of left-turn lane</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9" w:right="450"/>
              <w:jc w:val="center"/>
              <w:rPr>
                <w:sz w:val="20"/>
              </w:rPr>
            </w:pPr>
            <w:r>
              <w:rPr>
                <w:sz w:val="20"/>
              </w:rPr>
              <w:t>51</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27.72%</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133</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72.28%</w:t>
            </w:r>
          </w:p>
        </w:tc>
      </w:tr>
      <w:tr>
        <w:trPr>
          <w:trHeight w:val="220" w:hRule="atLeast"/>
        </w:trPr>
        <w:tc>
          <w:tcPr>
            <w:tcW w:w="2338" w:type="dxa"/>
            <w:vMerge w:val="restart"/>
            <w:tcBorders>
              <w:left w:val="nil"/>
              <w:right w:val="single" w:sz="4" w:space="0" w:color="000000"/>
            </w:tcBorders>
          </w:tcPr>
          <w:p>
            <w:pPr>
              <w:pStyle w:val="TableParagraph"/>
              <w:spacing w:line="230" w:lineRule="atLeast" w:before="1"/>
              <w:ind w:left="122" w:right="284"/>
              <w:rPr>
                <w:sz w:val="20"/>
              </w:rPr>
            </w:pPr>
            <w:r>
              <w:rPr>
                <w:sz w:val="20"/>
              </w:rPr>
              <w:t>Major road. Presence of right-turn lane</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7" w:right="450"/>
              <w:jc w:val="center"/>
              <w:rPr>
                <w:sz w:val="20"/>
              </w:rPr>
            </w:pPr>
            <w:r>
              <w:rPr>
                <w:sz w:val="20"/>
              </w:rPr>
              <w:t>133</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72.28%</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51</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27.72%</w:t>
            </w:r>
          </w:p>
        </w:tc>
      </w:tr>
      <w:tr>
        <w:trPr>
          <w:trHeight w:val="218" w:hRule="atLeast"/>
        </w:trPr>
        <w:tc>
          <w:tcPr>
            <w:tcW w:w="2338" w:type="dxa"/>
            <w:vMerge w:val="restart"/>
            <w:tcBorders>
              <w:left w:val="nil"/>
              <w:right w:val="single" w:sz="4" w:space="0" w:color="000000"/>
            </w:tcBorders>
          </w:tcPr>
          <w:p>
            <w:pPr>
              <w:pStyle w:val="TableParagraph"/>
              <w:rPr>
                <w:b/>
                <w:sz w:val="21"/>
              </w:rPr>
            </w:pPr>
          </w:p>
          <w:p>
            <w:pPr>
              <w:pStyle w:val="TableParagraph"/>
              <w:ind w:left="122" w:right="113"/>
              <w:rPr>
                <w:sz w:val="20"/>
              </w:rPr>
            </w:pPr>
            <w:r>
              <w:rPr>
                <w:sz w:val="20"/>
              </w:rPr>
              <w:t>Major road. Total number of traffic lanes</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29"/>
              <w:jc w:val="center"/>
              <w:rPr>
                <w:sz w:val="20"/>
              </w:rPr>
            </w:pPr>
            <w:r>
              <w:rPr>
                <w:w w:val="100"/>
                <w:sz w:val="20"/>
              </w:rPr>
              <w:t>2</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9" w:right="450"/>
              <w:jc w:val="center"/>
              <w:rPr>
                <w:sz w:val="20"/>
              </w:rPr>
            </w:pPr>
            <w:r>
              <w:rPr>
                <w:sz w:val="20"/>
              </w:rPr>
              <w:t>25</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13.59%</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3</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52</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28.26%</w:t>
            </w:r>
          </w:p>
        </w:tc>
      </w:tr>
      <w:tr>
        <w:trPr>
          <w:trHeight w:val="209"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4</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30</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16.30%</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&gt;4</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77</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41.85%</w:t>
            </w:r>
          </w:p>
        </w:tc>
      </w:tr>
      <w:tr>
        <w:trPr>
          <w:trHeight w:val="220" w:hRule="atLeast"/>
        </w:trPr>
        <w:tc>
          <w:tcPr>
            <w:tcW w:w="2338" w:type="dxa"/>
            <w:vMerge w:val="restart"/>
            <w:tcBorders>
              <w:left w:val="nil"/>
              <w:right w:val="single" w:sz="4" w:space="0" w:color="000000"/>
            </w:tcBorders>
          </w:tcPr>
          <w:p>
            <w:pPr>
              <w:pStyle w:val="TableParagraph"/>
              <w:spacing w:line="230" w:lineRule="atLeast" w:before="1"/>
              <w:ind w:left="122" w:right="269"/>
              <w:rPr>
                <w:sz w:val="20"/>
              </w:rPr>
            </w:pPr>
            <w:r>
              <w:rPr>
                <w:sz w:val="20"/>
              </w:rPr>
              <w:t>Major road. Presence of bicycle lanes</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9" w:right="450"/>
              <w:jc w:val="center"/>
              <w:rPr>
                <w:sz w:val="20"/>
              </w:rPr>
            </w:pPr>
            <w:r>
              <w:rPr>
                <w:sz w:val="20"/>
              </w:rPr>
              <w:t>73</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39.67%</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111</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60.33%</w:t>
            </w:r>
          </w:p>
        </w:tc>
      </w:tr>
      <w:tr>
        <w:trPr>
          <w:trHeight w:val="220" w:hRule="atLeast"/>
        </w:trPr>
        <w:tc>
          <w:tcPr>
            <w:tcW w:w="2338" w:type="dxa"/>
            <w:vMerge w:val="restart"/>
            <w:tcBorders>
              <w:left w:val="nil"/>
              <w:right w:val="single" w:sz="4" w:space="0" w:color="000000"/>
            </w:tcBorders>
          </w:tcPr>
          <w:p>
            <w:pPr>
              <w:pStyle w:val="TableParagraph"/>
              <w:spacing w:line="230" w:lineRule="atLeast" w:before="1"/>
              <w:ind w:left="122" w:right="269"/>
              <w:rPr>
                <w:sz w:val="20"/>
              </w:rPr>
            </w:pPr>
            <w:r>
              <w:rPr>
                <w:sz w:val="20"/>
              </w:rPr>
              <w:t>Major road. Presence of median</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7" w:right="450"/>
              <w:jc w:val="center"/>
              <w:rPr>
                <w:sz w:val="20"/>
              </w:rPr>
            </w:pPr>
            <w:r>
              <w:rPr>
                <w:sz w:val="20"/>
              </w:rPr>
              <w:t>165</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89.67%</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19</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10.33%</w:t>
            </w:r>
          </w:p>
        </w:tc>
      </w:tr>
      <w:tr>
        <w:trPr>
          <w:trHeight w:val="218" w:hRule="atLeast"/>
        </w:trPr>
        <w:tc>
          <w:tcPr>
            <w:tcW w:w="2338" w:type="dxa"/>
            <w:vMerge w:val="restart"/>
            <w:tcBorders>
              <w:left w:val="nil"/>
              <w:right w:val="single" w:sz="4" w:space="0" w:color="000000"/>
            </w:tcBorders>
          </w:tcPr>
          <w:p>
            <w:pPr>
              <w:pStyle w:val="TableParagraph"/>
              <w:spacing w:line="230" w:lineRule="exact" w:before="4"/>
              <w:ind w:left="122" w:right="330"/>
              <w:rPr>
                <w:sz w:val="20"/>
              </w:rPr>
            </w:pPr>
            <w:r>
              <w:rPr>
                <w:sz w:val="20"/>
              </w:rPr>
              <w:t>Minor road. Functional class</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1164" w:right="1135"/>
              <w:jc w:val="center"/>
              <w:rPr>
                <w:sz w:val="20"/>
              </w:rPr>
            </w:pPr>
            <w:r>
              <w:rPr>
                <w:sz w:val="20"/>
              </w:rPr>
              <w:t>Arterial</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9" w:right="450"/>
              <w:jc w:val="center"/>
              <w:rPr>
                <w:sz w:val="20"/>
              </w:rPr>
            </w:pPr>
            <w:r>
              <w:rPr>
                <w:sz w:val="20"/>
              </w:rPr>
              <w:t>92</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50.00%</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3" w:right="1135"/>
              <w:jc w:val="center"/>
              <w:rPr>
                <w:sz w:val="20"/>
              </w:rPr>
            </w:pPr>
            <w:r>
              <w:rPr>
                <w:sz w:val="20"/>
              </w:rPr>
              <w:t>Collector</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92</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50.00%</w:t>
            </w:r>
          </w:p>
        </w:tc>
      </w:tr>
      <w:tr>
        <w:trPr>
          <w:trHeight w:val="220" w:hRule="atLeast"/>
        </w:trPr>
        <w:tc>
          <w:tcPr>
            <w:tcW w:w="2338" w:type="dxa"/>
            <w:vMerge w:val="restart"/>
            <w:tcBorders>
              <w:left w:val="nil"/>
              <w:right w:val="single" w:sz="4" w:space="0" w:color="000000"/>
            </w:tcBorders>
          </w:tcPr>
          <w:p>
            <w:pPr>
              <w:pStyle w:val="TableParagraph"/>
              <w:spacing w:before="5"/>
              <w:rPr>
                <w:b/>
                <w:sz w:val="31"/>
              </w:rPr>
            </w:pPr>
          </w:p>
          <w:p>
            <w:pPr>
              <w:pStyle w:val="TableParagraph"/>
              <w:ind w:left="122" w:right="146"/>
              <w:rPr>
                <w:sz w:val="20"/>
              </w:rPr>
            </w:pPr>
            <w:r>
              <w:rPr>
                <w:sz w:val="20"/>
              </w:rPr>
              <w:t>Minor road. Posted speed limit (mph)</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4" w:right="1135"/>
              <w:jc w:val="center"/>
              <w:rPr>
                <w:sz w:val="20"/>
              </w:rPr>
            </w:pPr>
            <w:r>
              <w:rPr>
                <w:sz w:val="20"/>
              </w:rPr>
              <w:t>&lt;=20</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9" w:right="450"/>
              <w:jc w:val="center"/>
              <w:rPr>
                <w:sz w:val="20"/>
              </w:rPr>
            </w:pPr>
            <w:r>
              <w:rPr>
                <w:sz w:val="20"/>
              </w:rPr>
              <w:t>12</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6.52%</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25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88</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47.83%</w:t>
            </w:r>
          </w:p>
        </w:tc>
      </w:tr>
      <w:tr>
        <w:trPr>
          <w:trHeight w:val="209"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30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21</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11.41%</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1164" w:right="1134"/>
              <w:jc w:val="center"/>
              <w:rPr>
                <w:sz w:val="20"/>
              </w:rPr>
            </w:pPr>
            <w:r>
              <w:rPr>
                <w:sz w:val="20"/>
              </w:rPr>
              <w:t>35</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44</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23.91%</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&gt;35</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19</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10.33%</w:t>
            </w:r>
          </w:p>
        </w:tc>
      </w:tr>
      <w:tr>
        <w:trPr>
          <w:trHeight w:val="219" w:hRule="atLeast"/>
        </w:trPr>
        <w:tc>
          <w:tcPr>
            <w:tcW w:w="2338" w:type="dxa"/>
            <w:vMerge w:val="restart"/>
            <w:tcBorders>
              <w:left w:val="nil"/>
              <w:right w:val="single" w:sz="4" w:space="0" w:color="000000"/>
            </w:tcBorders>
          </w:tcPr>
          <w:p>
            <w:pPr>
              <w:pStyle w:val="TableParagraph"/>
              <w:spacing w:line="230" w:lineRule="atLeast" w:before="1"/>
              <w:ind w:left="122" w:right="630"/>
              <w:rPr>
                <w:sz w:val="20"/>
              </w:rPr>
            </w:pPr>
            <w:r>
              <w:rPr>
                <w:sz w:val="20"/>
              </w:rPr>
              <w:t>Minor road. Traffic Direction</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1162" w:right="1135"/>
              <w:jc w:val="center"/>
              <w:rPr>
                <w:sz w:val="20"/>
              </w:rPr>
            </w:pPr>
            <w:r>
              <w:rPr>
                <w:sz w:val="20"/>
              </w:rPr>
              <w:t>One-Way</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9" w:right="450"/>
              <w:jc w:val="center"/>
              <w:rPr>
                <w:sz w:val="20"/>
              </w:rPr>
            </w:pPr>
            <w:r>
              <w:rPr>
                <w:sz w:val="20"/>
              </w:rPr>
              <w:t>16</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8.70%</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3" w:right="1135"/>
              <w:jc w:val="center"/>
              <w:rPr>
                <w:sz w:val="20"/>
              </w:rPr>
            </w:pPr>
            <w:r>
              <w:rPr>
                <w:sz w:val="20"/>
              </w:rPr>
              <w:t>Two Way</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168</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91.30%</w:t>
            </w:r>
          </w:p>
        </w:tc>
      </w:tr>
      <w:tr>
        <w:trPr>
          <w:trHeight w:val="220" w:hRule="atLeast"/>
        </w:trPr>
        <w:tc>
          <w:tcPr>
            <w:tcW w:w="2338" w:type="dxa"/>
            <w:vMerge w:val="restart"/>
            <w:tcBorders>
              <w:left w:val="nil"/>
              <w:right w:val="single" w:sz="4" w:space="0" w:color="000000"/>
            </w:tcBorders>
          </w:tcPr>
          <w:p>
            <w:pPr>
              <w:pStyle w:val="TableParagraph"/>
              <w:spacing w:line="230" w:lineRule="exact" w:before="5"/>
              <w:ind w:left="122" w:right="273"/>
              <w:rPr>
                <w:sz w:val="20"/>
              </w:rPr>
            </w:pPr>
            <w:r>
              <w:rPr>
                <w:sz w:val="20"/>
              </w:rPr>
              <w:t>Minor road. Presence of left-turn lane</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9" w:right="450"/>
              <w:jc w:val="center"/>
              <w:rPr>
                <w:sz w:val="20"/>
              </w:rPr>
            </w:pPr>
            <w:r>
              <w:rPr>
                <w:sz w:val="20"/>
              </w:rPr>
              <w:t>64</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34.78%</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7" w:right="450"/>
              <w:jc w:val="center"/>
              <w:rPr>
                <w:sz w:val="20"/>
              </w:rPr>
            </w:pPr>
            <w:r>
              <w:rPr>
                <w:sz w:val="20"/>
              </w:rPr>
              <w:t>120</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65.22%</w:t>
            </w:r>
          </w:p>
        </w:tc>
      </w:tr>
      <w:tr>
        <w:trPr>
          <w:trHeight w:val="220" w:hRule="atLeast"/>
        </w:trPr>
        <w:tc>
          <w:tcPr>
            <w:tcW w:w="2338" w:type="dxa"/>
            <w:vMerge w:val="restart"/>
            <w:tcBorders>
              <w:left w:val="nil"/>
              <w:right w:val="single" w:sz="4" w:space="0" w:color="000000"/>
            </w:tcBorders>
          </w:tcPr>
          <w:p>
            <w:pPr>
              <w:pStyle w:val="TableParagraph"/>
              <w:spacing w:line="230" w:lineRule="atLeast" w:before="1"/>
              <w:ind w:left="122" w:right="273"/>
              <w:rPr>
                <w:sz w:val="20"/>
              </w:rPr>
            </w:pPr>
            <w:r>
              <w:rPr>
                <w:sz w:val="20"/>
              </w:rPr>
              <w:t>Minor road. Presence of right-turn lane</w:t>
            </w:r>
          </w:p>
        </w:tc>
        <w:tc>
          <w:tcPr>
            <w:tcW w:w="3328" w:type="dxa"/>
            <w:tcBorders>
              <w:left w:val="single" w:sz="4" w:space="0" w:color="000000"/>
              <w:bottom w:val="single" w:sz="4" w:space="0" w:color="000000"/>
              <w:right w:val="single" w:sz="4" w:space="0" w:color="000000"/>
            </w:tcBorders>
          </w:tcPr>
          <w:p>
            <w:pPr>
              <w:pStyle w:val="TableParagraph"/>
              <w:spacing w:line="20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00" w:lineRule="exact"/>
              <w:ind w:left="477" w:right="450"/>
              <w:jc w:val="center"/>
              <w:rPr>
                <w:sz w:val="20"/>
              </w:rPr>
            </w:pPr>
            <w:r>
              <w:rPr>
                <w:sz w:val="20"/>
              </w:rPr>
              <w:t>120</w:t>
            </w:r>
          </w:p>
        </w:tc>
        <w:tc>
          <w:tcPr>
            <w:tcW w:w="1795" w:type="dxa"/>
            <w:tcBorders>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65.22%</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Yes</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64</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34.78%</w:t>
            </w:r>
          </w:p>
        </w:tc>
      </w:tr>
      <w:tr>
        <w:trPr>
          <w:trHeight w:val="218" w:hRule="atLeast"/>
        </w:trPr>
        <w:tc>
          <w:tcPr>
            <w:tcW w:w="2338" w:type="dxa"/>
            <w:vMerge w:val="restart"/>
            <w:tcBorders>
              <w:left w:val="nil"/>
              <w:right w:val="single" w:sz="4" w:space="0" w:color="000000"/>
            </w:tcBorders>
          </w:tcPr>
          <w:p>
            <w:pPr>
              <w:pStyle w:val="TableParagraph"/>
              <w:rPr>
                <w:b/>
                <w:sz w:val="21"/>
              </w:rPr>
            </w:pPr>
          </w:p>
          <w:p>
            <w:pPr>
              <w:pStyle w:val="TableParagraph"/>
              <w:ind w:left="122" w:right="102"/>
              <w:rPr>
                <w:sz w:val="20"/>
              </w:rPr>
            </w:pPr>
            <w:r>
              <w:rPr>
                <w:sz w:val="20"/>
              </w:rPr>
              <w:t>Minor road. Total number of traffic lanes</w:t>
            </w:r>
          </w:p>
        </w:tc>
        <w:tc>
          <w:tcPr>
            <w:tcW w:w="3328" w:type="dxa"/>
            <w:tcBorders>
              <w:left w:val="single" w:sz="4" w:space="0" w:color="000000"/>
              <w:bottom w:val="single" w:sz="4" w:space="0" w:color="000000"/>
              <w:right w:val="single" w:sz="4" w:space="0" w:color="000000"/>
            </w:tcBorders>
          </w:tcPr>
          <w:p>
            <w:pPr>
              <w:pStyle w:val="TableParagraph"/>
              <w:spacing w:line="199" w:lineRule="exact"/>
              <w:ind w:left="29"/>
              <w:jc w:val="center"/>
              <w:rPr>
                <w:sz w:val="20"/>
              </w:rPr>
            </w:pPr>
            <w:r>
              <w:rPr>
                <w:w w:val="100"/>
                <w:sz w:val="20"/>
              </w:rPr>
              <w:t>2</w:t>
            </w:r>
          </w:p>
        </w:tc>
        <w:tc>
          <w:tcPr>
            <w:tcW w:w="1890" w:type="dxa"/>
            <w:tcBorders>
              <w:left w:val="single" w:sz="4" w:space="0" w:color="000000"/>
              <w:bottom w:val="single" w:sz="4" w:space="0" w:color="000000"/>
              <w:right w:val="single" w:sz="4" w:space="0" w:color="000000"/>
            </w:tcBorders>
          </w:tcPr>
          <w:p>
            <w:pPr>
              <w:pStyle w:val="TableParagraph"/>
              <w:spacing w:line="199" w:lineRule="exact"/>
              <w:ind w:left="479" w:right="450"/>
              <w:jc w:val="center"/>
              <w:rPr>
                <w:sz w:val="20"/>
              </w:rPr>
            </w:pPr>
            <w:r>
              <w:rPr>
                <w:sz w:val="20"/>
              </w:rPr>
              <w:t>43</w:t>
            </w:r>
          </w:p>
        </w:tc>
        <w:tc>
          <w:tcPr>
            <w:tcW w:w="1795" w:type="dxa"/>
            <w:tcBorders>
              <w:left w:val="single" w:sz="4" w:space="0" w:color="000000"/>
              <w:bottom w:val="single" w:sz="4" w:space="0" w:color="000000"/>
              <w:right w:val="nil"/>
            </w:tcBorders>
          </w:tcPr>
          <w:p>
            <w:pPr>
              <w:pStyle w:val="TableParagraph"/>
              <w:spacing w:line="199" w:lineRule="exact"/>
              <w:ind w:left="289" w:right="265"/>
              <w:jc w:val="center"/>
              <w:rPr>
                <w:sz w:val="20"/>
              </w:rPr>
            </w:pPr>
            <w:r>
              <w:rPr>
                <w:sz w:val="20"/>
              </w:rPr>
              <w:t>23.37%</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3</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90</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48.91%</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4</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26</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14.13%</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1164" w:right="1135"/>
              <w:jc w:val="center"/>
              <w:rPr>
                <w:sz w:val="20"/>
              </w:rPr>
            </w:pPr>
            <w:r>
              <w:rPr>
                <w:sz w:val="20"/>
              </w:rPr>
              <w:t>&gt;4</w:t>
            </w:r>
          </w:p>
        </w:tc>
        <w:tc>
          <w:tcPr>
            <w:tcW w:w="1890" w:type="dxa"/>
            <w:tcBorders>
              <w:top w:val="single" w:sz="4" w:space="0" w:color="000000"/>
              <w:left w:val="single" w:sz="4" w:space="0" w:color="000000"/>
              <w:right w:val="single" w:sz="4" w:space="0" w:color="000000"/>
            </w:tcBorders>
          </w:tcPr>
          <w:p>
            <w:pPr>
              <w:pStyle w:val="TableParagraph"/>
              <w:spacing w:line="200" w:lineRule="exact"/>
              <w:ind w:left="479" w:right="450"/>
              <w:jc w:val="center"/>
              <w:rPr>
                <w:sz w:val="20"/>
              </w:rPr>
            </w:pPr>
            <w:r>
              <w:rPr>
                <w:sz w:val="20"/>
              </w:rPr>
              <w:t>25</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13.59%</w:t>
            </w:r>
          </w:p>
        </w:tc>
      </w:tr>
      <w:tr>
        <w:trPr>
          <w:trHeight w:val="230" w:hRule="atLeast"/>
        </w:trPr>
        <w:tc>
          <w:tcPr>
            <w:tcW w:w="2338" w:type="dxa"/>
            <w:vMerge w:val="restart"/>
            <w:tcBorders>
              <w:left w:val="nil"/>
              <w:bottom w:val="single" w:sz="4" w:space="0" w:color="000000"/>
              <w:right w:val="single" w:sz="4" w:space="0" w:color="000000"/>
            </w:tcBorders>
          </w:tcPr>
          <w:p>
            <w:pPr>
              <w:pStyle w:val="TableParagraph"/>
              <w:spacing w:line="230" w:lineRule="atLeast" w:before="1"/>
              <w:ind w:left="122" w:right="258"/>
              <w:rPr>
                <w:sz w:val="20"/>
              </w:rPr>
            </w:pPr>
            <w:r>
              <w:rPr>
                <w:sz w:val="20"/>
              </w:rPr>
              <w:t>Minor road. Presence of bicycle lanes</w:t>
            </w:r>
          </w:p>
        </w:tc>
        <w:tc>
          <w:tcPr>
            <w:tcW w:w="3328" w:type="dxa"/>
            <w:tcBorders>
              <w:left w:val="single" w:sz="4" w:space="0" w:color="000000"/>
              <w:bottom w:val="single" w:sz="4" w:space="0" w:color="000000"/>
              <w:right w:val="single" w:sz="4" w:space="0" w:color="000000"/>
            </w:tcBorders>
          </w:tcPr>
          <w:p>
            <w:pPr>
              <w:pStyle w:val="TableParagraph"/>
              <w:spacing w:line="210" w:lineRule="exact"/>
              <w:ind w:left="1163" w:right="1135"/>
              <w:jc w:val="center"/>
              <w:rPr>
                <w:sz w:val="20"/>
              </w:rPr>
            </w:pPr>
            <w:r>
              <w:rPr>
                <w:sz w:val="20"/>
              </w:rPr>
              <w:t>No</w:t>
            </w:r>
          </w:p>
        </w:tc>
        <w:tc>
          <w:tcPr>
            <w:tcW w:w="1890" w:type="dxa"/>
            <w:tcBorders>
              <w:left w:val="single" w:sz="4" w:space="0" w:color="000000"/>
              <w:bottom w:val="single" w:sz="4" w:space="0" w:color="000000"/>
              <w:right w:val="single" w:sz="4" w:space="0" w:color="000000"/>
            </w:tcBorders>
          </w:tcPr>
          <w:p>
            <w:pPr>
              <w:pStyle w:val="TableParagraph"/>
              <w:spacing w:line="210" w:lineRule="exact"/>
              <w:ind w:left="477" w:right="450"/>
              <w:jc w:val="center"/>
              <w:rPr>
                <w:sz w:val="20"/>
              </w:rPr>
            </w:pPr>
            <w:r>
              <w:rPr>
                <w:sz w:val="20"/>
              </w:rPr>
              <w:t>170</w:t>
            </w:r>
          </w:p>
        </w:tc>
        <w:tc>
          <w:tcPr>
            <w:tcW w:w="1795" w:type="dxa"/>
            <w:tcBorders>
              <w:left w:val="single" w:sz="4" w:space="0" w:color="000000"/>
              <w:bottom w:val="single" w:sz="4" w:space="0" w:color="000000"/>
              <w:right w:val="nil"/>
            </w:tcBorders>
          </w:tcPr>
          <w:p>
            <w:pPr>
              <w:pStyle w:val="TableParagraph"/>
              <w:spacing w:line="210" w:lineRule="exact"/>
              <w:ind w:left="289" w:right="265"/>
              <w:jc w:val="center"/>
              <w:rPr>
                <w:sz w:val="20"/>
              </w:rPr>
            </w:pPr>
            <w:r>
              <w:rPr>
                <w:sz w:val="20"/>
              </w:rPr>
              <w:t>92.39%</w:t>
            </w:r>
          </w:p>
        </w:tc>
      </w:tr>
      <w:tr>
        <w:trPr>
          <w:trHeight w:val="229" w:hRule="atLeast"/>
        </w:trPr>
        <w:tc>
          <w:tcPr>
            <w:tcW w:w="2338" w:type="dxa"/>
            <w:vMerge/>
            <w:tcBorders>
              <w:top w:val="nil"/>
              <w:left w:val="nil"/>
              <w:bottom w:val="single" w:sz="4" w:space="0" w:color="000000"/>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64" w:right="1135"/>
              <w:jc w:val="center"/>
              <w:rPr>
                <w:sz w:val="20"/>
              </w:rPr>
            </w:pPr>
            <w:r>
              <w:rPr>
                <w:sz w:val="20"/>
              </w:rPr>
              <w:t>Yes</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79" w:right="450"/>
              <w:jc w:val="center"/>
              <w:rPr>
                <w:sz w:val="20"/>
              </w:rPr>
            </w:pPr>
            <w:r>
              <w:rPr>
                <w:sz w:val="20"/>
              </w:rPr>
              <w:t>14</w:t>
            </w:r>
          </w:p>
        </w:tc>
        <w:tc>
          <w:tcPr>
            <w:tcW w:w="1795" w:type="dxa"/>
            <w:tcBorders>
              <w:top w:val="single" w:sz="4" w:space="0" w:color="000000"/>
              <w:left w:val="single" w:sz="4" w:space="0" w:color="000000"/>
              <w:bottom w:val="single" w:sz="4" w:space="0" w:color="000000"/>
              <w:right w:val="nil"/>
            </w:tcBorders>
          </w:tcPr>
          <w:p>
            <w:pPr>
              <w:pStyle w:val="TableParagraph"/>
              <w:spacing w:line="210" w:lineRule="exact"/>
              <w:ind w:left="289" w:right="265"/>
              <w:jc w:val="center"/>
              <w:rPr>
                <w:sz w:val="20"/>
              </w:rPr>
            </w:pPr>
            <w:r>
              <w:rPr>
                <w:sz w:val="20"/>
              </w:rPr>
              <w:t>7.61%</w:t>
            </w:r>
          </w:p>
        </w:tc>
      </w:tr>
      <w:tr>
        <w:trPr>
          <w:trHeight w:val="230" w:hRule="atLeast"/>
        </w:trPr>
        <w:tc>
          <w:tcPr>
            <w:tcW w:w="2338" w:type="dxa"/>
            <w:vMerge w:val="restart"/>
            <w:tcBorders>
              <w:top w:val="single" w:sz="4" w:space="0" w:color="000000"/>
              <w:left w:val="nil"/>
              <w:bottom w:val="single" w:sz="4" w:space="0" w:color="000000"/>
              <w:right w:val="single" w:sz="4" w:space="0" w:color="000000"/>
            </w:tcBorders>
          </w:tcPr>
          <w:p>
            <w:pPr>
              <w:pStyle w:val="TableParagraph"/>
              <w:spacing w:line="230" w:lineRule="atLeast" w:before="1"/>
              <w:ind w:left="122" w:right="258"/>
              <w:rPr>
                <w:sz w:val="20"/>
              </w:rPr>
            </w:pPr>
            <w:r>
              <w:rPr>
                <w:sz w:val="20"/>
              </w:rPr>
              <w:t>Minor road. Presence of median</w:t>
            </w: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63" w:right="1135"/>
              <w:jc w:val="center"/>
              <w:rPr>
                <w:sz w:val="20"/>
              </w:rPr>
            </w:pPr>
            <w:r>
              <w:rPr>
                <w:sz w:val="20"/>
              </w:rPr>
              <w:t>No</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77" w:right="450"/>
              <w:jc w:val="center"/>
              <w:rPr>
                <w:sz w:val="20"/>
              </w:rPr>
            </w:pPr>
            <w:r>
              <w:rPr>
                <w:sz w:val="20"/>
              </w:rPr>
              <w:t>169</w:t>
            </w:r>
          </w:p>
        </w:tc>
        <w:tc>
          <w:tcPr>
            <w:tcW w:w="1795" w:type="dxa"/>
            <w:tcBorders>
              <w:top w:val="single" w:sz="4" w:space="0" w:color="000000"/>
              <w:left w:val="single" w:sz="4" w:space="0" w:color="000000"/>
              <w:bottom w:val="single" w:sz="4" w:space="0" w:color="000000"/>
              <w:right w:val="nil"/>
            </w:tcBorders>
          </w:tcPr>
          <w:p>
            <w:pPr>
              <w:pStyle w:val="TableParagraph"/>
              <w:spacing w:line="210" w:lineRule="exact"/>
              <w:ind w:left="289" w:right="265"/>
              <w:jc w:val="center"/>
              <w:rPr>
                <w:sz w:val="20"/>
              </w:rPr>
            </w:pPr>
            <w:r>
              <w:rPr>
                <w:sz w:val="20"/>
              </w:rPr>
              <w:t>91.85%</w:t>
            </w:r>
          </w:p>
        </w:tc>
      </w:tr>
      <w:tr>
        <w:trPr>
          <w:trHeight w:val="230" w:hRule="atLeast"/>
        </w:trPr>
        <w:tc>
          <w:tcPr>
            <w:tcW w:w="2338" w:type="dxa"/>
            <w:vMerge/>
            <w:tcBorders>
              <w:top w:val="nil"/>
              <w:left w:val="nil"/>
              <w:bottom w:val="single" w:sz="4" w:space="0" w:color="000000"/>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64" w:right="1135"/>
              <w:jc w:val="center"/>
              <w:rPr>
                <w:sz w:val="20"/>
              </w:rPr>
            </w:pPr>
            <w:r>
              <w:rPr>
                <w:sz w:val="20"/>
              </w:rPr>
              <w:t>Yes</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479" w:right="450"/>
              <w:jc w:val="center"/>
              <w:rPr>
                <w:sz w:val="20"/>
              </w:rPr>
            </w:pPr>
            <w:r>
              <w:rPr>
                <w:sz w:val="20"/>
              </w:rPr>
              <w:t>15</w:t>
            </w:r>
          </w:p>
        </w:tc>
        <w:tc>
          <w:tcPr>
            <w:tcW w:w="1795" w:type="dxa"/>
            <w:tcBorders>
              <w:top w:val="single" w:sz="4" w:space="0" w:color="000000"/>
              <w:left w:val="single" w:sz="4" w:space="0" w:color="000000"/>
              <w:bottom w:val="single" w:sz="4" w:space="0" w:color="000000"/>
              <w:right w:val="nil"/>
            </w:tcBorders>
          </w:tcPr>
          <w:p>
            <w:pPr>
              <w:pStyle w:val="TableParagraph"/>
              <w:spacing w:line="210" w:lineRule="exact"/>
              <w:ind w:left="289" w:right="265"/>
              <w:jc w:val="center"/>
              <w:rPr>
                <w:sz w:val="20"/>
              </w:rPr>
            </w:pPr>
            <w:r>
              <w:rPr>
                <w:sz w:val="20"/>
              </w:rPr>
              <w:t>8.15%</w:t>
            </w:r>
          </w:p>
        </w:tc>
      </w:tr>
      <w:tr>
        <w:trPr>
          <w:trHeight w:val="219" w:hRule="atLeast"/>
        </w:trPr>
        <w:tc>
          <w:tcPr>
            <w:tcW w:w="2338" w:type="dxa"/>
            <w:vMerge w:val="restart"/>
            <w:tcBorders>
              <w:top w:val="single" w:sz="4" w:space="0" w:color="000000"/>
              <w:left w:val="nil"/>
              <w:right w:val="single" w:sz="4" w:space="0" w:color="000000"/>
            </w:tcBorders>
          </w:tcPr>
          <w:p>
            <w:pPr>
              <w:pStyle w:val="TableParagraph"/>
              <w:rPr>
                <w:b/>
                <w:sz w:val="21"/>
              </w:rPr>
            </w:pPr>
          </w:p>
          <w:p>
            <w:pPr>
              <w:pStyle w:val="TableParagraph"/>
              <w:ind w:left="122" w:right="91"/>
              <w:rPr>
                <w:sz w:val="20"/>
              </w:rPr>
            </w:pPr>
            <w:r>
              <w:rPr>
                <w:sz w:val="20"/>
              </w:rPr>
              <w:t>Number of transit lines go through the intersection</w:t>
            </w: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29"/>
              <w:jc w:val="center"/>
              <w:rPr>
                <w:sz w:val="20"/>
              </w:rPr>
            </w:pPr>
            <w:r>
              <w:rPr>
                <w:w w:val="100"/>
                <w:sz w:val="20"/>
              </w:rPr>
              <w:t>0</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200" w:lineRule="exact"/>
              <w:ind w:left="479" w:right="450"/>
              <w:jc w:val="center"/>
              <w:rPr>
                <w:sz w:val="20"/>
              </w:rPr>
            </w:pPr>
            <w:r>
              <w:rPr>
                <w:sz w:val="20"/>
              </w:rPr>
              <w:t>34</w:t>
            </w:r>
          </w:p>
        </w:tc>
        <w:tc>
          <w:tcPr>
            <w:tcW w:w="1795" w:type="dxa"/>
            <w:tcBorders>
              <w:top w:val="single" w:sz="4" w:space="0" w:color="000000"/>
              <w:left w:val="single" w:sz="4" w:space="0" w:color="000000"/>
              <w:bottom w:val="single" w:sz="4" w:space="0" w:color="000000"/>
              <w:right w:val="nil"/>
            </w:tcBorders>
          </w:tcPr>
          <w:p>
            <w:pPr>
              <w:pStyle w:val="TableParagraph"/>
              <w:spacing w:line="200" w:lineRule="exact"/>
              <w:ind w:left="289" w:right="265"/>
              <w:jc w:val="center"/>
              <w:rPr>
                <w:sz w:val="20"/>
              </w:rPr>
            </w:pPr>
            <w:r>
              <w:rPr>
                <w:sz w:val="20"/>
              </w:rPr>
              <w:t>18.48%</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1</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90</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48.91%</w:t>
            </w:r>
          </w:p>
        </w:tc>
      </w:tr>
      <w:tr>
        <w:trPr>
          <w:trHeight w:val="21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29"/>
              <w:jc w:val="center"/>
              <w:rPr>
                <w:sz w:val="20"/>
              </w:rPr>
            </w:pPr>
            <w:r>
              <w:rPr>
                <w:w w:val="100"/>
                <w:sz w:val="20"/>
              </w:rPr>
              <w:t>2</w:t>
            </w:r>
          </w:p>
        </w:tc>
        <w:tc>
          <w:tcPr>
            <w:tcW w:w="1890" w:type="dxa"/>
            <w:tcBorders>
              <w:top w:val="single" w:sz="4" w:space="0" w:color="000000"/>
              <w:left w:val="single" w:sz="4" w:space="0" w:color="000000"/>
              <w:bottom w:val="single" w:sz="4" w:space="0" w:color="000000"/>
              <w:right w:val="single" w:sz="4" w:space="0" w:color="000000"/>
            </w:tcBorders>
          </w:tcPr>
          <w:p>
            <w:pPr>
              <w:pStyle w:val="TableParagraph"/>
              <w:spacing w:line="190" w:lineRule="exact"/>
              <w:ind w:left="479" w:right="450"/>
              <w:jc w:val="center"/>
              <w:rPr>
                <w:sz w:val="20"/>
              </w:rPr>
            </w:pPr>
            <w:r>
              <w:rPr>
                <w:sz w:val="20"/>
              </w:rPr>
              <w:t>49</w:t>
            </w:r>
          </w:p>
        </w:tc>
        <w:tc>
          <w:tcPr>
            <w:tcW w:w="1795" w:type="dxa"/>
            <w:tcBorders>
              <w:top w:val="single" w:sz="4" w:space="0" w:color="000000"/>
              <w:left w:val="single" w:sz="4" w:space="0" w:color="000000"/>
              <w:bottom w:val="single" w:sz="4" w:space="0" w:color="000000"/>
              <w:right w:val="nil"/>
            </w:tcBorders>
          </w:tcPr>
          <w:p>
            <w:pPr>
              <w:pStyle w:val="TableParagraph"/>
              <w:spacing w:line="190" w:lineRule="exact"/>
              <w:ind w:left="289" w:right="265"/>
              <w:jc w:val="center"/>
              <w:rPr>
                <w:sz w:val="20"/>
              </w:rPr>
            </w:pPr>
            <w:r>
              <w:rPr>
                <w:sz w:val="20"/>
              </w:rPr>
              <w:t>26.63%</w:t>
            </w:r>
          </w:p>
        </w:tc>
      </w:tr>
      <w:tr>
        <w:trPr>
          <w:trHeight w:val="220" w:hRule="atLeast"/>
        </w:trPr>
        <w:tc>
          <w:tcPr>
            <w:tcW w:w="2338" w:type="dxa"/>
            <w:vMerge/>
            <w:tcBorders>
              <w:top w:val="nil"/>
              <w:left w:val="nil"/>
              <w:right w:val="single" w:sz="4" w:space="0" w:color="000000"/>
            </w:tcBorders>
          </w:tcPr>
          <w:p>
            <w:pPr>
              <w:rPr>
                <w:sz w:val="2"/>
                <w:szCs w:val="2"/>
              </w:rPr>
            </w:pPr>
          </w:p>
        </w:tc>
        <w:tc>
          <w:tcPr>
            <w:tcW w:w="3328" w:type="dxa"/>
            <w:tcBorders>
              <w:top w:val="single" w:sz="4" w:space="0" w:color="000000"/>
              <w:left w:val="single" w:sz="4" w:space="0" w:color="000000"/>
              <w:right w:val="single" w:sz="4" w:space="0" w:color="000000"/>
            </w:tcBorders>
          </w:tcPr>
          <w:p>
            <w:pPr>
              <w:pStyle w:val="TableParagraph"/>
              <w:spacing w:line="200" w:lineRule="exact"/>
              <w:ind w:left="29"/>
              <w:jc w:val="center"/>
              <w:rPr>
                <w:sz w:val="20"/>
              </w:rPr>
            </w:pPr>
            <w:r>
              <w:rPr>
                <w:w w:val="100"/>
                <w:sz w:val="20"/>
              </w:rPr>
              <w:t>3</w:t>
            </w:r>
          </w:p>
        </w:tc>
        <w:tc>
          <w:tcPr>
            <w:tcW w:w="1890" w:type="dxa"/>
            <w:tcBorders>
              <w:top w:val="single" w:sz="4" w:space="0" w:color="000000"/>
              <w:left w:val="single" w:sz="4" w:space="0" w:color="000000"/>
              <w:right w:val="single" w:sz="4" w:space="0" w:color="000000"/>
            </w:tcBorders>
          </w:tcPr>
          <w:p>
            <w:pPr>
              <w:pStyle w:val="TableParagraph"/>
              <w:spacing w:line="200" w:lineRule="exact"/>
              <w:ind w:left="29"/>
              <w:jc w:val="center"/>
              <w:rPr>
                <w:sz w:val="20"/>
              </w:rPr>
            </w:pPr>
            <w:r>
              <w:rPr>
                <w:w w:val="100"/>
                <w:sz w:val="20"/>
              </w:rPr>
              <w:t>9</w:t>
            </w:r>
          </w:p>
        </w:tc>
        <w:tc>
          <w:tcPr>
            <w:tcW w:w="1795" w:type="dxa"/>
            <w:tcBorders>
              <w:top w:val="single" w:sz="4" w:space="0" w:color="000000"/>
              <w:left w:val="single" w:sz="4" w:space="0" w:color="000000"/>
              <w:right w:val="nil"/>
            </w:tcBorders>
          </w:tcPr>
          <w:p>
            <w:pPr>
              <w:pStyle w:val="TableParagraph"/>
              <w:spacing w:line="200" w:lineRule="exact"/>
              <w:ind w:left="289" w:right="265"/>
              <w:jc w:val="center"/>
              <w:rPr>
                <w:sz w:val="20"/>
              </w:rPr>
            </w:pPr>
            <w:r>
              <w:rPr>
                <w:sz w:val="20"/>
              </w:rPr>
              <w:t>4.89%</w:t>
            </w:r>
          </w:p>
        </w:tc>
      </w:tr>
    </w:tbl>
    <w:p>
      <w:pPr>
        <w:spacing w:after="0" w:line="200" w:lineRule="exact"/>
        <w:jc w:val="center"/>
        <w:rPr>
          <w:sz w:val="20"/>
        </w:rPr>
        <w:sectPr>
          <w:pgSz w:w="12240" w:h="15840"/>
          <w:pgMar w:header="0" w:footer="709" w:top="920" w:bottom="980" w:left="1120" w:right="0"/>
        </w:sectPr>
      </w:pPr>
    </w:p>
    <w:tbl>
      <w:tblPr>
        <w:tblW w:w="0" w:type="auto"/>
        <w:jc w:val="left"/>
        <w:tblInd w:w="20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38"/>
        <w:gridCol w:w="3328"/>
        <w:gridCol w:w="1890"/>
        <w:gridCol w:w="1795"/>
      </w:tblGrid>
      <w:tr>
        <w:trPr>
          <w:trHeight w:val="230" w:hRule="atLeast"/>
        </w:trPr>
        <w:tc>
          <w:tcPr>
            <w:tcW w:w="2338" w:type="dxa"/>
            <w:tcBorders>
              <w:left w:val="nil"/>
              <w:right w:val="single" w:sz="4" w:space="0" w:color="000000"/>
            </w:tcBorders>
          </w:tcPr>
          <w:p>
            <w:pPr>
              <w:pStyle w:val="TableParagraph"/>
              <w:rPr>
                <w:sz w:val="16"/>
              </w:rPr>
            </w:pPr>
          </w:p>
        </w:tc>
        <w:tc>
          <w:tcPr>
            <w:tcW w:w="3328" w:type="dxa"/>
            <w:tcBorders>
              <w:left w:val="single" w:sz="4" w:space="0" w:color="000000"/>
              <w:right w:val="single" w:sz="4" w:space="0" w:color="000000"/>
            </w:tcBorders>
          </w:tcPr>
          <w:p>
            <w:pPr>
              <w:pStyle w:val="TableParagraph"/>
              <w:spacing w:line="210" w:lineRule="exact"/>
              <w:ind w:left="1164" w:right="1135"/>
              <w:jc w:val="center"/>
              <w:rPr>
                <w:sz w:val="20"/>
              </w:rPr>
            </w:pPr>
            <w:r>
              <w:rPr>
                <w:sz w:val="20"/>
              </w:rPr>
              <w:t>&gt;3</w:t>
            </w:r>
          </w:p>
        </w:tc>
        <w:tc>
          <w:tcPr>
            <w:tcW w:w="1890" w:type="dxa"/>
            <w:tcBorders>
              <w:left w:val="single" w:sz="4" w:space="0" w:color="000000"/>
              <w:right w:val="single" w:sz="4" w:space="0" w:color="000000"/>
            </w:tcBorders>
          </w:tcPr>
          <w:p>
            <w:pPr>
              <w:pStyle w:val="TableParagraph"/>
              <w:spacing w:line="210" w:lineRule="exact"/>
              <w:ind w:left="29"/>
              <w:jc w:val="center"/>
              <w:rPr>
                <w:sz w:val="20"/>
              </w:rPr>
            </w:pPr>
            <w:r>
              <w:rPr>
                <w:w w:val="100"/>
                <w:sz w:val="20"/>
              </w:rPr>
              <w:t>2</w:t>
            </w:r>
          </w:p>
        </w:tc>
        <w:tc>
          <w:tcPr>
            <w:tcW w:w="1795" w:type="dxa"/>
            <w:tcBorders>
              <w:left w:val="single" w:sz="4" w:space="0" w:color="000000"/>
              <w:right w:val="nil"/>
            </w:tcBorders>
          </w:tcPr>
          <w:p>
            <w:pPr>
              <w:pStyle w:val="TableParagraph"/>
              <w:spacing w:line="210" w:lineRule="exact"/>
              <w:ind w:left="289" w:right="265"/>
              <w:jc w:val="center"/>
              <w:rPr>
                <w:sz w:val="20"/>
              </w:rPr>
            </w:pPr>
            <w:r>
              <w:rPr>
                <w:sz w:val="20"/>
              </w:rPr>
              <w:t>1.09%</w:t>
            </w:r>
          </w:p>
        </w:tc>
      </w:tr>
    </w:tbl>
    <w:p>
      <w:pPr>
        <w:pStyle w:val="BodyText"/>
        <w:rPr>
          <w:b/>
          <w:sz w:val="26"/>
        </w:rPr>
      </w:pPr>
    </w:p>
    <w:p>
      <w:pPr>
        <w:spacing w:before="92"/>
        <w:ind w:left="320" w:right="0" w:firstLine="0"/>
        <w:jc w:val="left"/>
        <w:rPr>
          <w:b/>
          <w:sz w:val="20"/>
        </w:rPr>
      </w:pPr>
      <w:bookmarkStart w:name="_bookmark29" w:id="162"/>
      <w:bookmarkEnd w:id="162"/>
      <w:r>
        <w:rPr/>
      </w:r>
      <w:r>
        <w:rPr>
          <w:b/>
          <w:sz w:val="20"/>
        </w:rPr>
        <w:t>Table 4.4: Summary of Continuous Geometric Variables of Intersection</w:t>
      </w:r>
    </w:p>
    <w:tbl>
      <w:tblPr>
        <w:tblW w:w="0" w:type="auto"/>
        <w:jc w:val="left"/>
        <w:tblInd w:w="19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602"/>
        <w:gridCol w:w="3078"/>
        <w:gridCol w:w="3510"/>
      </w:tblGrid>
      <w:tr>
        <w:trPr>
          <w:trHeight w:val="330" w:hRule="atLeast"/>
        </w:trPr>
        <w:tc>
          <w:tcPr>
            <w:tcW w:w="2602" w:type="dxa"/>
            <w:tcBorders>
              <w:left w:val="nil"/>
              <w:right w:val="single" w:sz="4" w:space="0" w:color="000000"/>
            </w:tcBorders>
          </w:tcPr>
          <w:p>
            <w:pPr>
              <w:pStyle w:val="TableParagraph"/>
              <w:spacing w:before="49"/>
              <w:ind w:left="931" w:right="881"/>
              <w:jc w:val="center"/>
              <w:rPr>
                <w:b/>
                <w:sz w:val="20"/>
              </w:rPr>
            </w:pPr>
            <w:r>
              <w:rPr>
                <w:b/>
                <w:sz w:val="20"/>
              </w:rPr>
              <w:t>Variable</w:t>
            </w:r>
          </w:p>
        </w:tc>
        <w:tc>
          <w:tcPr>
            <w:tcW w:w="3078" w:type="dxa"/>
            <w:tcBorders>
              <w:left w:val="single" w:sz="4" w:space="0" w:color="000000"/>
              <w:right w:val="single" w:sz="4" w:space="0" w:color="000000"/>
            </w:tcBorders>
          </w:tcPr>
          <w:p>
            <w:pPr>
              <w:pStyle w:val="TableParagraph"/>
              <w:spacing w:before="49"/>
              <w:ind w:left="1284" w:right="1254"/>
              <w:jc w:val="center"/>
              <w:rPr>
                <w:b/>
                <w:sz w:val="20"/>
              </w:rPr>
            </w:pPr>
            <w:r>
              <w:rPr>
                <w:b/>
                <w:sz w:val="20"/>
              </w:rPr>
              <w:t>Mean</w:t>
            </w:r>
          </w:p>
        </w:tc>
        <w:tc>
          <w:tcPr>
            <w:tcW w:w="3510" w:type="dxa"/>
            <w:tcBorders>
              <w:left w:val="single" w:sz="4" w:space="0" w:color="000000"/>
              <w:right w:val="nil"/>
            </w:tcBorders>
          </w:tcPr>
          <w:p>
            <w:pPr>
              <w:pStyle w:val="TableParagraph"/>
              <w:spacing w:before="49"/>
              <w:ind w:left="908" w:right="883"/>
              <w:jc w:val="center"/>
              <w:rPr>
                <w:b/>
                <w:sz w:val="20"/>
              </w:rPr>
            </w:pPr>
            <w:r>
              <w:rPr>
                <w:b/>
                <w:sz w:val="20"/>
              </w:rPr>
              <w:t>Standard Deviation</w:t>
            </w:r>
          </w:p>
        </w:tc>
      </w:tr>
      <w:tr>
        <w:trPr>
          <w:trHeight w:val="611" w:hRule="atLeast"/>
        </w:trPr>
        <w:tc>
          <w:tcPr>
            <w:tcW w:w="2602" w:type="dxa"/>
            <w:tcBorders>
              <w:left w:val="nil"/>
              <w:right w:val="single" w:sz="4" w:space="0" w:color="000000"/>
            </w:tcBorders>
          </w:tcPr>
          <w:p>
            <w:pPr>
              <w:pStyle w:val="TableParagraph"/>
              <w:spacing w:before="73"/>
              <w:ind w:left="137" w:right="590"/>
              <w:rPr>
                <w:sz w:val="20"/>
              </w:rPr>
            </w:pPr>
            <w:r>
              <w:rPr>
                <w:sz w:val="20"/>
              </w:rPr>
              <w:t>Number of transit lines through intersection</w:t>
            </w:r>
          </w:p>
        </w:tc>
        <w:tc>
          <w:tcPr>
            <w:tcW w:w="3078" w:type="dxa"/>
            <w:tcBorders>
              <w:left w:val="single" w:sz="4" w:space="0" w:color="000000"/>
              <w:right w:val="single" w:sz="4" w:space="0" w:color="000000"/>
            </w:tcBorders>
          </w:tcPr>
          <w:p>
            <w:pPr>
              <w:pStyle w:val="TableParagraph"/>
              <w:spacing w:before="187"/>
              <w:ind w:left="1282" w:right="1254"/>
              <w:jc w:val="center"/>
              <w:rPr>
                <w:sz w:val="20"/>
              </w:rPr>
            </w:pPr>
            <w:r>
              <w:rPr>
                <w:sz w:val="20"/>
              </w:rPr>
              <w:t>1.36</w:t>
            </w:r>
          </w:p>
        </w:tc>
        <w:tc>
          <w:tcPr>
            <w:tcW w:w="3510" w:type="dxa"/>
            <w:tcBorders>
              <w:left w:val="single" w:sz="4" w:space="0" w:color="000000"/>
              <w:right w:val="nil"/>
            </w:tcBorders>
          </w:tcPr>
          <w:p>
            <w:pPr>
              <w:pStyle w:val="TableParagraph"/>
              <w:spacing w:before="187"/>
              <w:ind w:left="906" w:right="883"/>
              <w:jc w:val="center"/>
              <w:rPr>
                <w:sz w:val="20"/>
              </w:rPr>
            </w:pPr>
            <w:r>
              <w:rPr>
                <w:sz w:val="20"/>
              </w:rPr>
              <w:t>1.18</w:t>
            </w:r>
          </w:p>
        </w:tc>
      </w:tr>
    </w:tbl>
    <w:p>
      <w:pPr>
        <w:pStyle w:val="BodyText"/>
        <w:spacing w:before="9"/>
        <w:rPr>
          <w:b/>
          <w:sz w:val="20"/>
        </w:rPr>
      </w:pPr>
    </w:p>
    <w:p>
      <w:pPr>
        <w:spacing w:line="309" w:lineRule="auto" w:before="1"/>
        <w:ind w:left="854" w:right="7882" w:firstLine="809"/>
        <w:jc w:val="both"/>
        <w:rPr>
          <w:rFonts w:ascii="Calibri"/>
          <w:sz w:val="18"/>
        </w:rPr>
      </w:pPr>
      <w:r>
        <w:rPr/>
        <w:pict>
          <v:group style="position:absolute;margin-left:225.660004pt;margin-top:-.959556pt;width:293.650pt;height:199.05pt;mso-position-horizontal-relative:page;mso-position-vertical-relative:paragraph;z-index:2392" coordorigin="4513,-19" coordsize="5873,3981">
            <v:shape style="position:absolute;left:5106;top:-20;width:2344;height:370" coordorigin="5106,-19" coordsize="2344,370" path="m5106,-19l5106,66m5106,180l5106,350m5693,-19l5693,66m5693,180l5693,350m6278,-19l6278,66m6278,180l6278,350m6864,-19l6864,66m6864,180l6864,350m7450,-19l7450,350e" filled="false" stroked="true" strokeweight=".72pt" strokecolor="#dadada">
              <v:path arrowok="t"/>
              <v:stroke dashstyle="solid"/>
            </v:shape>
            <v:line style="position:absolute" from="4520,123" to="7450,123" stroked="true" strokeweight="5.7pt" strokecolor="#b4c7e7">
              <v:stroke dashstyle="solid"/>
            </v:line>
            <v:shape style="position:absolute;left:5106;top:180;width:4688;height:455" coordorigin="5106,180" coordsize="4688,455" path="m5106,464l5106,635m5693,464l5693,635m6278,464l6278,635m6864,464l6864,635m7450,464l7450,635m8035,180l8035,350m8035,464l8035,635m8621,180l8621,350m8621,464l8621,635m9208,180l9208,350m9208,464l9208,635m9793,180l9793,350m9793,464l9793,635e" filled="false" stroked="true" strokeweight=".72pt" strokecolor="#dadada">
              <v:path arrowok="t"/>
              <v:stroke dashstyle="solid"/>
            </v:shape>
            <v:line style="position:absolute" from="4520,407" to="9901,407" stroked="true" strokeweight="5.7pt" strokecolor="#b4c7e7">
              <v:stroke dashstyle="solid"/>
            </v:line>
            <v:shape style="position:absolute;left:5106;top:748;width:4688;height:171" coordorigin="5106,749" coordsize="4688,171" path="m5106,749l5106,919m5693,749l5693,919m6278,749l6278,919m6864,749l6864,919m7450,749l7450,919m8035,749l8035,919m8621,749l8621,919m9208,749l9208,919m9793,749l9793,919e" filled="false" stroked="true" strokeweight=".72pt" strokecolor="#dadada">
              <v:path arrowok="t"/>
              <v:stroke dashstyle="solid"/>
            </v:shape>
            <v:line style="position:absolute" from="4520,692" to="9934,692" stroked="true" strokeweight="5.7pt" strokecolor="#b4c7e7">
              <v:stroke dashstyle="solid"/>
            </v:line>
            <v:shape style="position:absolute;left:5106;top:1033;width:2930;height:171" coordorigin="5106,1033" coordsize="2930,171" path="m5106,1033l5106,1204m5693,1033l5693,1204m6278,1033l6278,1204m6864,1033l6864,1204m7450,1033l7450,1204m8035,1033l8035,1204e" filled="false" stroked="true" strokeweight=".72pt" strokecolor="#dadada">
              <v:path arrowok="t"/>
              <v:stroke dashstyle="solid"/>
            </v:shape>
            <v:line style="position:absolute" from="4520,976" to="8341,976" stroked="true" strokeweight="5.7pt" strokecolor="#b4c7e7">
              <v:stroke dashstyle="solid"/>
            </v:line>
            <v:shape style="position:absolute;left:5106;top:1317;width:1173;height:171" coordorigin="5106,1318" coordsize="1173,171" path="m5106,1318l5106,1488m5693,1318l5693,1488m6278,1318l6278,1488e" filled="false" stroked="true" strokeweight=".72pt" strokecolor="#dadada">
              <v:path arrowok="t"/>
              <v:stroke dashstyle="solid"/>
            </v:shape>
            <v:line style="position:absolute" from="4520,1261" to="6558,1261" stroked="true" strokeweight="5.7pt" strokecolor="#b4c7e7">
              <v:stroke dashstyle="solid"/>
            </v:line>
            <v:shape style="position:absolute;left:5106;top:1317;width:4688;height:455" coordorigin="5106,1318" coordsize="4688,455" path="m5106,1602l5106,1772m5693,1602l5693,1772m6278,1602l6278,1772m6864,1318l6864,1488m6864,1602l6864,1772m7450,1318l7450,1488m7450,1602l7450,1772m8035,1318l8035,1488m8035,1602l8035,1772m8621,1318l8621,1488m8621,1602l8621,1772m9208,1318l9208,1488m9208,1602l9208,1772m9793,1318l9793,1488m9793,1602l9793,1772e" filled="false" stroked="true" strokeweight=".72pt" strokecolor="#dadada">
              <v:path arrowok="t"/>
              <v:stroke dashstyle="solid"/>
            </v:shape>
            <v:line style="position:absolute" from="4520,1545" to="9870,1545" stroked="true" strokeweight="5.7pt" strokecolor="#b4c7e7">
              <v:stroke dashstyle="solid"/>
            </v:line>
            <v:shape style="position:absolute;left:5106;top:1886;width:4688;height:171" coordorigin="5106,1886" coordsize="4688,171" path="m5106,1886l5106,2057m5693,1886l5693,2057m6278,1886l6278,2057m6864,1886l6864,2057m7450,1886l7450,2057m8035,1886l8035,2057m8621,1886l8621,2057m9208,1886l9208,2057m9793,1886l9793,2057e" filled="false" stroked="true" strokeweight=".72pt" strokecolor="#dadada">
              <v:path arrowok="t"/>
              <v:stroke dashstyle="solid"/>
            </v:shape>
            <v:line style="position:absolute" from="4520,1829" to="9774,1829" stroked="true" strokeweight="5.7pt" strokecolor="#b4c7e7">
              <v:stroke dashstyle="solid"/>
            </v:line>
            <v:shape style="position:absolute;left:5106;top:2170;width:1758;height:171" coordorigin="5106,2171" coordsize="1758,171" path="m5106,2171l5106,2341m5693,2171l5693,2341m6278,2171l6278,2341m6864,2171l6864,2341e" filled="false" stroked="true" strokeweight=".72pt" strokecolor="#dadada">
              <v:path arrowok="t"/>
              <v:stroke dashstyle="solid"/>
            </v:shape>
            <v:line style="position:absolute" from="4520,2114" to="6845,2114" stroked="true" strokeweight="5.7pt" strokecolor="#b4c7e7">
              <v:stroke dashstyle="solid"/>
            </v:line>
            <v:shape style="position:absolute;left:5106;top:2455;width:587;height:171" coordorigin="5106,2455" coordsize="587,171" path="m5106,2455l5106,2626m5693,2455l5693,2626e" filled="false" stroked="true" strokeweight=".72pt" strokecolor="#dadada">
              <v:path arrowok="t"/>
              <v:stroke dashstyle="solid"/>
            </v:shape>
            <v:line style="position:absolute" from="4520,2398" to="6144,2398" stroked="true" strokeweight="5.7pt" strokecolor="#b4c7e7">
              <v:stroke dashstyle="solid"/>
            </v:line>
            <v:shape style="position:absolute;left:5106;top:2739;width:587;height:171" coordorigin="5106,2740" coordsize="587,171" path="m5106,2740l5106,2910m5693,2740l5693,2910e" filled="false" stroked="true" strokeweight=".72pt" strokecolor="#dadada">
              <v:path arrowok="t"/>
              <v:stroke dashstyle="solid"/>
            </v:shape>
            <v:line style="position:absolute" from="4520,2683" to="6144,2683" stroked="true" strokeweight="5.7pt" strokecolor="#b4c7e7">
              <v:stroke dashstyle="solid"/>
            </v:line>
            <v:shape style="position:absolute;left:5106;top:2739;width:4102;height:455" coordorigin="5106,2740" coordsize="4102,455" path="m5106,3024l5106,3194m5693,3024l5693,3194m6278,2740l6278,2910m6278,3024l6278,3194m6864,2740l6864,2910m6864,3024l6864,3194m7450,2740l7450,2910m7450,3024l7450,3194m8035,2740l8035,2910m8035,3024l8035,3194m8621,2740l8621,2910m8621,3024l8621,3194m9208,2740l9208,2910m9208,3024l9208,3194e" filled="false" stroked="true" strokeweight=".72pt" strokecolor="#dadada">
              <v:path arrowok="t"/>
              <v:stroke dashstyle="solid"/>
            </v:shape>
            <v:line style="position:absolute" from="4520,2967" to="9424,2967" stroked="true" strokeweight="5.7pt" strokecolor="#b4c7e7">
              <v:stroke dashstyle="solid"/>
            </v:line>
            <v:shape style="position:absolute;left:5106;top:3307;width:4102;height:172" coordorigin="5106,3307" coordsize="4102,172" path="m5106,3307l5106,3479m5693,3307l5693,3479m6278,3307l6278,3479m6864,3307l6864,3479m7450,3307l7450,3479m8035,3307l8035,3479m8621,3307l8621,3479m9208,3307l9208,3479e" filled="false" stroked="true" strokeweight=".72pt" strokecolor="#dadada">
              <v:path arrowok="t"/>
              <v:stroke dashstyle="solid"/>
            </v:shape>
            <v:line style="position:absolute" from="4520,3251" to="9520,3251" stroked="true" strokeweight="5.639pt" strokecolor="#b4c7e7">
              <v:stroke dashstyle="solid"/>
            </v:line>
            <v:shape style="position:absolute;left:5106;top:3591;width:2344;height:172" coordorigin="5106,3592" coordsize="2344,172" path="m5106,3592l5106,3763m5693,3592l5693,3763m6278,3592l6278,3763m6864,3592l6864,3763m7450,3592l7450,3763e" filled="false" stroked="true" strokeweight=".72pt" strokecolor="#dadada">
              <v:path arrowok="t"/>
              <v:stroke dashstyle="solid"/>
            </v:shape>
            <v:shape style="position:absolute;left:4520;top:3535;width:3280;height:285" coordorigin="4520,3535" coordsize="3280,285" path="m4520,3535l7800,3535m4520,3820l4711,3820e" filled="false" stroked="true" strokeweight="5.639pt" strokecolor="#b4c7e7">
              <v:path arrowok="t"/>
              <v:stroke dashstyle="solid"/>
            </v:shape>
            <v:shape style="position:absolute;left:5106;top:3591;width:4688;height:370" coordorigin="5106,3592" coordsize="4688,370" path="m5106,3876l5106,3961m5693,3876l5693,3961m6278,3876l6278,3961m6864,3876l6864,3961m7450,3876l7450,3961m8035,3592l8035,3763m8035,3876l8035,3961m8621,3592l8621,3763m8621,3876l8621,3961m9208,3592l9208,3763m9208,3876l9208,3961m9793,3592l9793,3763m9793,3876l9793,3961e" filled="false" stroked="true" strokeweight=".72pt" strokecolor="#dadada">
              <v:path arrowok="t"/>
              <v:stroke dashstyle="solid"/>
            </v:shape>
            <v:line style="position:absolute" from="10379,-19" to="10379,3961" stroked="true" strokeweight=".72pt" strokecolor="#dadada">
              <v:stroke dashstyle="solid"/>
            </v:line>
            <v:line style="position:absolute" from="4711,3820" to="10379,3820" stroked="true" strokeweight="5.64pt" strokecolor="#c55a11">
              <v:stroke dashstyle="solid"/>
            </v:line>
            <v:line style="position:absolute" from="9793,3307" to="9793,3479" stroked="true" strokeweight=".72pt" strokecolor="#dadada">
              <v:stroke dashstyle="solid"/>
            </v:line>
            <v:line style="position:absolute" from="7800,3535" to="10379,3535" stroked="true" strokeweight="5.64pt" strokecolor="#c55a11">
              <v:stroke dashstyle="solid"/>
            </v:line>
            <v:line style="position:absolute" from="9793,3024" to="9793,3194" stroked="true" strokeweight=".72pt" strokecolor="#dadada">
              <v:stroke dashstyle="solid"/>
            </v:line>
            <v:line style="position:absolute" from="9520,3251" to="10379,3251" stroked="true" strokeweight="5.64pt" strokecolor="#c55a11">
              <v:stroke dashstyle="solid"/>
            </v:line>
            <v:line style="position:absolute" from="9793,2740" to="9793,2910" stroked="true" strokeweight=".72pt" strokecolor="#dadada">
              <v:stroke dashstyle="solid"/>
            </v:line>
            <v:line style="position:absolute" from="9424,2967" to="10379,2967" stroked="true" strokeweight="5.7pt" strokecolor="#c55a11">
              <v:stroke dashstyle="solid"/>
            </v:line>
            <v:shape style="position:absolute;left:6278;top:2455;width:3515;height:171" coordorigin="6278,2455" coordsize="3515,171" path="m6278,2455l6278,2626m6864,2455l6864,2626m7450,2455l7450,2626m8035,2455l8035,2626m8621,2455l8621,2626m9208,2455l9208,2626m9793,2455l9793,2626e" filled="false" stroked="true" strokeweight=".72pt" strokecolor="#dadada">
              <v:path arrowok="t"/>
              <v:stroke dashstyle="solid"/>
            </v:shape>
            <v:line style="position:absolute" from="6144,2683" to="10379,2683" stroked="true" strokeweight="5.7pt" strokecolor="#c55a11">
              <v:stroke dashstyle="solid"/>
            </v:line>
            <v:shape style="position:absolute;left:7449;top:2170;width:2344;height:171" coordorigin="7450,2171" coordsize="2344,171" path="m7450,2171l7450,2341m8035,2171l8035,2341m8621,2171l8621,2341m9208,2171l9208,2341m9793,2171l9793,2341e" filled="false" stroked="true" strokeweight=".72pt" strokecolor="#dadada">
              <v:path arrowok="t"/>
              <v:stroke dashstyle="solid"/>
            </v:shape>
            <v:line style="position:absolute" from="6144,2398" to="10379,2398" stroked="true" strokeweight="5.7pt" strokecolor="#c55a11">
              <v:stroke dashstyle="solid"/>
            </v:line>
            <v:shape style="position:absolute;left:6844;top:1545;width:3534;height:569" coordorigin="6845,1545" coordsize="3534,569" path="m6845,2114l10379,2114m9774,1829l10379,1829m9870,1545l10379,1545e" filled="false" stroked="true" strokeweight="5.7pt" strokecolor="#c55a11">
              <v:path arrowok="t"/>
              <v:stroke dashstyle="solid"/>
            </v:shape>
            <v:shape style="position:absolute;left:8620;top:1033;width:1173;height:171" coordorigin="8621,1033" coordsize="1173,171" path="m8621,1033l8621,1204m9208,1033l9208,1204m9793,1033l9793,1204e" filled="false" stroked="true" strokeweight=".72pt" strokecolor="#dadada">
              <v:path arrowok="t"/>
              <v:stroke dashstyle="solid"/>
            </v:shape>
            <v:shape style="position:absolute;left:6558;top:407;width:3821;height:854" coordorigin="6558,407" coordsize="3821,854" path="m6558,1261l10379,1261m8341,976l10379,976m9934,692l10379,692m9901,407l10379,407e" filled="false" stroked="true" strokeweight="5.7pt" strokecolor="#c55a11">
              <v:path arrowok="t"/>
              <v:stroke dashstyle="solid"/>
            </v:shape>
            <v:shape style="position:absolute;left:8035;top:-20;width:1758;height:86" coordorigin="8035,-19" coordsize="1758,86" path="m8035,-19l8035,66m8621,-19l8621,66m9208,-19l9208,66m9793,-19l9793,66e" filled="false" stroked="true" strokeweight=".72pt" strokecolor="#dadada">
              <v:path arrowok="t"/>
              <v:stroke dashstyle="solid"/>
            </v:shape>
            <v:line style="position:absolute" from="7450,123" to="10379,123" stroked="true" strokeweight="5.7pt" strokecolor="#c55a11">
              <v:stroke dashstyle="solid"/>
            </v:line>
            <v:line style="position:absolute" from="4520,3961" to="4520,-19" stroked="true" strokeweight=".72pt" strokecolor="#dadada">
              <v:stroke dashstyle="solid"/>
            </v:line>
            <v:shape style="position:absolute;left:7074;top:333;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169</w:t>
                    </w:r>
                  </w:p>
                </w:txbxContent>
              </v:textbox>
              <w10:wrap type="none"/>
            </v:shape>
            <v:shape style="position:absolute;left:10049;top:332;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15</w:t>
                    </w:r>
                  </w:p>
                </w:txbxContent>
              </v:textbox>
              <w10:wrap type="none"/>
            </v:shape>
            <v:shape style="position:absolute;left:7058;top:1471;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168</w:t>
                    </w:r>
                  </w:p>
                </w:txbxContent>
              </v:textbox>
              <w10:wrap type="none"/>
            </v:shape>
            <v:shape style="position:absolute;left:10033;top:1470;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16</w:t>
                    </w:r>
                  </w:p>
                </w:txbxContent>
              </v:textbox>
              <w10:wrap type="none"/>
            </v:shape>
            <v:shape style="position:absolute;left:5591;top:2040;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7</w:t>
                    </w:r>
                  </w:p>
                </w:txbxContent>
              </v:textbox>
              <w10:wrap type="none"/>
            </v:shape>
            <v:shape style="position:absolute;left:5241;top:2039;width:4772;height:1035" type="#_x0000_t202" filled="false" stroked="false">
              <v:textbox inset="0,0,0,0">
                <w:txbxContent>
                  <w:p>
                    <w:pPr>
                      <w:spacing w:line="183" w:lineRule="exact" w:before="0"/>
                      <w:ind w:left="0" w:right="1353" w:firstLine="0"/>
                      <w:jc w:val="right"/>
                      <w:rPr>
                        <w:rFonts w:ascii="Calibri"/>
                        <w:sz w:val="18"/>
                      </w:rPr>
                    </w:pPr>
                    <w:r>
                      <w:rPr>
                        <w:rFonts w:ascii="Calibri"/>
                        <w:color w:val="3E3E3E"/>
                        <w:sz w:val="18"/>
                      </w:rPr>
                      <w:t>11</w:t>
                    </w:r>
                  </w:p>
                  <w:p>
                    <w:pPr>
                      <w:tabs>
                        <w:tab w:pos="2883" w:val="left" w:leader="none"/>
                      </w:tabs>
                      <w:spacing w:before="65"/>
                      <w:ind w:left="0" w:right="0" w:firstLine="0"/>
                      <w:jc w:val="left"/>
                      <w:rPr>
                        <w:rFonts w:ascii="Calibri"/>
                        <w:sz w:val="18"/>
                      </w:rPr>
                    </w:pPr>
                    <w:r>
                      <w:rPr>
                        <w:rFonts w:ascii="Calibri"/>
                        <w:color w:val="3E3E3E"/>
                        <w:sz w:val="18"/>
                      </w:rPr>
                      <w:t>51</w:t>
                      <w:tab/>
                      <w:t>133</w:t>
                    </w:r>
                  </w:p>
                  <w:p>
                    <w:pPr>
                      <w:spacing w:line="240" w:lineRule="auto" w:before="0"/>
                      <w:rPr>
                        <w:sz w:val="18"/>
                      </w:rPr>
                    </w:pPr>
                  </w:p>
                  <w:p>
                    <w:pPr>
                      <w:tabs>
                        <w:tab w:pos="4568" w:val="left" w:leader="none"/>
                      </w:tabs>
                      <w:spacing w:line="216" w:lineRule="exact" w:before="143"/>
                      <w:ind w:left="1594" w:right="0" w:firstLine="0"/>
                      <w:jc w:val="left"/>
                      <w:rPr>
                        <w:rFonts w:ascii="Calibri"/>
                        <w:sz w:val="18"/>
                      </w:rPr>
                    </w:pPr>
                    <w:r>
                      <w:rPr>
                        <w:rFonts w:ascii="Calibri"/>
                        <w:color w:val="3E3E3E"/>
                        <w:sz w:val="18"/>
                      </w:rPr>
                      <w:t>154</w:t>
                      <w:tab/>
                      <w:t>30</w:t>
                    </w:r>
                  </w:p>
                </w:txbxContent>
              </v:textbox>
              <w10:wrap type="none"/>
            </v:shape>
            <v:shape style="position:absolute;left:4570;top:3746;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6</w:t>
                    </w:r>
                  </w:p>
                </w:txbxContent>
              </v:textbox>
              <w10:wrap type="none"/>
            </v:shape>
            <v:shape style="position:absolute;left:7408;top:3745;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178</w:t>
                    </w:r>
                  </w:p>
                </w:txbxContent>
              </v:textbox>
              <w10:wrap type="none"/>
            </v:shape>
            <v:shape style="position:absolute;left:8628;top:3591;width:573;height:172" type="#_x0000_t202" filled="false" stroked="false">
              <v:textbox inset="0,0,0,0">
                <w:txbxContent>
                  <w:p>
                    <w:pPr>
                      <w:spacing w:line="53" w:lineRule="exact" w:before="0"/>
                      <w:ind w:left="370" w:right="0" w:firstLine="0"/>
                      <w:jc w:val="left"/>
                      <w:rPr>
                        <w:rFonts w:ascii="Calibri"/>
                        <w:sz w:val="18"/>
                      </w:rPr>
                    </w:pPr>
                    <w:r>
                      <w:rPr>
                        <w:rFonts w:ascii="Calibri"/>
                        <w:color w:val="3E3E3E"/>
                        <w:sz w:val="18"/>
                      </w:rPr>
                      <w:t>81</w:t>
                    </w:r>
                  </w:p>
                </w:txbxContent>
              </v:textbox>
              <w10:wrap type="none"/>
            </v:shape>
            <v:shape style="position:absolute;left:5700;top:3591;width:572;height:172" type="#_x0000_t202" filled="false" stroked="false">
              <v:textbox inset="0,0,0,0">
                <w:txbxContent>
                  <w:p>
                    <w:pPr>
                      <w:spacing w:line="54" w:lineRule="exact" w:before="0"/>
                      <w:ind w:left="323" w:right="-29" w:firstLine="0"/>
                      <w:jc w:val="left"/>
                      <w:rPr>
                        <w:rFonts w:ascii="Calibri"/>
                        <w:sz w:val="18"/>
                      </w:rPr>
                    </w:pPr>
                    <w:r>
                      <w:rPr>
                        <w:rFonts w:ascii="Calibri"/>
                        <w:color w:val="3E3E3E"/>
                        <w:sz w:val="18"/>
                      </w:rPr>
                      <w:t>103</w:t>
                    </w:r>
                  </w:p>
                </w:txbxContent>
              </v:textbox>
              <w10:wrap type="none"/>
            </v:shape>
            <v:shape style="position:absolute;left:9800;top:3307;width:572;height:172" type="#_x0000_t202" filled="false" stroked="false">
              <v:textbox inset="0,0,0,0">
                <w:txbxContent>
                  <w:p>
                    <w:pPr>
                      <w:spacing w:line="53" w:lineRule="exact" w:before="0"/>
                      <w:ind w:left="57" w:right="0" w:firstLine="0"/>
                      <w:jc w:val="left"/>
                      <w:rPr>
                        <w:rFonts w:ascii="Calibri"/>
                        <w:sz w:val="18"/>
                      </w:rPr>
                    </w:pPr>
                    <w:r>
                      <w:rPr>
                        <w:rFonts w:ascii="Calibri"/>
                        <w:color w:val="3E3E3E"/>
                        <w:sz w:val="18"/>
                      </w:rPr>
                      <w:t>27</w:t>
                    </w:r>
                  </w:p>
                </w:txbxContent>
              </v:textbox>
              <w10:wrap type="none"/>
            </v:shape>
            <v:shape style="position:absolute;left:6871;top:3307;width:572;height:172" type="#_x0000_t202" filled="false" stroked="false">
              <v:textbox inset="0,0,0,0">
                <w:txbxContent>
                  <w:p>
                    <w:pPr>
                      <w:spacing w:line="54" w:lineRule="exact" w:before="0"/>
                      <w:ind w:left="11" w:right="0" w:firstLine="0"/>
                      <w:jc w:val="left"/>
                      <w:rPr>
                        <w:rFonts w:ascii="Calibri"/>
                        <w:sz w:val="18"/>
                      </w:rPr>
                    </w:pPr>
                    <w:r>
                      <w:rPr>
                        <w:rFonts w:ascii="Calibri"/>
                        <w:color w:val="3E3E3E"/>
                        <w:sz w:val="18"/>
                      </w:rPr>
                      <w:t>157</w:t>
                    </w:r>
                  </w:p>
                </w:txbxContent>
              </v:textbox>
              <w10:wrap type="none"/>
            </v:shape>
            <v:shape style="position:absolute;left:8042;top:2739;width:572;height:171" type="#_x0000_t202" filled="false" stroked="false">
              <v:textbox inset="0,0,0,0">
                <w:txbxContent>
                  <w:p>
                    <w:pPr>
                      <w:spacing w:line="52" w:lineRule="exact" w:before="0"/>
                      <w:ind w:left="82" w:right="0" w:firstLine="0"/>
                      <w:jc w:val="left"/>
                      <w:rPr>
                        <w:rFonts w:ascii="Calibri"/>
                        <w:sz w:val="18"/>
                      </w:rPr>
                    </w:pPr>
                    <w:r>
                      <w:rPr>
                        <w:rFonts w:ascii="Calibri"/>
                        <w:color w:val="3E3E3E"/>
                        <w:sz w:val="18"/>
                      </w:rPr>
                      <w:t>133</w:t>
                    </w:r>
                  </w:p>
                </w:txbxContent>
              </v:textbox>
              <w10:wrap type="none"/>
            </v:shape>
            <v:shape style="position:absolute;left:5113;top:2739;width:573;height:171" type="#_x0000_t202" filled="false" stroked="false">
              <v:textbox inset="0,0,0,0">
                <w:txbxContent>
                  <w:p>
                    <w:pPr>
                      <w:spacing w:line="53" w:lineRule="exact" w:before="0"/>
                      <w:ind w:left="128" w:right="0" w:firstLine="0"/>
                      <w:jc w:val="left"/>
                      <w:rPr>
                        <w:rFonts w:ascii="Calibri"/>
                        <w:sz w:val="18"/>
                      </w:rPr>
                    </w:pPr>
                    <w:r>
                      <w:rPr>
                        <w:rFonts w:ascii="Calibri"/>
                        <w:color w:val="3E3E3E"/>
                        <w:sz w:val="18"/>
                      </w:rPr>
                      <w:t>51</w:t>
                    </w:r>
                  </w:p>
                </w:txbxContent>
              </v:textbox>
              <w10:wrap type="none"/>
            </v:shape>
            <v:shape style="position:absolute;left:8628;top:2170;width:573;height:171" type="#_x0000_t202" filled="false" stroked="false">
              <v:textbox inset="0,0,0,0">
                <w:txbxContent>
                  <w:p>
                    <w:pPr>
                      <w:spacing w:line="52" w:lineRule="exact" w:before="0"/>
                      <w:ind w:left="29" w:right="0" w:firstLine="0"/>
                      <w:jc w:val="left"/>
                      <w:rPr>
                        <w:rFonts w:ascii="Calibri"/>
                        <w:sz w:val="18"/>
                      </w:rPr>
                    </w:pPr>
                    <w:r>
                      <w:rPr>
                        <w:rFonts w:ascii="Calibri"/>
                        <w:color w:val="3E3E3E"/>
                        <w:sz w:val="18"/>
                      </w:rPr>
                      <w:t>1</w:t>
                    </w:r>
                  </w:p>
                </w:txbxContent>
              </v:textbox>
              <w10:wrap type="none"/>
            </v:shape>
            <v:shape style="position:absolute;left:5700;top:2170;width:572;height:171" type="#_x0000_t202" filled="false" stroked="false">
              <v:textbox inset="0,0,0,0">
                <w:txbxContent>
                  <w:p>
                    <w:pPr>
                      <w:spacing w:line="53" w:lineRule="exact" w:before="0"/>
                      <w:ind w:left="-18" w:right="0" w:firstLine="0"/>
                      <w:jc w:val="left"/>
                      <w:rPr>
                        <w:rFonts w:ascii="Calibri"/>
                        <w:sz w:val="18"/>
                      </w:rPr>
                    </w:pPr>
                    <w:r>
                      <w:rPr>
                        <w:rFonts w:ascii="Calibri"/>
                        <w:color w:val="3E3E3E"/>
                        <w:sz w:val="18"/>
                      </w:rPr>
                      <w:t>3</w:t>
                    </w:r>
                  </w:p>
                </w:txbxContent>
              </v:textbox>
              <w10:wrap type="none"/>
            </v:shape>
            <v:shape style="position:absolute;left:9800;top:1886;width:572;height:171" type="#_x0000_t202" filled="false" stroked="false">
              <v:textbox inset="0,0,0,0">
                <w:txbxContent>
                  <w:p>
                    <w:pPr>
                      <w:spacing w:line="52" w:lineRule="exact" w:before="0"/>
                      <w:ind w:left="185" w:right="0" w:firstLine="0"/>
                      <w:jc w:val="left"/>
                      <w:rPr>
                        <w:rFonts w:ascii="Calibri"/>
                        <w:sz w:val="18"/>
                      </w:rPr>
                    </w:pPr>
                    <w:r>
                      <w:rPr>
                        <w:rFonts w:ascii="Calibri"/>
                        <w:color w:val="3E3E3E"/>
                        <w:sz w:val="18"/>
                      </w:rPr>
                      <w:t>19</w:t>
                    </w:r>
                  </w:p>
                </w:txbxContent>
              </v:textbox>
              <w10:wrap type="none"/>
            </v:shape>
            <v:shape style="position:absolute;left:6871;top:1886;width:572;height:171" type="#_x0000_t202" filled="false" stroked="false">
              <v:textbox inset="0,0,0,0">
                <w:txbxContent>
                  <w:p>
                    <w:pPr>
                      <w:spacing w:line="53" w:lineRule="exact" w:before="0"/>
                      <w:ind w:left="139" w:right="0" w:firstLine="0"/>
                      <w:jc w:val="left"/>
                      <w:rPr>
                        <w:rFonts w:ascii="Calibri"/>
                        <w:sz w:val="18"/>
                      </w:rPr>
                    </w:pPr>
                    <w:r>
                      <w:rPr>
                        <w:rFonts w:ascii="Calibri"/>
                        <w:color w:val="3E3E3E"/>
                        <w:sz w:val="18"/>
                      </w:rPr>
                      <w:t>165</w:t>
                    </w:r>
                  </w:p>
                </w:txbxContent>
              </v:textbox>
              <w10:wrap type="none"/>
            </v:shape>
            <v:shape style="position:absolute;left:8042;top:1317;width:572;height:171" type="#_x0000_t202" filled="false" stroked="false">
              <v:textbox inset="0,0,0,0">
                <w:txbxContent>
                  <w:p>
                    <w:pPr>
                      <w:spacing w:line="52" w:lineRule="exact" w:before="0"/>
                      <w:ind w:left="289" w:right="0" w:firstLine="0"/>
                      <w:jc w:val="left"/>
                      <w:rPr>
                        <w:rFonts w:ascii="Calibri"/>
                        <w:sz w:val="18"/>
                      </w:rPr>
                    </w:pPr>
                    <w:r>
                      <w:rPr>
                        <w:rFonts w:ascii="Calibri"/>
                        <w:color w:val="3E3E3E"/>
                        <w:sz w:val="18"/>
                      </w:rPr>
                      <w:t>120</w:t>
                    </w:r>
                  </w:p>
                </w:txbxContent>
              </v:textbox>
              <w10:wrap type="none"/>
            </v:shape>
            <v:shape style="position:absolute;left:5113;top:1317;width:573;height:171" type="#_x0000_t202" filled="false" stroked="false">
              <v:textbox inset="0,0,0,0">
                <w:txbxContent>
                  <w:p>
                    <w:pPr>
                      <w:spacing w:line="53" w:lineRule="exact" w:before="0"/>
                      <w:ind w:left="335" w:right="0" w:firstLine="0"/>
                      <w:jc w:val="left"/>
                      <w:rPr>
                        <w:rFonts w:ascii="Calibri"/>
                        <w:sz w:val="18"/>
                      </w:rPr>
                    </w:pPr>
                    <w:r>
                      <w:rPr>
                        <w:rFonts w:ascii="Calibri"/>
                        <w:color w:val="3E3E3E"/>
                        <w:sz w:val="18"/>
                      </w:rPr>
                      <w:t>64</w:t>
                    </w:r>
                  </w:p>
                </w:txbxContent>
              </v:textbox>
              <w10:wrap type="none"/>
            </v:shape>
            <v:shape style="position:absolute;left:9214;top:1033;width:572;height:171" type="#_x0000_t202" filled="false" stroked="false">
              <v:textbox inset="0,0,0,0">
                <w:txbxContent>
                  <w:p>
                    <w:pPr>
                      <w:spacing w:line="52" w:lineRule="exact" w:before="0"/>
                      <w:ind w:left="54" w:right="0" w:firstLine="0"/>
                      <w:jc w:val="left"/>
                      <w:rPr>
                        <w:rFonts w:ascii="Calibri"/>
                        <w:sz w:val="18"/>
                      </w:rPr>
                    </w:pPr>
                    <w:r>
                      <w:rPr>
                        <w:rFonts w:ascii="Calibri"/>
                        <w:color w:val="3E3E3E"/>
                        <w:sz w:val="18"/>
                      </w:rPr>
                      <w:t>64</w:t>
                    </w:r>
                  </w:p>
                </w:txbxContent>
              </v:textbox>
              <w10:wrap type="none"/>
            </v:shape>
            <v:shape style="position:absolute;left:6285;top:1033;width:572;height:171" type="#_x0000_t202" filled="false" stroked="false">
              <v:textbox inset="0,0,0,0">
                <w:txbxContent>
                  <w:p>
                    <w:pPr>
                      <w:spacing w:line="53" w:lineRule="exact" w:before="0"/>
                      <w:ind w:left="8" w:right="0" w:firstLine="0"/>
                      <w:jc w:val="left"/>
                      <w:rPr>
                        <w:rFonts w:ascii="Calibri"/>
                        <w:sz w:val="18"/>
                      </w:rPr>
                    </w:pPr>
                    <w:r>
                      <w:rPr>
                        <w:rFonts w:ascii="Calibri"/>
                        <w:color w:val="3E3E3E"/>
                        <w:sz w:val="18"/>
                      </w:rPr>
                      <w:t>120</w:t>
                    </w:r>
                  </w:p>
                </w:txbxContent>
              </v:textbox>
              <w10:wrap type="none"/>
            </v:shape>
            <v:shape style="position:absolute;left:9800;top:748;width:572;height:171" type="#_x0000_t202" filled="false" stroked="false">
              <v:textbox inset="0,0,0,0">
                <w:txbxContent>
                  <w:p>
                    <w:pPr>
                      <w:spacing w:line="52" w:lineRule="exact" w:before="0"/>
                      <w:ind w:left="264" w:right="0" w:firstLine="0"/>
                      <w:jc w:val="left"/>
                      <w:rPr>
                        <w:rFonts w:ascii="Calibri"/>
                        <w:sz w:val="18"/>
                      </w:rPr>
                    </w:pPr>
                    <w:r>
                      <w:rPr>
                        <w:rFonts w:ascii="Calibri"/>
                        <w:color w:val="3E3E3E"/>
                        <w:sz w:val="18"/>
                      </w:rPr>
                      <w:t>14</w:t>
                    </w:r>
                  </w:p>
                </w:txbxContent>
              </v:textbox>
              <w10:wrap type="none"/>
            </v:shape>
            <v:shape style="position:absolute;left:6871;top:748;width:572;height:171" type="#_x0000_t202" filled="false" stroked="false">
              <v:textbox inset="0,0,0,0">
                <w:txbxContent>
                  <w:p>
                    <w:pPr>
                      <w:spacing w:line="53" w:lineRule="exact" w:before="0"/>
                      <w:ind w:left="218" w:right="0" w:firstLine="0"/>
                      <w:jc w:val="left"/>
                      <w:rPr>
                        <w:rFonts w:ascii="Calibri"/>
                        <w:sz w:val="18"/>
                      </w:rPr>
                    </w:pPr>
                    <w:r>
                      <w:rPr>
                        <w:rFonts w:ascii="Calibri"/>
                        <w:color w:val="3E3E3E"/>
                        <w:sz w:val="18"/>
                      </w:rPr>
                      <w:t>170</w:t>
                    </w:r>
                  </w:p>
                </w:txbxContent>
              </v:textbox>
              <w10:wrap type="none"/>
            </v:shape>
            <v:shape style="position:absolute;left:8628;top:180;width:573;height:171" type="#_x0000_t202" filled="false" stroked="false">
              <v:textbox inset="0,0,0,0">
                <w:txbxContent>
                  <w:p>
                    <w:pPr>
                      <w:spacing w:line="52" w:lineRule="exact" w:before="0"/>
                      <w:ind w:left="175" w:right="175" w:firstLine="0"/>
                      <w:jc w:val="center"/>
                      <w:rPr>
                        <w:rFonts w:ascii="Calibri"/>
                        <w:sz w:val="18"/>
                      </w:rPr>
                    </w:pPr>
                    <w:r>
                      <w:rPr>
                        <w:rFonts w:ascii="Calibri"/>
                        <w:color w:val="3E3E3E"/>
                        <w:sz w:val="18"/>
                      </w:rPr>
                      <w:t>92</w:t>
                    </w:r>
                  </w:p>
                </w:txbxContent>
              </v:textbox>
              <w10:wrap type="none"/>
            </v:shape>
            <v:shape style="position:absolute;left:5700;top:180;width:572;height:171" type="#_x0000_t202" filled="false" stroked="false">
              <v:textbox inset="0,0,0,0">
                <w:txbxContent>
                  <w:p>
                    <w:pPr>
                      <w:spacing w:line="53" w:lineRule="exact" w:before="0"/>
                      <w:ind w:left="174" w:right="174" w:firstLine="0"/>
                      <w:jc w:val="center"/>
                      <w:rPr>
                        <w:rFonts w:ascii="Calibri"/>
                        <w:sz w:val="18"/>
                      </w:rPr>
                    </w:pPr>
                    <w:r>
                      <w:rPr>
                        <w:rFonts w:ascii="Calibri"/>
                        <w:color w:val="3E3E3E"/>
                        <w:sz w:val="18"/>
                      </w:rPr>
                      <w:t>92</w:t>
                    </w:r>
                  </w:p>
                </w:txbxContent>
              </v:textbox>
              <w10:wrap type="none"/>
            </v:shape>
            <w10:wrap type="none"/>
          </v:group>
        </w:pict>
      </w:r>
      <w:r>
        <w:rPr>
          <w:rFonts w:ascii="Calibri"/>
          <w:color w:val="595958"/>
          <w:sz w:val="18"/>
        </w:rPr>
        <w:t>Minor road. Collector Minor road. Presenc of median Minor road. Presenc of bike</w:t>
      </w:r>
      <w:r>
        <w:rPr>
          <w:rFonts w:ascii="Calibri"/>
          <w:color w:val="595958"/>
          <w:spacing w:val="-12"/>
          <w:sz w:val="18"/>
        </w:rPr>
        <w:t> </w:t>
      </w:r>
      <w:r>
        <w:rPr>
          <w:rFonts w:ascii="Calibri"/>
          <w:color w:val="595958"/>
          <w:sz w:val="18"/>
        </w:rPr>
        <w:t>lane</w:t>
      </w:r>
    </w:p>
    <w:p>
      <w:pPr>
        <w:spacing w:line="309" w:lineRule="auto" w:before="2"/>
        <w:ind w:left="548" w:right="7882" w:hanging="98"/>
        <w:jc w:val="right"/>
        <w:rPr>
          <w:rFonts w:ascii="Calibri"/>
          <w:sz w:val="18"/>
        </w:rPr>
      </w:pPr>
      <w:r>
        <w:rPr>
          <w:rFonts w:ascii="Calibri"/>
          <w:color w:val="595958"/>
          <w:sz w:val="18"/>
        </w:rPr>
        <w:t>Minor road. Presenc of</w:t>
      </w:r>
      <w:r>
        <w:rPr>
          <w:rFonts w:ascii="Calibri"/>
          <w:color w:val="595958"/>
          <w:spacing w:val="-13"/>
          <w:sz w:val="18"/>
        </w:rPr>
        <w:t> </w:t>
      </w:r>
      <w:r>
        <w:rPr>
          <w:rFonts w:ascii="Calibri"/>
          <w:color w:val="595958"/>
          <w:sz w:val="18"/>
        </w:rPr>
        <w:t>right-turn</w:t>
      </w:r>
      <w:r>
        <w:rPr>
          <w:rFonts w:ascii="Calibri"/>
          <w:color w:val="595958"/>
          <w:spacing w:val="-2"/>
          <w:sz w:val="18"/>
        </w:rPr>
        <w:t> </w:t>
      </w:r>
      <w:r>
        <w:rPr>
          <w:rFonts w:ascii="Calibri"/>
          <w:color w:val="595958"/>
          <w:sz w:val="18"/>
        </w:rPr>
        <w:t>lane Minor road. Presenc of</w:t>
      </w:r>
      <w:r>
        <w:rPr>
          <w:rFonts w:ascii="Calibri"/>
          <w:color w:val="595958"/>
          <w:spacing w:val="-13"/>
          <w:sz w:val="18"/>
        </w:rPr>
        <w:t> </w:t>
      </w:r>
      <w:r>
        <w:rPr>
          <w:rFonts w:ascii="Calibri"/>
          <w:color w:val="595958"/>
          <w:sz w:val="18"/>
        </w:rPr>
        <w:t>left-turn</w:t>
      </w:r>
      <w:r>
        <w:rPr>
          <w:rFonts w:ascii="Calibri"/>
          <w:color w:val="595958"/>
          <w:spacing w:val="-2"/>
          <w:sz w:val="18"/>
        </w:rPr>
        <w:t> </w:t>
      </w:r>
      <w:r>
        <w:rPr>
          <w:rFonts w:ascii="Calibri"/>
          <w:color w:val="595958"/>
          <w:sz w:val="18"/>
        </w:rPr>
        <w:t>lane Minor road.</w:t>
      </w:r>
      <w:r>
        <w:rPr>
          <w:rFonts w:ascii="Calibri"/>
          <w:color w:val="595958"/>
          <w:spacing w:val="-9"/>
          <w:sz w:val="18"/>
        </w:rPr>
        <w:t> </w:t>
      </w:r>
      <w:r>
        <w:rPr>
          <w:rFonts w:ascii="Calibri"/>
          <w:color w:val="595958"/>
          <w:sz w:val="18"/>
        </w:rPr>
        <w:t>One-way</w:t>
      </w:r>
      <w:r>
        <w:rPr>
          <w:rFonts w:ascii="Calibri"/>
          <w:color w:val="595958"/>
          <w:spacing w:val="-4"/>
          <w:sz w:val="18"/>
        </w:rPr>
        <w:t> </w:t>
      </w:r>
      <w:r>
        <w:rPr>
          <w:rFonts w:ascii="Calibri"/>
          <w:color w:val="595958"/>
          <w:sz w:val="18"/>
        </w:rPr>
        <w:t>direction Major road. Presenc</w:t>
      </w:r>
      <w:r>
        <w:rPr>
          <w:rFonts w:ascii="Calibri"/>
          <w:color w:val="595958"/>
          <w:spacing w:val="-8"/>
          <w:sz w:val="18"/>
        </w:rPr>
        <w:t> </w:t>
      </w:r>
      <w:r>
        <w:rPr>
          <w:rFonts w:ascii="Calibri"/>
          <w:color w:val="595958"/>
          <w:sz w:val="18"/>
        </w:rPr>
        <w:t>of</w:t>
      </w:r>
      <w:r>
        <w:rPr>
          <w:rFonts w:ascii="Calibri"/>
          <w:color w:val="595958"/>
          <w:spacing w:val="-2"/>
          <w:sz w:val="18"/>
        </w:rPr>
        <w:t> </w:t>
      </w:r>
      <w:r>
        <w:rPr>
          <w:rFonts w:ascii="Calibri"/>
          <w:color w:val="595958"/>
          <w:sz w:val="18"/>
        </w:rPr>
        <w:t>median Major road. Presenc of bike</w:t>
      </w:r>
      <w:r>
        <w:rPr>
          <w:rFonts w:ascii="Calibri"/>
          <w:color w:val="595958"/>
          <w:spacing w:val="-12"/>
          <w:sz w:val="18"/>
        </w:rPr>
        <w:t> </w:t>
      </w:r>
      <w:r>
        <w:rPr>
          <w:rFonts w:ascii="Calibri"/>
          <w:color w:val="595958"/>
          <w:sz w:val="18"/>
        </w:rPr>
        <w:t>lane</w:t>
      </w:r>
    </w:p>
    <w:p>
      <w:pPr>
        <w:spacing w:line="309" w:lineRule="auto" w:before="5"/>
        <w:ind w:left="555" w:right="7882" w:hanging="98"/>
        <w:jc w:val="right"/>
        <w:rPr>
          <w:rFonts w:ascii="Calibri"/>
          <w:sz w:val="18"/>
        </w:rPr>
      </w:pPr>
      <w:r>
        <w:rPr>
          <w:rFonts w:ascii="Calibri"/>
          <w:color w:val="595958"/>
          <w:sz w:val="18"/>
        </w:rPr>
        <w:t>Major road. Presenc of</w:t>
      </w:r>
      <w:r>
        <w:rPr>
          <w:rFonts w:ascii="Calibri"/>
          <w:color w:val="595958"/>
          <w:spacing w:val="-11"/>
          <w:sz w:val="18"/>
        </w:rPr>
        <w:t> </w:t>
      </w:r>
      <w:r>
        <w:rPr>
          <w:rFonts w:ascii="Calibri"/>
          <w:color w:val="595958"/>
          <w:sz w:val="18"/>
        </w:rPr>
        <w:t>right-turn</w:t>
      </w:r>
      <w:r>
        <w:rPr>
          <w:rFonts w:ascii="Calibri"/>
          <w:color w:val="595958"/>
          <w:spacing w:val="-3"/>
          <w:sz w:val="18"/>
        </w:rPr>
        <w:t> </w:t>
      </w:r>
      <w:r>
        <w:rPr>
          <w:rFonts w:ascii="Calibri"/>
          <w:color w:val="595958"/>
          <w:sz w:val="18"/>
        </w:rPr>
        <w:t>lane Major road. Presenc of</w:t>
      </w:r>
      <w:r>
        <w:rPr>
          <w:rFonts w:ascii="Calibri"/>
          <w:color w:val="595958"/>
          <w:spacing w:val="-13"/>
          <w:sz w:val="18"/>
        </w:rPr>
        <w:t> </w:t>
      </w:r>
      <w:r>
        <w:rPr>
          <w:rFonts w:ascii="Calibri"/>
          <w:color w:val="595958"/>
          <w:sz w:val="18"/>
        </w:rPr>
        <w:t>left-turn</w:t>
      </w:r>
      <w:r>
        <w:rPr>
          <w:rFonts w:ascii="Calibri"/>
          <w:color w:val="595958"/>
          <w:spacing w:val="-2"/>
          <w:sz w:val="18"/>
        </w:rPr>
        <w:t> </w:t>
      </w:r>
      <w:r>
        <w:rPr>
          <w:rFonts w:ascii="Calibri"/>
          <w:color w:val="595958"/>
          <w:sz w:val="18"/>
        </w:rPr>
        <w:t>lane Major road. One-way</w:t>
      </w:r>
      <w:r>
        <w:rPr>
          <w:rFonts w:ascii="Calibri"/>
          <w:color w:val="595958"/>
          <w:spacing w:val="-12"/>
          <w:sz w:val="18"/>
        </w:rPr>
        <w:t> </w:t>
      </w:r>
      <w:r>
        <w:rPr>
          <w:rFonts w:ascii="Calibri"/>
          <w:color w:val="595958"/>
          <w:sz w:val="18"/>
        </w:rPr>
        <w:t>direction</w:t>
      </w:r>
    </w:p>
    <w:p>
      <w:pPr>
        <w:spacing w:line="309" w:lineRule="auto" w:before="3"/>
        <w:ind w:left="843" w:right="7882" w:firstLine="1112"/>
        <w:jc w:val="right"/>
        <w:rPr>
          <w:rFonts w:ascii="Calibri"/>
          <w:sz w:val="18"/>
        </w:rPr>
      </w:pPr>
      <w:r>
        <w:rPr>
          <w:rFonts w:ascii="Calibri"/>
          <w:color w:val="595958"/>
          <w:sz w:val="18"/>
        </w:rPr>
        <w:t>3-leg</w:t>
      </w:r>
      <w:r>
        <w:rPr>
          <w:rFonts w:ascii="Calibri"/>
          <w:color w:val="595958"/>
          <w:spacing w:val="-7"/>
          <w:sz w:val="18"/>
        </w:rPr>
        <w:t> </w:t>
      </w:r>
      <w:r>
        <w:rPr>
          <w:rFonts w:ascii="Calibri"/>
          <w:color w:val="595958"/>
          <w:sz w:val="18"/>
        </w:rPr>
        <w:t>intersection Presence of school within</w:t>
      </w:r>
      <w:r>
        <w:rPr>
          <w:rFonts w:ascii="Calibri"/>
          <w:color w:val="595958"/>
          <w:spacing w:val="-14"/>
          <w:sz w:val="18"/>
        </w:rPr>
        <w:t> </w:t>
      </w:r>
      <w:r>
        <w:rPr>
          <w:rFonts w:ascii="Calibri"/>
          <w:color w:val="595958"/>
          <w:sz w:val="18"/>
        </w:rPr>
        <w:t>1000ft</w:t>
      </w:r>
    </w:p>
    <w:p>
      <w:pPr>
        <w:spacing w:before="2"/>
        <w:ind w:left="0" w:right="7882" w:firstLine="0"/>
        <w:jc w:val="right"/>
        <w:rPr>
          <w:rFonts w:ascii="Calibri"/>
          <w:sz w:val="18"/>
        </w:rPr>
      </w:pPr>
      <w:r>
        <w:rPr>
          <w:rFonts w:ascii="Calibri"/>
          <w:color w:val="595958"/>
          <w:sz w:val="18"/>
        </w:rPr>
        <w:t>Presence of</w:t>
      </w:r>
      <w:r>
        <w:rPr>
          <w:rFonts w:ascii="Calibri"/>
          <w:color w:val="595958"/>
          <w:spacing w:val="-8"/>
          <w:sz w:val="18"/>
        </w:rPr>
        <w:t> </w:t>
      </w:r>
      <w:r>
        <w:rPr>
          <w:rFonts w:ascii="Calibri"/>
          <w:color w:val="595958"/>
          <w:sz w:val="18"/>
        </w:rPr>
        <w:t>lighting</w:t>
      </w:r>
    </w:p>
    <w:p>
      <w:pPr>
        <w:tabs>
          <w:tab w:pos="3830" w:val="left" w:leader="none"/>
          <w:tab w:pos="4416" w:val="left" w:leader="none"/>
          <w:tab w:pos="5002" w:val="left" w:leader="none"/>
          <w:tab w:pos="5588" w:val="left" w:leader="none"/>
          <w:tab w:pos="6174" w:val="left" w:leader="none"/>
          <w:tab w:pos="6760" w:val="left" w:leader="none"/>
          <w:tab w:pos="7346" w:val="left" w:leader="none"/>
          <w:tab w:pos="7932" w:val="left" w:leader="none"/>
          <w:tab w:pos="8518" w:val="left" w:leader="none"/>
          <w:tab w:pos="9058" w:val="left" w:leader="none"/>
        </w:tabs>
        <w:spacing w:before="156"/>
        <w:ind w:left="3290" w:right="0" w:firstLine="0"/>
        <w:jc w:val="left"/>
        <w:rPr>
          <w:rFonts w:ascii="Calibri"/>
          <w:sz w:val="18"/>
        </w:rPr>
      </w:pPr>
      <w:r>
        <w:rPr>
          <w:rFonts w:ascii="Calibri"/>
          <w:color w:val="595958"/>
          <w:sz w:val="18"/>
        </w:rPr>
        <w:t>0%</w:t>
        <w:tab/>
        <w:t>10%</w:t>
        <w:tab/>
        <w:t>20%</w:t>
        <w:tab/>
        <w:t>30%</w:t>
        <w:tab/>
        <w:t>40%</w:t>
        <w:tab/>
        <w:t>50%</w:t>
        <w:tab/>
        <w:t>60%</w:t>
        <w:tab/>
        <w:t>70%</w:t>
        <w:tab/>
        <w:t>80%</w:t>
        <w:tab/>
        <w:t>90%</w:t>
        <w:tab/>
        <w:t>100%</w:t>
      </w:r>
    </w:p>
    <w:p>
      <w:pPr>
        <w:pStyle w:val="BodyText"/>
        <w:spacing w:before="8"/>
        <w:rPr>
          <w:rFonts w:ascii="Calibri"/>
          <w:sz w:val="9"/>
        </w:rPr>
      </w:pPr>
    </w:p>
    <w:p>
      <w:pPr>
        <w:tabs>
          <w:tab w:pos="465" w:val="left" w:leader="none"/>
        </w:tabs>
        <w:spacing w:before="64"/>
        <w:ind w:left="0" w:right="904" w:firstLine="0"/>
        <w:jc w:val="center"/>
        <w:rPr>
          <w:rFonts w:ascii="Calibri"/>
          <w:sz w:val="18"/>
        </w:rPr>
      </w:pPr>
      <w:r>
        <w:rPr/>
        <w:pict>
          <v:rect style="position:absolute;margin-left:286.440002pt;margin-top:6.719751pt;width:4.92pt;height:4.92pt;mso-position-horizontal-relative:page;mso-position-vertical-relative:paragraph;z-index:2416" filled="true" fillcolor="#b4c7e7" stroked="false">
            <v:fill type="solid"/>
            <w10:wrap type="none"/>
          </v:rect>
        </w:pict>
      </w:r>
      <w:r>
        <w:rPr/>
        <w:pict>
          <v:rect style="position:absolute;margin-left:309.720001pt;margin-top:6.719751pt;width:4.980pt;height:4.92pt;mso-position-horizontal-relative:page;mso-position-vertical-relative:paragraph;z-index:-256336" filled="true" fillcolor="#c55a11" stroked="false">
            <v:fill type="solid"/>
            <w10:wrap type="none"/>
          </v:rect>
        </w:pict>
      </w:r>
      <w:r>
        <w:rPr>
          <w:rFonts w:ascii="Calibri"/>
          <w:color w:val="595958"/>
          <w:sz w:val="18"/>
        </w:rPr>
        <w:t>No</w:t>
        <w:tab/>
        <w:t>Yes</w:t>
      </w:r>
    </w:p>
    <w:p>
      <w:pPr>
        <w:pStyle w:val="BodyText"/>
        <w:spacing w:before="11"/>
        <w:rPr>
          <w:rFonts w:ascii="Calibri"/>
          <w:sz w:val="27"/>
        </w:rPr>
      </w:pPr>
    </w:p>
    <w:p>
      <w:pPr>
        <w:spacing w:before="92"/>
        <w:ind w:left="1703" w:right="0" w:firstLine="0"/>
        <w:jc w:val="left"/>
        <w:rPr>
          <w:sz w:val="20"/>
        </w:rPr>
      </w:pPr>
      <w:bookmarkStart w:name="_bookmark30" w:id="163"/>
      <w:bookmarkEnd w:id="163"/>
      <w:r>
        <w:rPr/>
      </w:r>
      <w:r>
        <w:rPr>
          <w:sz w:val="20"/>
        </w:rPr>
        <w:t>Figure 4.3: Summary of Intersection Categorical Data in Each Category (No, Yes)</w:t>
      </w:r>
    </w:p>
    <w:p>
      <w:pPr>
        <w:pStyle w:val="BodyText"/>
        <w:rPr>
          <w:sz w:val="20"/>
        </w:rPr>
      </w:pPr>
    </w:p>
    <w:p>
      <w:pPr>
        <w:pStyle w:val="BodyText"/>
        <w:rPr>
          <w:sz w:val="20"/>
        </w:rPr>
      </w:pPr>
    </w:p>
    <w:p>
      <w:pPr>
        <w:pStyle w:val="BodyText"/>
        <w:rPr>
          <w:sz w:val="20"/>
        </w:rPr>
      </w:pPr>
    </w:p>
    <w:p>
      <w:pPr>
        <w:pStyle w:val="BodyText"/>
        <w:spacing w:before="3"/>
        <w:rPr>
          <w:sz w:val="17"/>
        </w:rPr>
      </w:pPr>
    </w:p>
    <w:p>
      <w:pPr>
        <w:spacing w:before="0"/>
        <w:ind w:left="813" w:right="0" w:firstLine="0"/>
        <w:jc w:val="left"/>
        <w:rPr>
          <w:rFonts w:ascii="Calibri"/>
          <w:sz w:val="18"/>
        </w:rPr>
      </w:pPr>
      <w:r>
        <w:rPr/>
        <w:pict>
          <v:group style="position:absolute;margin-left:245.999985pt;margin-top:-9.280357pt;width:326.4pt;height:198.55pt;mso-position-horizontal-relative:page;mso-position-vertical-relative:paragraph;z-index:-256312" coordorigin="4920,-186" coordsize="6528,3971">
            <v:shape style="position:absolute;left:5656;top:-186;width:562;height:794" coordorigin="5657,-186" coordsize="562,794" path="m5657,-186l5657,-2m5657,242l5657,608m6218,-186l6218,-2m6218,242l6218,608e" filled="false" stroked="true" strokeweight=".72pt" strokecolor="#dadada">
              <v:path arrowok="t"/>
              <v:stroke dashstyle="solid"/>
            </v:shape>
            <v:rect style="position:absolute;left:5095;top:-3;width:1313;height:244" filled="true" fillcolor="#4472c4" stroked="false">
              <v:fill type="solid"/>
            </v:rect>
            <v:shape style="position:absolute;left:5656;top:852;width:2;height:976" coordorigin="5657,852" coordsize="0,976" path="m5657,852l5657,1218m5657,1462l5657,1828e" filled="false" stroked="true" strokeweight=".72pt" strokecolor="#dadada">
              <v:path arrowok="t"/>
              <v:stroke dashstyle="solid"/>
            </v:shape>
            <v:shape style="position:absolute;left:5095;top:1218;width:764;height:854" coordorigin="5095,1218" coordsize="764,854" path="m5309,1828l5095,1828,5095,2072,5309,2072,5309,1828m5858,1218l5095,1218,5095,1462,5858,1462,5858,1218e" filled="true" fillcolor="#4472c4" stroked="false">
              <v:path arrowok="t"/>
              <v:fill type="solid"/>
            </v:shape>
            <v:shape style="position:absolute;left:5656;top:2071;width:2;height:977" coordorigin="5657,2072" coordsize="0,977" path="m5657,2072l5657,2438m5657,2682l5657,3048e" filled="false" stroked="true" strokeweight=".72pt" strokecolor="#dadada">
              <v:path arrowok="t"/>
              <v:stroke dashstyle="solid"/>
            </v:shape>
            <v:rect style="position:absolute;left:5095;top:2437;width:1038;height:245" filled="true" fillcolor="#4472c4" stroked="false">
              <v:fill type="solid"/>
            </v:rect>
            <v:shape style="position:absolute;left:5656;top:2682;width:4497;height:792" coordorigin="5657,2682" coordsize="4497,792" path="m5657,3292l5657,3474m6218,2682l6218,3048m6218,3292l6218,3474m6781,2682l6781,3048m6781,3292l6781,3474m7343,2682l7343,3048m7343,3292l7343,3474m7904,2682l7904,3048m7904,3292l7904,3474m8467,2682l8467,3048m8467,3292l8467,3474m9029,2682l9029,3048m9029,3292l9029,3474m9590,2682l9590,3048m9590,3292l9590,3474m10153,2682l10153,3048m10153,3292l10153,3474e" filled="false" stroked="true" strokeweight=".72pt" strokecolor="#dadada">
              <v:path arrowok="t"/>
              <v:stroke dashstyle="solid"/>
            </v:shape>
            <v:rect style="position:absolute;left:5095;top:3048;width:5254;height:244" filled="true" fillcolor="#4472c4" stroked="false">
              <v:fill type="solid"/>
            </v:rect>
            <v:rect style="position:absolute;left:10348;top:3048;width:275;height:244" filled="true" fillcolor="#ed7d31" stroked="false">
              <v:fill type="solid"/>
            </v:rect>
            <v:shape style="position:absolute;left:6218;top:2071;width:2249;height:366" coordorigin="6218,2072" coordsize="2249,366" path="m6218,2072l6218,2438m6781,2072l6781,2438m7343,2072l7343,2438m7904,2072l7904,2438m8467,2072l8467,2438e" filled="false" stroked="true" strokeweight=".72pt" strokecolor="#dadada">
              <v:path arrowok="t"/>
              <v:stroke dashstyle="solid"/>
            </v:shape>
            <v:rect style="position:absolute;left:6133;top:2437;width:2750;height:245" filled="true" fillcolor="#ed7d31" stroked="false">
              <v:fill type="solid"/>
            </v:rect>
            <v:line style="position:absolute" from="6218,1462" to="6218,1828" stroked="true" strokeweight=".72pt" strokecolor="#dadada">
              <v:stroke dashstyle="solid"/>
            </v:line>
            <v:rect style="position:absolute;left:5308;top:1828;width:977;height:244" filled="true" fillcolor="#ed7d31" stroked="false">
              <v:fill type="solid"/>
            </v:rect>
            <v:shape style="position:absolute;left:6218;top:852;width:1125;height:976" coordorigin="6218,852" coordsize="1125,976" path="m6218,852l6218,1218m6781,852l6781,1218m6781,1462l6781,1828m7343,852l7343,1218m7343,1462l7343,1828e" filled="false" stroked="true" strokeweight=".72pt" strokecolor="#dadada">
              <v:path arrowok="t"/>
              <v:stroke dashstyle="solid"/>
            </v:shape>
            <v:rect style="position:absolute;left:5858;top:1218;width:1589;height:244" filled="true" fillcolor="#ed7d31" stroked="false">
              <v:fill type="solid"/>
            </v:rect>
            <v:shape style="position:absolute;left:6781;top:241;width:1124;height:977" coordorigin="6781,242" coordsize="1124,977" path="m6781,242l6781,608m7343,242l7343,608m7904,242l7904,608m7904,852l7904,1218e" filled="false" stroked="true" strokeweight=".72pt" strokecolor="#dadada">
              <v:path arrowok="t"/>
              <v:stroke dashstyle="solid"/>
            </v:shape>
            <v:rect style="position:absolute;left:5461;top:607;width:2688;height:245" filled="true" fillcolor="#ed7d31" stroked="false">
              <v:fill type="solid"/>
            </v:rect>
            <v:shape style="position:absolute;left:6781;top:-186;width:2248;height:794" coordorigin="6781,-186" coordsize="2248,794" path="m6781,-186l6781,-2m7343,-186l7343,-2m7904,-186l7904,-2m8467,-186l8467,-2m8467,242l8467,608m9029,-186l9029,-2m9029,242l9029,608e" filled="false" stroked="true" strokeweight=".72pt" strokecolor="#dadada">
              <v:path arrowok="t"/>
              <v:stroke dashstyle="solid"/>
            </v:shape>
            <v:rect style="position:absolute;left:6408;top:-2;width:2750;height:244" filled="true" fillcolor="#ed7d31" stroked="false">
              <v:fill type="solid"/>
            </v:rect>
            <v:line style="position:absolute" from="10715,-186" to="10715,3474" stroked="true" strokeweight=".72pt" strokecolor="#dadada">
              <v:stroke dashstyle="solid"/>
            </v:line>
            <v:line style="position:absolute" from="10669,3048" to="10669,3292" stroked="true" strokeweight="4.560pt" strokecolor="#a6a6a6">
              <v:stroke dashstyle="solid"/>
            </v:line>
            <v:shape style="position:absolute;left:9028;top:2071;width:1125;height:366" coordorigin="9029,2072" coordsize="1125,366" path="m9029,2072l9029,2438m9590,2072l9590,2438m10153,2072l10153,2438e" filled="false" stroked="true" strokeweight=".72pt" strokecolor="#dadada">
              <v:path arrowok="t"/>
              <v:stroke dashstyle="solid"/>
            </v:shape>
            <v:shape style="position:absolute;left:6285;top:1828;width:4094;height:855" coordorigin="6286,1828" coordsize="4094,855" path="m7202,1828l6286,1828,6286,2072,7202,2072,7202,1828m10379,2438l8882,2438,8882,2682,10379,2682,10379,2438e" filled="true" fillcolor="#a6a6a6" stroked="false">
              <v:path arrowok="t"/>
              <v:fill type="solid"/>
            </v:shape>
            <v:line style="position:absolute" from="7904,1462" to="7904,1828" stroked="true" strokeweight=".72pt" strokecolor="#dadada">
              <v:stroke dashstyle="solid"/>
            </v:line>
            <v:rect style="position:absolute;left:7447;top:1218;width:916;height:244" filled="true" fillcolor="#a6a6a6" stroked="false">
              <v:fill type="solid"/>
            </v:rect>
            <v:line style="position:absolute" from="8467,852" to="8467,1218" stroked="true" strokeweight=".72pt" strokecolor="#dadada">
              <v:stroke dashstyle="solid"/>
            </v:line>
            <v:rect style="position:absolute;left:8149;top:607;width:642;height:245" filled="true" fillcolor="#a6a6a6" stroked="false">
              <v:fill type="solid"/>
            </v:rect>
            <v:shape style="position:absolute;left:9590;top:-186;width:2;height:794" coordorigin="9590,-186" coordsize="0,794" path="m9590,-186l9590,-2m9590,242l9590,608e" filled="false" stroked="true" strokeweight=".72pt" strokecolor="#dadada">
              <v:path arrowok="t"/>
              <v:stroke dashstyle="solid"/>
            </v:shape>
            <v:rect style="position:absolute;left:9157;top:-2;width:795;height:244" filled="true" fillcolor="#a6a6a6" stroked="false">
              <v:fill type="solid"/>
            </v:rect>
            <v:shape style="position:absolute;left:8467;top:1462;width:1124;height:366" coordorigin="8467,1462" coordsize="1124,366" path="m8467,1462l8467,1828m9029,1462l9029,1828m9590,1462l9590,1828e" filled="false" stroked="true" strokeweight=".72pt" strokecolor="#dadada">
              <v:path arrowok="t"/>
              <v:stroke dashstyle="solid"/>
            </v:shape>
            <v:rect style="position:absolute;left:7202;top:1828;width:2444;height:244" filled="true" fillcolor="#ffc000" stroked="false">
              <v:fill type="solid"/>
            </v:rect>
            <v:shape style="position:absolute;left:9028;top:852;width:1125;height:976" coordorigin="9029,852" coordsize="1125,976" path="m9029,852l9029,1218m9590,852l9590,1218m10153,852l10153,1218m10153,1462l10153,1828e" filled="false" stroked="true" strokeweight=".72pt" strokecolor="#dadada">
              <v:path arrowok="t"/>
              <v:stroke dashstyle="solid"/>
            </v:shape>
            <v:rect style="position:absolute;left:8362;top:1218;width:2352;height:244" filled="true" fillcolor="#ffc000" stroked="false">
              <v:fill type="solid"/>
            </v:rect>
            <v:line style="position:absolute" from="10153,242" to="10153,608" stroked="true" strokeweight=".72pt" strokecolor="#dadada">
              <v:stroke dashstyle="solid"/>
            </v:line>
            <v:rect style="position:absolute;left:8791;top:607;width:1343;height:245" filled="true" fillcolor="#ffc000" stroked="false">
              <v:fill type="solid"/>
            </v:rect>
            <v:line style="position:absolute" from="10153,-186" to="10153,-2" stroked="true" strokeweight=".72pt" strokecolor="#dadada">
              <v:stroke dashstyle="solid"/>
            </v:line>
            <v:rect style="position:absolute;left:9951;top:-2;width:764;height:244" filled="true" fillcolor="#ffc000" stroked="false">
              <v:fill type="solid"/>
            </v:rect>
            <v:rect style="position:absolute;left:9645;top:1828;width:1070;height:244" filled="true" fillcolor="#5b9bd5" stroked="false">
              <v:fill type="solid"/>
            </v:rect>
            <v:line style="position:absolute" from="5095,3474" to="5095,-186" stroked="true" strokeweight=".72pt" strokecolor="#dadada">
              <v:stroke dashstyle="solid"/>
            </v:line>
            <v:shape style="position:absolute;left:5484;top:-43;width:588;height:240" type="#_x0000_t75" stroked="false">
              <v:imagedata r:id="rId37" o:title=""/>
            </v:shape>
            <v:shape style="position:absolute;left:7332;top:-19;width:588;height:240" type="#_x0000_t75" stroked="false">
              <v:imagedata r:id="rId37" o:title=""/>
            </v:shape>
            <v:shape style="position:absolute;left:9264;top:-19;width:588;height:240" type="#_x0000_t75" stroked="false">
              <v:imagedata r:id="rId37" o:title=""/>
            </v:shape>
            <v:shape style="position:absolute;left:10068;top:-7;width:588;height:240" type="#_x0000_t75" stroked="false">
              <v:imagedata r:id="rId37" o:title=""/>
            </v:shape>
            <v:shape style="position:absolute;left:5088;top:1217;width:588;height:240" type="#_x0000_t75" stroked="false">
              <v:imagedata r:id="rId37" o:title=""/>
            </v:shape>
            <v:shape style="position:absolute;left:6936;top:1241;width:588;height:240" type="#_x0000_t75" stroked="false">
              <v:imagedata r:id="rId37" o:title=""/>
            </v:shape>
            <v:shape style="position:absolute;left:7800;top:1229;width:588;height:240" type="#_x0000_t75" stroked="false">
              <v:imagedata r:id="rId37" o:title=""/>
            </v:shape>
            <v:shape style="position:absolute;left:9672;top:1253;width:588;height:240" type="#_x0000_t75" stroked="false">
              <v:imagedata r:id="rId37" o:title=""/>
            </v:shape>
            <v:shape style="position:absolute;left:5112;top:569;width:588;height:240" type="#_x0000_t75" stroked="false">
              <v:imagedata r:id="rId37" o:title=""/>
            </v:shape>
            <v:shape style="position:absolute;left:6396;top:593;width:588;height:240" type="#_x0000_t75" stroked="false">
              <v:imagedata r:id="rId37" o:title=""/>
            </v:shape>
            <v:shape style="position:absolute;left:8232;top:593;width:588;height:240" type="#_x0000_t75" stroked="false">
              <v:imagedata r:id="rId37" o:title=""/>
            </v:shape>
            <v:shape style="position:absolute;left:9264;top:593;width:588;height:240" type="#_x0000_t75" stroked="false">
              <v:imagedata r:id="rId37" o:title=""/>
            </v:shape>
            <v:shape style="position:absolute;left:10134;top:593;width:942;height:288" type="#_x0000_t75" stroked="false">
              <v:imagedata r:id="rId38" o:title=""/>
            </v:shape>
            <v:shape style="position:absolute;left:4920;top:1805;width:588;height:240" type="#_x0000_t75" stroked="false">
              <v:imagedata r:id="rId37" o:title=""/>
            </v:shape>
            <v:shape style="position:absolute;left:5676;top:1817;width:588;height:240" type="#_x0000_t75" stroked="false">
              <v:imagedata r:id="rId37" o:title=""/>
            </v:shape>
            <v:shape style="position:absolute;left:6612;top:1805;width:588;height:240" type="#_x0000_t75" stroked="false">
              <v:imagedata r:id="rId37" o:title=""/>
            </v:shape>
            <v:shape style="position:absolute;left:8136;top:1817;width:588;height:240" type="#_x0000_t75" stroked="false">
              <v:imagedata r:id="rId37" o:title=""/>
            </v:shape>
            <v:shape style="position:absolute;left:10020;top:1829;width:864;height:288" type="#_x0000_t75" stroked="false">
              <v:imagedata r:id="rId39" o:title=""/>
            </v:shape>
            <v:shape style="position:absolute;left:5436;top:2465;width:588;height:240" type="#_x0000_t75" stroked="false">
              <v:imagedata r:id="rId37" o:title=""/>
            </v:shape>
            <v:shape style="position:absolute;left:7092;top:2441;width:588;height:240" type="#_x0000_t75" stroked="false">
              <v:imagedata r:id="rId37" o:title=""/>
            </v:shape>
            <v:shape style="position:absolute;left:9444;top:2441;width:588;height:240" type="#_x0000_t75" stroked="false">
              <v:imagedata r:id="rId37" o:title=""/>
            </v:shape>
            <v:shape style="position:absolute;left:10212;top:2429;width:588;height:254" type="#_x0000_t75" stroked="false">
              <v:imagedata r:id="rId40" o:title=""/>
            </v:shape>
            <v:shape style="position:absolute;left:6600;top:3029;width:1080;height:300" type="#_x0000_t75" stroked="false">
              <v:imagedata r:id="rId41" o:title=""/>
            </v:shape>
            <v:shape style="position:absolute;left:9684;top:3017;width:1764;height:768" type="#_x0000_t75" stroked="false">
              <v:imagedata r:id="rId42" o:title=""/>
            </v:shape>
            <w10:wrap type="none"/>
          </v:group>
        </w:pict>
      </w:r>
      <w:r>
        <w:rPr/>
        <w:pict>
          <v:shape style="position:absolute;margin-left:497.579987pt;margin-top:-.100358pt;width:37.8pt;height:12.2pt;mso-position-horizontal-relative:page;mso-position-vertical-relative:paragraph;z-index:2920" type="#_x0000_t202" filled="false" stroked="false">
            <v:textbox inset="0,0,0,0">
              <w:txbxContent>
                <w:p>
                  <w:pPr>
                    <w:pStyle w:val="BodyText"/>
                    <w:spacing w:line="244" w:lineRule="exact"/>
                    <w:ind w:left="260"/>
                  </w:pPr>
                  <w:r>
                    <w:rPr/>
                    <w:t>&gt;4</w:t>
                  </w:r>
                </w:p>
              </w:txbxContent>
            </v:textbox>
            <w10:wrap type="none"/>
          </v:shape>
        </w:pict>
      </w:r>
      <w:r>
        <w:rPr/>
        <w:pict>
          <v:shape style="position:absolute;margin-left:457.859985pt;margin-top:-.100358pt;width:39.75pt;height:12.2pt;mso-position-horizontal-relative:page;mso-position-vertical-relative:paragraph;z-index:2944" type="#_x0000_t202" filled="false" stroked="false">
            <v:textbox inset="0,0,0,0">
              <w:txbxContent>
                <w:p>
                  <w:pPr>
                    <w:pStyle w:val="BodyText"/>
                    <w:spacing w:line="244" w:lineRule="exact"/>
                    <w:ind w:left="250"/>
                  </w:pPr>
                  <w:r>
                    <w:rPr/>
                    <w:t>4</w:t>
                  </w:r>
                </w:p>
              </w:txbxContent>
            </v:textbox>
            <w10:wrap type="none"/>
          </v:shape>
        </w:pict>
      </w:r>
      <w:r>
        <w:rPr/>
        <w:pict>
          <v:shape style="position:absolute;margin-left:320.399994pt;margin-top:-.100358pt;width:137.5pt;height:12.2pt;mso-position-horizontal-relative:page;mso-position-vertical-relative:paragraph;z-index:2968" type="#_x0000_t202" filled="false" stroked="false">
            <v:textbox inset="0,0,0,0">
              <w:txbxContent>
                <w:p>
                  <w:pPr>
                    <w:pStyle w:val="BodyText"/>
                    <w:spacing w:line="244" w:lineRule="exact"/>
                    <w:ind w:right="491"/>
                    <w:jc w:val="center"/>
                  </w:pPr>
                  <w:r>
                    <w:rPr/>
                    <w:t>3</w:t>
                  </w:r>
                </w:p>
              </w:txbxContent>
            </v:textbox>
            <w10:wrap type="none"/>
          </v:shape>
        </w:pict>
      </w:r>
      <w:r>
        <w:rPr/>
        <w:pict>
          <v:shape style="position:absolute;margin-left:255.119995pt;margin-top:-.100358pt;width:65.3pt;height:12.2pt;mso-position-horizontal-relative:page;mso-position-vertical-relative:paragraph;z-index:2992" type="#_x0000_t202" filled="false" stroked="false">
            <v:textbox inset="0,0,0,0">
              <w:txbxContent>
                <w:p>
                  <w:pPr>
                    <w:pStyle w:val="BodyText"/>
                    <w:spacing w:line="232" w:lineRule="exact"/>
                    <w:ind w:right="132"/>
                    <w:jc w:val="center"/>
                  </w:pPr>
                  <w:r>
                    <w:rPr/>
                    <w:t>2</w:t>
                  </w:r>
                </w:p>
              </w:txbxContent>
            </v:textbox>
            <w10:wrap type="none"/>
          </v:shape>
        </w:pict>
      </w:r>
      <w:r>
        <w:rPr>
          <w:rFonts w:ascii="Calibri"/>
          <w:color w:val="595958"/>
          <w:sz w:val="18"/>
        </w:rPr>
        <w:t>Minor road. Total number of traffic</w:t>
      </w:r>
      <w:r>
        <w:rPr>
          <w:rFonts w:ascii="Calibri"/>
          <w:color w:val="595958"/>
          <w:spacing w:val="-15"/>
          <w:sz w:val="18"/>
        </w:rPr>
        <w:t> </w:t>
      </w:r>
      <w:r>
        <w:rPr>
          <w:rFonts w:ascii="Calibri"/>
          <w:color w:val="595958"/>
          <w:sz w:val="18"/>
        </w:rPr>
        <w:t>lanes</w:t>
      </w:r>
    </w:p>
    <w:p>
      <w:pPr>
        <w:pStyle w:val="BodyText"/>
        <w:spacing w:before="10"/>
        <w:rPr>
          <w:rFonts w:ascii="Calibri"/>
          <w:sz w:val="26"/>
        </w:rPr>
      </w:pPr>
    </w:p>
    <w:p>
      <w:pPr>
        <w:spacing w:before="63"/>
        <w:ind w:left="1543" w:right="0" w:firstLine="0"/>
        <w:jc w:val="left"/>
        <w:rPr>
          <w:rFonts w:ascii="Calibri"/>
          <w:sz w:val="18"/>
        </w:rPr>
      </w:pPr>
      <w:r>
        <w:rPr/>
        <w:pict>
          <v:shape style="position:absolute;margin-left:439.559998pt;margin-top:3.028635pt;width:68.1pt;height:12.25pt;mso-position-horizontal-relative:page;mso-position-vertical-relative:paragraph;z-index:2776" type="#_x0000_t202" filled="false" stroked="false">
            <v:textbox inset="0,0,0,0">
              <w:txbxContent>
                <w:p>
                  <w:pPr>
                    <w:pStyle w:val="BodyText"/>
                    <w:spacing w:line="245" w:lineRule="exact"/>
                    <w:ind w:left="596" w:right="485"/>
                    <w:jc w:val="center"/>
                  </w:pPr>
                  <w:r>
                    <w:rPr/>
                    <w:t>35</w:t>
                  </w:r>
                </w:p>
              </w:txbxContent>
            </v:textbox>
            <w10:wrap type="none"/>
          </v:shape>
        </w:pict>
      </w:r>
      <w:r>
        <w:rPr/>
        <w:pict>
          <v:shape style="position:absolute;margin-left:407.459991pt;margin-top:3.028635pt;width:32.1pt;height:12.25pt;mso-position-horizontal-relative:page;mso-position-vertical-relative:paragraph;z-index:2800" type="#_x0000_t202" filled="false" stroked="false">
            <v:textbox inset="0,0,0,0">
              <w:txbxContent>
                <w:p>
                  <w:pPr>
                    <w:pStyle w:val="BodyText"/>
                    <w:spacing w:line="245" w:lineRule="exact"/>
                    <w:ind w:left="226"/>
                  </w:pPr>
                  <w:r>
                    <w:rPr/>
                    <w:t>30</w:t>
                  </w:r>
                </w:p>
              </w:txbxContent>
            </v:textbox>
            <w10:wrap type="none"/>
          </v:shape>
        </w:pict>
      </w:r>
      <w:r>
        <w:rPr/>
        <w:pict>
          <v:shape style="position:absolute;margin-left:327pt;margin-top:2.655276pt;width:13pt;height:13.3pt;mso-position-horizontal-relative:page;mso-position-vertical-relative:paragraph;z-index:2824" type="#_x0000_t202" filled="false" stroked="false">
            <v:textbox inset="0,0,0,0">
              <w:txbxContent>
                <w:p>
                  <w:pPr>
                    <w:pStyle w:val="BodyText"/>
                    <w:spacing w:line="266" w:lineRule="exact"/>
                  </w:pPr>
                  <w:r>
                    <w:rPr/>
                    <w:t>25</w:t>
                  </w:r>
                </w:p>
              </w:txbxContent>
            </v:textbox>
            <w10:wrap type="none"/>
          </v:shape>
        </w:pict>
      </w:r>
      <w:r>
        <w:rPr/>
        <w:pict>
          <v:shape style="position:absolute;margin-left:268.799988pt;margin-top:1.455276pt;width:7pt;height:13.3pt;mso-position-horizontal-relative:page;mso-position-vertical-relative:paragraph;z-index:2848" type="#_x0000_t202" filled="false" stroked="false">
            <v:textbox inset="0,0,0,0">
              <w:txbxContent>
                <w:p>
                  <w:pPr>
                    <w:pStyle w:val="BodyText"/>
                    <w:spacing w:line="266" w:lineRule="exact"/>
                  </w:pPr>
                  <w:r>
                    <w:rPr/>
                    <w:t>0</w:t>
                  </w:r>
                </w:p>
              </w:txbxContent>
            </v:textbox>
            <w10:wrap type="none"/>
          </v:shape>
        </w:pict>
      </w:r>
      <w:r>
        <w:rPr/>
        <w:pict>
          <v:shape style="position:absolute;margin-left:255.119995pt;margin-top:3.028635pt;width:17.95pt;height:12.25pt;mso-position-horizontal-relative:page;mso-position-vertical-relative:paragraph;z-index:2872" type="#_x0000_t202" filled="true" fillcolor="#4472c4" stroked="false">
            <v:textbox inset="0,0,0,0">
              <w:txbxContent>
                <w:p>
                  <w:pPr>
                    <w:pStyle w:val="BodyText"/>
                    <w:spacing w:line="234" w:lineRule="exact"/>
                    <w:ind w:left="153"/>
                  </w:pPr>
                  <w:r>
                    <w:rPr/>
                    <w:t>2</w:t>
                  </w:r>
                </w:p>
              </w:txbxContent>
            </v:textbox>
            <v:fill type="solid"/>
            <w10:wrap type="none"/>
          </v:shape>
        </w:pict>
      </w:r>
      <w:r>
        <w:rPr/>
        <w:pict>
          <v:shape style="position:absolute;margin-left:508.019989pt;margin-top:-15.271365pt;width:27.4pt;height:48.85pt;mso-position-horizontal-relative:page;mso-position-vertical-relative:paragraph;z-index:2896" type="#_x0000_t202" filled="false" stroked="false">
            <v:textbox inset="0,0,0,0">
              <w:txbxContent>
                <w:p>
                  <w:pPr>
                    <w:pStyle w:val="BodyText"/>
                    <w:spacing w:before="8"/>
                    <w:rPr>
                      <w:sz w:val="30"/>
                    </w:rPr>
                  </w:pPr>
                </w:p>
                <w:p>
                  <w:pPr>
                    <w:pStyle w:val="BodyText"/>
                    <w:ind w:left="195" w:right="-29"/>
                  </w:pPr>
                  <w:r>
                    <w:rPr/>
                    <w:t>&gt;35</w:t>
                  </w:r>
                </w:p>
              </w:txbxContent>
            </v:textbox>
            <w10:wrap type="none"/>
          </v:shape>
        </w:pict>
      </w:r>
      <w:r>
        <w:rPr>
          <w:rFonts w:ascii="Calibri"/>
          <w:color w:val="595958"/>
          <w:sz w:val="18"/>
        </w:rPr>
        <w:t>Minor road. Posted speed</w:t>
      </w:r>
      <w:r>
        <w:rPr>
          <w:rFonts w:ascii="Calibri"/>
          <w:color w:val="595958"/>
          <w:spacing w:val="-12"/>
          <w:sz w:val="18"/>
        </w:rPr>
        <w:t> </w:t>
      </w:r>
      <w:r>
        <w:rPr>
          <w:rFonts w:ascii="Calibri"/>
          <w:color w:val="595958"/>
          <w:sz w:val="18"/>
        </w:rPr>
        <w:t>limit</w:t>
      </w:r>
    </w:p>
    <w:p>
      <w:pPr>
        <w:pStyle w:val="BodyText"/>
        <w:spacing w:before="9"/>
        <w:rPr>
          <w:rFonts w:ascii="Calibri"/>
          <w:sz w:val="26"/>
        </w:rPr>
      </w:pPr>
    </w:p>
    <w:p>
      <w:pPr>
        <w:spacing w:before="64"/>
        <w:ind w:left="819" w:right="0" w:firstLine="0"/>
        <w:jc w:val="left"/>
        <w:rPr>
          <w:rFonts w:ascii="Calibri"/>
          <w:sz w:val="18"/>
        </w:rPr>
      </w:pPr>
      <w:r>
        <w:rPr/>
        <w:pict>
          <v:shape style="position:absolute;margin-left:418.140015pt;margin-top:3.117643pt;width:117.25pt;height:12.2pt;mso-position-horizontal-relative:page;mso-position-vertical-relative:paragraph;z-index:2680" type="#_x0000_t202" filled="false" stroked="false">
            <v:textbox inset="0,0,0,0">
              <w:txbxContent>
                <w:p>
                  <w:pPr>
                    <w:pStyle w:val="BodyText"/>
                    <w:spacing w:line="212" w:lineRule="exact" w:before="31"/>
                    <w:ind w:left="1453"/>
                  </w:pPr>
                  <w:r>
                    <w:rPr/>
                    <w:t>&gt;4</w:t>
                  </w:r>
                </w:p>
              </w:txbxContent>
            </v:textbox>
            <w10:wrap type="none"/>
          </v:shape>
        </w:pict>
      </w:r>
      <w:r>
        <w:rPr/>
        <w:pict>
          <v:shape style="position:absolute;margin-left:372.359985pt;margin-top:3.117643pt;width:45.8pt;height:12.2pt;mso-position-horizontal-relative:page;mso-position-vertical-relative:paragraph;z-index:2704" type="#_x0000_t202" filled="false" stroked="false">
            <v:textbox inset="0,0,0,0">
              <w:txbxContent>
                <w:p>
                  <w:pPr>
                    <w:pStyle w:val="BodyText"/>
                    <w:spacing w:line="236" w:lineRule="exact" w:before="7"/>
                    <w:ind w:left="496"/>
                  </w:pPr>
                  <w:r>
                    <w:rPr/>
                    <w:t>4</w:t>
                  </w:r>
                </w:p>
              </w:txbxContent>
            </v:textbox>
            <w10:wrap type="none"/>
          </v:shape>
        </w:pict>
      </w:r>
      <w:r>
        <w:rPr/>
        <w:pict>
          <v:shape style="position:absolute;margin-left:292.920013pt;margin-top:3.117643pt;width:79.45pt;height:12.2pt;mso-position-horizontal-relative:page;mso-position-vertical-relative:paragraph;z-index:2728" type="#_x0000_t202" filled="false" stroked="false">
            <v:textbox inset="0,0,0,0">
              <w:txbxContent>
                <w:p>
                  <w:pPr>
                    <w:pStyle w:val="BodyText"/>
                    <w:spacing w:line="224" w:lineRule="exact" w:before="19"/>
                    <w:ind w:right="245"/>
                    <w:jc w:val="right"/>
                  </w:pPr>
                  <w:r>
                    <w:rPr/>
                    <w:t>3</w:t>
                  </w:r>
                </w:p>
              </w:txbxContent>
            </v:textbox>
            <w10:wrap type="none"/>
          </v:shape>
        </w:pict>
      </w:r>
      <w:r>
        <w:rPr/>
        <w:pict>
          <v:shape style="position:absolute;margin-left:255.119995pt;margin-top:3.117643pt;width:37.8pt;height:12.2pt;mso-position-horizontal-relative:page;mso-position-vertical-relative:paragraph;z-index:2752" type="#_x0000_t202" filled="false" stroked="false">
            <v:textbox inset="0,0,0,0">
              <w:txbxContent>
                <w:p>
                  <w:pPr>
                    <w:pStyle w:val="BodyText"/>
                    <w:spacing w:line="244" w:lineRule="exact"/>
                    <w:ind w:left="129"/>
                  </w:pPr>
                  <w:r>
                    <w:rPr/>
                    <w:t>2</w:t>
                  </w:r>
                </w:p>
              </w:txbxContent>
            </v:textbox>
            <w10:wrap type="none"/>
          </v:shape>
        </w:pict>
      </w:r>
      <w:r>
        <w:rPr>
          <w:rFonts w:ascii="Calibri"/>
          <w:color w:val="595958"/>
          <w:sz w:val="18"/>
        </w:rPr>
        <w:t>Major road. Total number of traffic</w:t>
      </w:r>
      <w:r>
        <w:rPr>
          <w:rFonts w:ascii="Calibri"/>
          <w:color w:val="595958"/>
          <w:spacing w:val="-17"/>
          <w:sz w:val="18"/>
        </w:rPr>
        <w:t> </w:t>
      </w:r>
      <w:r>
        <w:rPr>
          <w:rFonts w:ascii="Calibri"/>
          <w:color w:val="595958"/>
          <w:sz w:val="18"/>
        </w:rPr>
        <w:t>lanes</w:t>
      </w:r>
    </w:p>
    <w:p>
      <w:pPr>
        <w:pStyle w:val="BodyText"/>
        <w:rPr>
          <w:rFonts w:ascii="Calibri"/>
          <w:sz w:val="18"/>
        </w:rPr>
      </w:pPr>
    </w:p>
    <w:p>
      <w:pPr>
        <w:spacing w:before="138"/>
        <w:ind w:left="1550" w:right="0" w:firstLine="0"/>
        <w:jc w:val="left"/>
        <w:rPr>
          <w:sz w:val="24"/>
        </w:rPr>
      </w:pPr>
      <w:r>
        <w:rPr/>
        <w:pict>
          <v:shape style="position:absolute;margin-left:306.660004pt;margin-top:38.910427pt;width:137.5pt;height:12.25pt;mso-position-horizontal-relative:page;mso-position-vertical-relative:paragraph;z-index:2536" type="#_x0000_t202" filled="false" stroked="false">
            <v:textbox inset="0,0,0,0">
              <w:txbxContent>
                <w:p>
                  <w:pPr>
                    <w:pStyle w:val="BodyText"/>
                    <w:spacing w:line="244" w:lineRule="exact"/>
                    <w:ind w:right="421"/>
                    <w:jc w:val="center"/>
                  </w:pPr>
                  <w:r>
                    <w:rPr/>
                    <w:t>1</w:t>
                  </w:r>
                </w:p>
              </w:txbxContent>
            </v:textbox>
            <w10:wrap type="none"/>
          </v:shape>
        </w:pict>
      </w:r>
      <w:r>
        <w:rPr/>
        <w:pict>
          <v:shape style="position:absolute;margin-left:479.519989pt;margin-top:8.430426pt;width:55.9pt;height:12.2pt;mso-position-horizontal-relative:page;mso-position-vertical-relative:paragraph;z-index:2584" type="#_x0000_t202" filled="false" stroked="false">
            <v:textbox inset="0,0,0,0">
              <w:txbxContent>
                <w:p>
                  <w:pPr>
                    <w:pStyle w:val="BodyText"/>
                    <w:spacing w:line="241" w:lineRule="exact" w:before="2"/>
                    <w:ind w:left="573"/>
                  </w:pPr>
                  <w:r>
                    <w:rPr/>
                    <w:t>&gt;35</w:t>
                  </w:r>
                </w:p>
              </w:txbxContent>
            </v:textbox>
            <w10:wrap type="none"/>
          </v:shape>
        </w:pict>
      </w:r>
      <w:r>
        <w:rPr/>
        <w:pict>
          <v:shape style="position:absolute;margin-left:360.119995pt;margin-top:8.430426pt;width:119.4pt;height:12.2pt;mso-position-horizontal-relative:page;mso-position-vertical-relative:paragraph;z-index:2608" type="#_x0000_t202" filled="false" stroked="false">
            <v:textbox inset="0,0,0,0">
              <w:txbxContent>
                <w:p>
                  <w:pPr>
                    <w:pStyle w:val="BodyText"/>
                    <w:spacing w:line="244" w:lineRule="exact"/>
                    <w:ind w:left="1057" w:right="1050"/>
                    <w:jc w:val="center"/>
                  </w:pPr>
                  <w:r>
                    <w:rPr/>
                    <w:t>35</w:t>
                  </w:r>
                </w:p>
              </w:txbxContent>
            </v:textbox>
            <w10:wrap type="none"/>
          </v:shape>
        </w:pict>
      </w:r>
      <w:r>
        <w:rPr/>
        <w:pict>
          <v:shape style="position:absolute;margin-left:310.920013pt;margin-top:8.430426pt;width:49.2pt;height:12.2pt;mso-position-horizontal-relative:page;mso-position-vertical-relative:paragraph;z-index:2632" type="#_x0000_t202" filled="false" stroked="false">
            <v:textbox inset="0,0,0,0">
              <w:txbxContent>
                <w:p>
                  <w:pPr>
                    <w:pStyle w:val="BodyText"/>
                    <w:spacing w:line="244" w:lineRule="exact"/>
                    <w:ind w:left="537"/>
                  </w:pPr>
                  <w:r>
                    <w:rPr/>
                    <w:t>30</w:t>
                  </w:r>
                </w:p>
              </w:txbxContent>
            </v:textbox>
            <w10:wrap type="none"/>
          </v:shape>
        </w:pict>
      </w:r>
      <w:r>
        <w:rPr/>
        <w:pict>
          <v:shape style="position:absolute;margin-left:265.440002pt;margin-top:8.430426pt;width:45.5pt;height:12.2pt;mso-position-horizontal-relative:page;mso-position-vertical-relative:paragraph;z-index:2656" type="#_x0000_t202" filled="false" stroked="false">
            <v:textbox inset="0,0,0,0">
              <w:txbxContent>
                <w:p>
                  <w:pPr>
                    <w:pStyle w:val="BodyText"/>
                    <w:spacing w:line="244" w:lineRule="exact"/>
                    <w:ind w:left="511"/>
                  </w:pPr>
                  <w:r>
                    <w:rPr/>
                    <w:t>25</w:t>
                  </w:r>
                </w:p>
              </w:txbxContent>
            </v:textbox>
            <w10:wrap type="none"/>
          </v:shape>
        </w:pict>
      </w:r>
      <w:r>
        <w:rPr>
          <w:rFonts w:ascii="Calibri"/>
          <w:color w:val="595958"/>
          <w:sz w:val="18"/>
        </w:rPr>
        <w:t>Major road. Posted speed limit </w:t>
      </w:r>
      <w:r>
        <w:rPr>
          <w:position w:val="-1"/>
          <w:sz w:val="24"/>
        </w:rPr>
        <w:t>20</w:t>
      </w:r>
    </w:p>
    <w:p>
      <w:pPr>
        <w:pStyle w:val="BodyText"/>
        <w:spacing w:before="10"/>
        <w:rPr>
          <w:sz w:val="22"/>
        </w:rPr>
      </w:pPr>
    </w:p>
    <w:p>
      <w:pPr>
        <w:spacing w:after="0"/>
        <w:rPr>
          <w:sz w:val="22"/>
        </w:rPr>
        <w:sectPr>
          <w:pgSz w:w="12240" w:h="15840"/>
          <w:pgMar w:header="0" w:footer="709" w:top="1000" w:bottom="980" w:left="1120" w:right="0"/>
        </w:sectPr>
      </w:pPr>
    </w:p>
    <w:p>
      <w:pPr>
        <w:spacing w:before="104"/>
        <w:ind w:left="449" w:right="0" w:firstLine="0"/>
        <w:jc w:val="left"/>
        <w:rPr>
          <w:rFonts w:ascii="Calibri"/>
          <w:sz w:val="18"/>
        </w:rPr>
      </w:pPr>
      <w:r>
        <w:rPr/>
        <w:pict>
          <v:shape style="position:absolute;margin-left:255.119995pt;margin-top:5.075629pt;width:51.55pt;height:12.25pt;mso-position-horizontal-relative:page;mso-position-vertical-relative:paragraph;z-index:2560" type="#_x0000_t202" filled="false" stroked="false">
            <v:textbox inset="0,0,0,0">
              <w:txbxContent>
                <w:p>
                  <w:pPr>
                    <w:pStyle w:val="BodyText"/>
                    <w:spacing w:line="220" w:lineRule="exact" w:before="24"/>
                    <w:ind w:left="44"/>
                    <w:jc w:val="center"/>
                  </w:pPr>
                  <w:r>
                    <w:rPr/>
                    <w:t>0</w:t>
                  </w:r>
                </w:p>
              </w:txbxContent>
            </v:textbox>
            <w10:wrap type="none"/>
          </v:shape>
        </w:pict>
      </w:r>
      <w:r>
        <w:rPr>
          <w:rFonts w:ascii="Calibri"/>
          <w:color w:val="595958"/>
          <w:sz w:val="18"/>
        </w:rPr>
        <w:t>Number of transit go through the intersection</w:t>
      </w:r>
    </w:p>
    <w:p>
      <w:pPr>
        <w:pStyle w:val="BodyText"/>
        <w:tabs>
          <w:tab w:pos="1217" w:val="left" w:leader="none"/>
        </w:tabs>
        <w:spacing w:before="92"/>
        <w:ind w:left="449"/>
      </w:pPr>
      <w:r>
        <w:rPr/>
        <w:br w:type="column"/>
      </w:r>
      <w:r>
        <w:rPr/>
        <w:t>2</w:t>
        <w:tab/>
      </w:r>
      <w:r>
        <w:rPr>
          <w:position w:val="1"/>
        </w:rPr>
        <w:t>&gt;2</w:t>
      </w:r>
    </w:p>
    <w:p>
      <w:pPr>
        <w:spacing w:after="0"/>
        <w:sectPr>
          <w:type w:val="continuous"/>
          <w:pgSz w:w="12240" w:h="15840"/>
          <w:pgMar w:top="1500" w:bottom="280" w:left="1120" w:right="0"/>
          <w:cols w:num="2" w:equalWidth="0">
            <w:col w:w="3848" w:space="4170"/>
            <w:col w:w="3102"/>
          </w:cols>
        </w:sectPr>
      </w:pPr>
    </w:p>
    <w:p>
      <w:pPr>
        <w:pStyle w:val="BodyText"/>
        <w:spacing w:before="3"/>
        <w:rPr>
          <w:sz w:val="18"/>
        </w:rPr>
      </w:pPr>
    </w:p>
    <w:p>
      <w:pPr>
        <w:spacing w:after="0"/>
        <w:rPr>
          <w:sz w:val="18"/>
        </w:rPr>
        <w:sectPr>
          <w:type w:val="continuous"/>
          <w:pgSz w:w="12240" w:h="15840"/>
          <w:pgMar w:top="1500" w:bottom="280" w:left="1120" w:right="0"/>
        </w:sectPr>
      </w:pPr>
    </w:p>
    <w:p>
      <w:pPr>
        <w:spacing w:before="126"/>
        <w:ind w:left="2221" w:right="0" w:firstLine="0"/>
        <w:jc w:val="left"/>
        <w:rPr>
          <w:rFonts w:ascii="Calibri"/>
          <w:sz w:val="18"/>
        </w:rPr>
      </w:pPr>
      <w:r>
        <w:rPr>
          <w:rFonts w:ascii="Calibri"/>
          <w:color w:val="595958"/>
          <w:sz w:val="18"/>
        </w:rPr>
        <w:t>Type of traffic control</w:t>
      </w:r>
    </w:p>
    <w:p>
      <w:pPr>
        <w:pStyle w:val="BodyText"/>
        <w:spacing w:line="244" w:lineRule="auto" w:before="90"/>
        <w:ind w:left="4859" w:firstLine="479"/>
      </w:pPr>
      <w:r>
        <w:rPr/>
        <w:br w:type="column"/>
      </w:r>
      <w:r>
        <w:rPr/>
        <w:t>y stop </w:t>
      </w:r>
      <w:r>
        <w:rPr>
          <w:spacing w:val="-6"/>
        </w:rPr>
        <w:t>and </w:t>
      </w:r>
      <w:r>
        <w:rPr/>
        <w:t>roundabout</w:t>
      </w:r>
    </w:p>
    <w:p>
      <w:pPr>
        <w:tabs>
          <w:tab w:pos="533" w:val="left" w:leader="none"/>
          <w:tab w:pos="1095" w:val="left" w:leader="none"/>
          <w:tab w:pos="1657" w:val="left" w:leader="none"/>
          <w:tab w:pos="2219" w:val="left" w:leader="none"/>
          <w:tab w:pos="2781" w:val="left" w:leader="none"/>
          <w:tab w:pos="3343" w:val="left" w:leader="none"/>
          <w:tab w:pos="3905" w:val="left" w:leader="none"/>
          <w:tab w:pos="4466" w:val="left" w:leader="none"/>
          <w:tab w:pos="5028" w:val="left" w:leader="none"/>
          <w:tab w:pos="5545" w:val="left" w:leader="none"/>
        </w:tabs>
        <w:spacing w:before="12"/>
        <w:ind w:left="16" w:right="0" w:firstLine="0"/>
        <w:jc w:val="left"/>
        <w:rPr>
          <w:rFonts w:ascii="Calibri"/>
          <w:sz w:val="18"/>
        </w:rPr>
      </w:pPr>
      <w:r>
        <w:rPr/>
        <w:pict>
          <v:shape style="position:absolute;margin-left:491.399994pt;margin-top:-27.653725pt;width:25pt;height:13.3pt;mso-position-horizontal-relative:page;mso-position-vertical-relative:paragraph;z-index:-256288" type="#_x0000_t202" filled="false" stroked="false">
            <v:textbox inset="0,0,0,0">
              <w:txbxContent>
                <w:p>
                  <w:pPr>
                    <w:pStyle w:val="BodyText"/>
                    <w:spacing w:line="266" w:lineRule="exact"/>
                  </w:pPr>
                  <w:r>
                    <w:rPr/>
                    <w:t>4-wa</w:t>
                  </w:r>
                </w:p>
              </w:txbxContent>
            </v:textbox>
            <w10:wrap type="none"/>
          </v:shape>
        </w:pict>
      </w:r>
      <w:r>
        <w:rPr/>
        <w:pict>
          <v:shape style="position:absolute;margin-left:337.200012pt;margin-top:-26.813725pt;width:31.7pt;height:13.3pt;mso-position-horizontal-relative:page;mso-position-vertical-relative:paragraph;z-index:2512" type="#_x0000_t202" filled="false" stroked="false">
            <v:textbox inset="0,0,0,0">
              <w:txbxContent>
                <w:p>
                  <w:pPr>
                    <w:pStyle w:val="BodyText"/>
                    <w:spacing w:line="266" w:lineRule="exact"/>
                  </w:pPr>
                  <w:r>
                    <w:rPr/>
                    <w:t>Signal</w:t>
                  </w:r>
                </w:p>
              </w:txbxContent>
            </v:textbox>
            <w10:wrap type="none"/>
          </v:shape>
        </w:pict>
      </w:r>
      <w:r>
        <w:rPr>
          <w:rFonts w:ascii="Calibri"/>
          <w:color w:val="595958"/>
          <w:sz w:val="18"/>
        </w:rPr>
        <w:t>0%</w:t>
        <w:tab/>
        <w:t>10%</w:t>
        <w:tab/>
        <w:t>20%</w:t>
        <w:tab/>
        <w:t>30%</w:t>
        <w:tab/>
        <w:t>40%</w:t>
        <w:tab/>
        <w:t>50%</w:t>
        <w:tab/>
        <w:t>60%</w:t>
        <w:tab/>
        <w:t>70%</w:t>
        <w:tab/>
        <w:t>80%</w:t>
        <w:tab/>
        <w:t>90%</w:t>
        <w:tab/>
        <w:t>100%</w:t>
      </w:r>
    </w:p>
    <w:p>
      <w:pPr>
        <w:spacing w:after="0"/>
        <w:jc w:val="left"/>
        <w:rPr>
          <w:rFonts w:ascii="Calibri"/>
          <w:sz w:val="18"/>
        </w:rPr>
        <w:sectPr>
          <w:type w:val="continuous"/>
          <w:pgSz w:w="12240" w:h="15840"/>
          <w:pgMar w:top="1500" w:bottom="280" w:left="1120" w:right="0"/>
          <w:cols w:num="2" w:equalWidth="0">
            <w:col w:w="3809" w:space="40"/>
            <w:col w:w="7271"/>
          </w:cols>
        </w:sectPr>
      </w:pPr>
    </w:p>
    <w:p>
      <w:pPr>
        <w:pStyle w:val="BodyText"/>
        <w:rPr>
          <w:rFonts w:ascii="Calibri"/>
          <w:sz w:val="20"/>
        </w:rPr>
      </w:pPr>
    </w:p>
    <w:p>
      <w:pPr>
        <w:pStyle w:val="BodyText"/>
        <w:spacing w:before="7"/>
        <w:rPr>
          <w:rFonts w:ascii="Calibri"/>
          <w:sz w:val="25"/>
        </w:rPr>
      </w:pPr>
    </w:p>
    <w:p>
      <w:pPr>
        <w:spacing w:before="93"/>
        <w:ind w:left="2555" w:right="0" w:firstLine="0"/>
        <w:jc w:val="left"/>
        <w:rPr>
          <w:sz w:val="20"/>
        </w:rPr>
      </w:pPr>
      <w:bookmarkStart w:name="_bookmark31" w:id="164"/>
      <w:bookmarkEnd w:id="164"/>
      <w:r>
        <w:rPr/>
      </w:r>
      <w:r>
        <w:rPr>
          <w:sz w:val="20"/>
        </w:rPr>
        <w:t>Figure 4.4: Summary of Intersection Categorical Data, Part 2</w:t>
      </w:r>
    </w:p>
    <w:p>
      <w:pPr>
        <w:spacing w:after="0"/>
        <w:jc w:val="left"/>
        <w:rPr>
          <w:sz w:val="20"/>
        </w:rPr>
        <w:sectPr>
          <w:type w:val="continuous"/>
          <w:pgSz w:w="12240" w:h="15840"/>
          <w:pgMar w:top="1500" w:bottom="280" w:left="1120" w:right="0"/>
        </w:sectPr>
      </w:pPr>
    </w:p>
    <w:p>
      <w:pPr>
        <w:pStyle w:val="Heading3"/>
        <w:numPr>
          <w:ilvl w:val="1"/>
          <w:numId w:val="28"/>
        </w:numPr>
        <w:tabs>
          <w:tab w:pos="1039" w:val="left" w:leader="none"/>
          <w:tab w:pos="1040" w:val="left" w:leader="none"/>
        </w:tabs>
        <w:spacing w:line="240" w:lineRule="auto" w:before="76" w:after="0"/>
        <w:ind w:left="1039" w:right="0" w:hanging="719"/>
        <w:jc w:val="left"/>
      </w:pPr>
      <w:bookmarkStart w:name="_TOC_250037" w:id="165"/>
      <w:bookmarkStart w:name="4.3 LAND USE" w:id="166"/>
      <w:r>
        <w:rPr>
          <w:b w:val="0"/>
        </w:rPr>
      </w:r>
      <w:bookmarkEnd w:id="166"/>
      <w:bookmarkStart w:name="4.3 LAND USE" w:id="167"/>
      <w:r>
        <w:rPr/>
        <w:t>L</w:t>
      </w:r>
      <w:r>
        <w:rPr/>
        <w:t>AND</w:t>
      </w:r>
      <w:r>
        <w:rPr>
          <w:spacing w:val="-1"/>
        </w:rPr>
        <w:t> </w:t>
      </w:r>
      <w:bookmarkEnd w:id="165"/>
      <w:r>
        <w:rPr/>
        <w:t>USE</w:t>
      </w:r>
    </w:p>
    <w:p>
      <w:pPr>
        <w:pStyle w:val="BodyText"/>
        <w:spacing w:before="236"/>
        <w:ind w:left="319" w:right="2030"/>
      </w:pPr>
      <w:hyperlink w:history="true" w:anchor="_bookmark32">
        <w:r>
          <w:rPr/>
          <w:t>Table 4.5</w:t>
        </w:r>
      </w:hyperlink>
      <w:r>
        <w:rPr/>
        <w:t> presents the descriptive statistics for the land-use data of segments. The three-leg intersection, four-leg intersection, retail, total population density and household density are listed. All the data resources are from the U.S. Environmental Protection Agency’s Smart Location Database (SLD).</w:t>
      </w:r>
    </w:p>
    <w:p>
      <w:pPr>
        <w:pStyle w:val="BodyText"/>
        <w:spacing w:before="1"/>
        <w:rPr>
          <w:sz w:val="21"/>
        </w:rPr>
      </w:pPr>
    </w:p>
    <w:p>
      <w:pPr>
        <w:spacing w:before="0"/>
        <w:ind w:left="320" w:right="0" w:firstLine="0"/>
        <w:jc w:val="left"/>
        <w:rPr>
          <w:b/>
          <w:sz w:val="20"/>
        </w:rPr>
      </w:pPr>
      <w:bookmarkStart w:name="_bookmark32" w:id="168"/>
      <w:bookmarkEnd w:id="168"/>
      <w:r>
        <w:rPr/>
      </w:r>
      <w:r>
        <w:rPr>
          <w:b/>
          <w:sz w:val="20"/>
        </w:rPr>
        <w:t>Table 4.5: Summary of Continuous Land-Use Variables</w:t>
      </w:r>
    </w:p>
    <w:tbl>
      <w:tblPr>
        <w:tblW w:w="0" w:type="auto"/>
        <w:jc w:val="left"/>
        <w:tblInd w:w="2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959"/>
        <w:gridCol w:w="1440"/>
        <w:gridCol w:w="2790"/>
      </w:tblGrid>
      <w:tr>
        <w:trPr>
          <w:trHeight w:val="265" w:hRule="atLeast"/>
        </w:trPr>
        <w:tc>
          <w:tcPr>
            <w:tcW w:w="4959" w:type="dxa"/>
            <w:tcBorders>
              <w:left w:val="nil"/>
              <w:right w:val="single" w:sz="4" w:space="0" w:color="000000"/>
            </w:tcBorders>
          </w:tcPr>
          <w:p>
            <w:pPr>
              <w:pStyle w:val="TableParagraph"/>
              <w:spacing w:before="8"/>
              <w:ind w:left="2094" w:right="2075"/>
              <w:jc w:val="center"/>
              <w:rPr>
                <w:b/>
                <w:sz w:val="20"/>
              </w:rPr>
            </w:pPr>
            <w:r>
              <w:rPr>
                <w:b/>
                <w:sz w:val="20"/>
              </w:rPr>
              <w:t>Variable</w:t>
            </w:r>
          </w:p>
        </w:tc>
        <w:tc>
          <w:tcPr>
            <w:tcW w:w="1440" w:type="dxa"/>
            <w:tcBorders>
              <w:left w:val="single" w:sz="4" w:space="0" w:color="000000"/>
              <w:right w:val="single" w:sz="4" w:space="0" w:color="000000"/>
            </w:tcBorders>
          </w:tcPr>
          <w:p>
            <w:pPr>
              <w:pStyle w:val="TableParagraph"/>
              <w:spacing w:before="8"/>
              <w:ind w:left="252" w:right="252"/>
              <w:jc w:val="center"/>
              <w:rPr>
                <w:b/>
                <w:sz w:val="20"/>
              </w:rPr>
            </w:pPr>
            <w:r>
              <w:rPr>
                <w:b/>
                <w:sz w:val="20"/>
              </w:rPr>
              <w:t>Mean</w:t>
            </w:r>
          </w:p>
        </w:tc>
        <w:tc>
          <w:tcPr>
            <w:tcW w:w="2790" w:type="dxa"/>
            <w:tcBorders>
              <w:left w:val="single" w:sz="4" w:space="0" w:color="000000"/>
              <w:right w:val="nil"/>
            </w:tcBorders>
          </w:tcPr>
          <w:p>
            <w:pPr>
              <w:pStyle w:val="TableParagraph"/>
              <w:spacing w:before="8"/>
              <w:ind w:left="535" w:right="536"/>
              <w:jc w:val="center"/>
              <w:rPr>
                <w:b/>
                <w:sz w:val="20"/>
              </w:rPr>
            </w:pPr>
            <w:r>
              <w:rPr>
                <w:b/>
                <w:sz w:val="20"/>
              </w:rPr>
              <w:t>Standard Deviation</w:t>
            </w:r>
          </w:p>
        </w:tc>
      </w:tr>
      <w:tr>
        <w:trPr>
          <w:trHeight w:val="257" w:hRule="atLeast"/>
        </w:trPr>
        <w:tc>
          <w:tcPr>
            <w:tcW w:w="9189" w:type="dxa"/>
            <w:gridSpan w:val="3"/>
            <w:tcBorders>
              <w:left w:val="nil"/>
              <w:right w:val="nil"/>
            </w:tcBorders>
          </w:tcPr>
          <w:p>
            <w:pPr>
              <w:pStyle w:val="TableParagraph"/>
              <w:spacing w:before="8"/>
              <w:ind w:left="122"/>
              <w:rPr>
                <w:b/>
                <w:sz w:val="20"/>
              </w:rPr>
            </w:pPr>
            <w:r>
              <w:rPr>
                <w:b/>
                <w:sz w:val="20"/>
              </w:rPr>
              <w:t>Segment</w:t>
            </w:r>
          </w:p>
        </w:tc>
      </w:tr>
      <w:tr>
        <w:trPr>
          <w:trHeight w:val="257" w:hRule="atLeast"/>
        </w:trPr>
        <w:tc>
          <w:tcPr>
            <w:tcW w:w="4959" w:type="dxa"/>
            <w:tcBorders>
              <w:left w:val="nil"/>
              <w:bottom w:val="single" w:sz="4" w:space="0" w:color="000000"/>
              <w:right w:val="single" w:sz="4" w:space="0" w:color="000000"/>
            </w:tcBorders>
          </w:tcPr>
          <w:p>
            <w:pPr>
              <w:pStyle w:val="TableParagraph"/>
              <w:spacing w:before="5"/>
              <w:ind w:left="122"/>
              <w:rPr>
                <w:sz w:val="20"/>
              </w:rPr>
            </w:pPr>
            <w:r>
              <w:rPr>
                <w:sz w:val="20"/>
              </w:rPr>
              <w:t>3-Leg intersection density (per square mile)</w:t>
            </w:r>
          </w:p>
        </w:tc>
        <w:tc>
          <w:tcPr>
            <w:tcW w:w="1440" w:type="dxa"/>
            <w:tcBorders>
              <w:left w:val="single" w:sz="4" w:space="0" w:color="000000"/>
              <w:bottom w:val="single" w:sz="4" w:space="0" w:color="000000"/>
              <w:right w:val="single" w:sz="4" w:space="0" w:color="000000"/>
            </w:tcBorders>
          </w:tcPr>
          <w:p>
            <w:pPr>
              <w:pStyle w:val="TableParagraph"/>
              <w:spacing w:before="5"/>
              <w:ind w:left="252" w:right="252"/>
              <w:jc w:val="center"/>
              <w:rPr>
                <w:sz w:val="20"/>
              </w:rPr>
            </w:pPr>
            <w:r>
              <w:rPr>
                <w:sz w:val="20"/>
              </w:rPr>
              <w:t>162.66</w:t>
            </w:r>
          </w:p>
        </w:tc>
        <w:tc>
          <w:tcPr>
            <w:tcW w:w="2790" w:type="dxa"/>
            <w:tcBorders>
              <w:left w:val="single" w:sz="4" w:space="0" w:color="000000"/>
              <w:bottom w:val="single" w:sz="4" w:space="0" w:color="000000"/>
              <w:right w:val="nil"/>
            </w:tcBorders>
          </w:tcPr>
          <w:p>
            <w:pPr>
              <w:pStyle w:val="TableParagraph"/>
              <w:spacing w:before="5"/>
              <w:ind w:left="533" w:right="536"/>
              <w:jc w:val="center"/>
              <w:rPr>
                <w:sz w:val="20"/>
              </w:rPr>
            </w:pPr>
            <w:r>
              <w:rPr>
                <w:sz w:val="20"/>
              </w:rPr>
              <w:t>110.12</w:t>
            </w:r>
          </w:p>
        </w:tc>
      </w:tr>
      <w:tr>
        <w:trPr>
          <w:trHeight w:val="277"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4-Leg intersection density (per square mile)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2" w:right="252"/>
              <w:jc w:val="center"/>
              <w:rPr>
                <w:sz w:val="20"/>
              </w:rPr>
            </w:pPr>
            <w:r>
              <w:rPr>
                <w:sz w:val="20"/>
              </w:rPr>
              <w:t>70.28</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89.30</w:t>
            </w:r>
          </w:p>
        </w:tc>
      </w:tr>
      <w:tr>
        <w:trPr>
          <w:trHeight w:val="278"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Retail density (per acre)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2" w:right="252"/>
              <w:jc w:val="center"/>
              <w:rPr>
                <w:sz w:val="20"/>
              </w:rPr>
            </w:pPr>
            <w:r>
              <w:rPr>
                <w:sz w:val="20"/>
              </w:rPr>
              <w:t>447.93</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1314.31</w:t>
            </w:r>
          </w:p>
        </w:tc>
      </w:tr>
      <w:tr>
        <w:trPr>
          <w:trHeight w:val="277"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Total population density (People per square mile)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4" w:right="252"/>
              <w:jc w:val="center"/>
              <w:rPr>
                <w:sz w:val="20"/>
              </w:rPr>
            </w:pPr>
            <w:r>
              <w:rPr>
                <w:sz w:val="20"/>
              </w:rPr>
              <w:t>4086.92</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5333.08</w:t>
            </w:r>
          </w:p>
        </w:tc>
      </w:tr>
      <w:tr>
        <w:trPr>
          <w:trHeight w:val="277"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Household density (per acre)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4" w:right="252"/>
              <w:jc w:val="center"/>
              <w:rPr>
                <w:sz w:val="20"/>
              </w:rPr>
            </w:pPr>
            <w:r>
              <w:rPr>
                <w:sz w:val="20"/>
              </w:rPr>
              <w:t>1916.90</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4384.46</w:t>
            </w:r>
          </w:p>
        </w:tc>
      </w:tr>
      <w:tr>
        <w:trPr>
          <w:trHeight w:val="278" w:hRule="atLeast"/>
        </w:trPr>
        <w:tc>
          <w:tcPr>
            <w:tcW w:w="4959" w:type="dxa"/>
            <w:tcBorders>
              <w:top w:val="single" w:sz="4" w:space="0" w:color="000000"/>
              <w:left w:val="nil"/>
              <w:right w:val="single" w:sz="4" w:space="0" w:color="000000"/>
            </w:tcBorders>
          </w:tcPr>
          <w:p>
            <w:pPr>
              <w:pStyle w:val="TableParagraph"/>
              <w:spacing w:before="15"/>
              <w:ind w:left="122"/>
              <w:rPr>
                <w:sz w:val="20"/>
              </w:rPr>
            </w:pPr>
            <w:r>
              <w:rPr>
                <w:sz w:val="20"/>
              </w:rPr>
              <w:t>Household size</w:t>
            </w:r>
          </w:p>
        </w:tc>
        <w:tc>
          <w:tcPr>
            <w:tcW w:w="1440" w:type="dxa"/>
            <w:tcBorders>
              <w:top w:val="single" w:sz="4" w:space="0" w:color="000000"/>
              <w:left w:val="single" w:sz="4" w:space="0" w:color="000000"/>
              <w:right w:val="single" w:sz="4" w:space="0" w:color="000000"/>
            </w:tcBorders>
          </w:tcPr>
          <w:p>
            <w:pPr>
              <w:pStyle w:val="TableParagraph"/>
              <w:spacing w:before="15"/>
              <w:ind w:left="254" w:right="252"/>
              <w:jc w:val="center"/>
              <w:rPr>
                <w:sz w:val="20"/>
              </w:rPr>
            </w:pPr>
            <w:r>
              <w:rPr>
                <w:sz w:val="20"/>
              </w:rPr>
              <w:t>2.38</w:t>
            </w:r>
          </w:p>
        </w:tc>
        <w:tc>
          <w:tcPr>
            <w:tcW w:w="2790" w:type="dxa"/>
            <w:tcBorders>
              <w:top w:val="single" w:sz="4" w:space="0" w:color="000000"/>
              <w:left w:val="single" w:sz="4" w:space="0" w:color="000000"/>
              <w:right w:val="nil"/>
            </w:tcBorders>
          </w:tcPr>
          <w:p>
            <w:pPr>
              <w:pStyle w:val="TableParagraph"/>
              <w:spacing w:before="15"/>
              <w:ind w:left="534" w:right="536"/>
              <w:jc w:val="center"/>
              <w:rPr>
                <w:sz w:val="20"/>
              </w:rPr>
            </w:pPr>
            <w:r>
              <w:rPr>
                <w:sz w:val="20"/>
              </w:rPr>
              <w:t>0.45</w:t>
            </w:r>
          </w:p>
        </w:tc>
      </w:tr>
      <w:tr>
        <w:trPr>
          <w:trHeight w:val="258" w:hRule="atLeast"/>
        </w:trPr>
        <w:tc>
          <w:tcPr>
            <w:tcW w:w="9189" w:type="dxa"/>
            <w:gridSpan w:val="3"/>
            <w:tcBorders>
              <w:left w:val="nil"/>
              <w:right w:val="nil"/>
            </w:tcBorders>
          </w:tcPr>
          <w:p>
            <w:pPr>
              <w:pStyle w:val="TableParagraph"/>
              <w:spacing w:before="8"/>
              <w:ind w:left="122"/>
              <w:rPr>
                <w:b/>
                <w:sz w:val="20"/>
              </w:rPr>
            </w:pPr>
            <w:r>
              <w:rPr>
                <w:b/>
                <w:sz w:val="20"/>
              </w:rPr>
              <w:t>Intersection</w:t>
            </w:r>
          </w:p>
        </w:tc>
      </w:tr>
      <w:tr>
        <w:trPr>
          <w:trHeight w:val="257" w:hRule="atLeast"/>
        </w:trPr>
        <w:tc>
          <w:tcPr>
            <w:tcW w:w="4959" w:type="dxa"/>
            <w:tcBorders>
              <w:left w:val="nil"/>
              <w:bottom w:val="single" w:sz="4" w:space="0" w:color="000000"/>
              <w:right w:val="single" w:sz="4" w:space="0" w:color="000000"/>
            </w:tcBorders>
          </w:tcPr>
          <w:p>
            <w:pPr>
              <w:pStyle w:val="TableParagraph"/>
              <w:spacing w:before="5"/>
              <w:ind w:left="122"/>
              <w:rPr>
                <w:sz w:val="20"/>
              </w:rPr>
            </w:pPr>
            <w:r>
              <w:rPr>
                <w:sz w:val="20"/>
              </w:rPr>
              <w:t>3-Leg intersection density (per square mile)</w:t>
            </w:r>
          </w:p>
        </w:tc>
        <w:tc>
          <w:tcPr>
            <w:tcW w:w="1440" w:type="dxa"/>
            <w:tcBorders>
              <w:left w:val="single" w:sz="4" w:space="0" w:color="000000"/>
              <w:bottom w:val="single" w:sz="4" w:space="0" w:color="000000"/>
              <w:right w:val="single" w:sz="4" w:space="0" w:color="000000"/>
            </w:tcBorders>
          </w:tcPr>
          <w:p>
            <w:pPr>
              <w:pStyle w:val="TableParagraph"/>
              <w:spacing w:before="5"/>
              <w:ind w:left="252" w:right="252"/>
              <w:jc w:val="center"/>
              <w:rPr>
                <w:sz w:val="20"/>
              </w:rPr>
            </w:pPr>
            <w:r>
              <w:rPr>
                <w:sz w:val="20"/>
              </w:rPr>
              <w:t>162.89</w:t>
            </w:r>
          </w:p>
        </w:tc>
        <w:tc>
          <w:tcPr>
            <w:tcW w:w="2790" w:type="dxa"/>
            <w:tcBorders>
              <w:left w:val="single" w:sz="4" w:space="0" w:color="000000"/>
              <w:bottom w:val="single" w:sz="4" w:space="0" w:color="000000"/>
              <w:right w:val="nil"/>
            </w:tcBorders>
          </w:tcPr>
          <w:p>
            <w:pPr>
              <w:pStyle w:val="TableParagraph"/>
              <w:spacing w:before="5"/>
              <w:ind w:left="533" w:right="536"/>
              <w:jc w:val="center"/>
              <w:rPr>
                <w:sz w:val="20"/>
              </w:rPr>
            </w:pPr>
            <w:r>
              <w:rPr>
                <w:sz w:val="20"/>
              </w:rPr>
              <w:t>101.46</w:t>
            </w:r>
          </w:p>
        </w:tc>
      </w:tr>
      <w:tr>
        <w:trPr>
          <w:trHeight w:val="278"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4-Leg intersection density (per square mile)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2" w:right="252"/>
              <w:jc w:val="center"/>
              <w:rPr>
                <w:sz w:val="20"/>
              </w:rPr>
            </w:pPr>
            <w:r>
              <w:rPr>
                <w:sz w:val="20"/>
              </w:rPr>
              <w:t>71.69</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73.58</w:t>
            </w:r>
          </w:p>
        </w:tc>
      </w:tr>
      <w:tr>
        <w:trPr>
          <w:trHeight w:val="277"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Retail density (per acre)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2" w:right="252"/>
              <w:jc w:val="center"/>
              <w:rPr>
                <w:sz w:val="20"/>
              </w:rPr>
            </w:pPr>
            <w:r>
              <w:rPr>
                <w:sz w:val="20"/>
              </w:rPr>
              <w:t>446.46</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3" w:right="536"/>
              <w:jc w:val="center"/>
              <w:rPr>
                <w:sz w:val="20"/>
              </w:rPr>
            </w:pPr>
            <w:r>
              <w:rPr>
                <w:sz w:val="20"/>
              </w:rPr>
              <w:t>779.28</w:t>
            </w:r>
          </w:p>
        </w:tc>
      </w:tr>
      <w:tr>
        <w:trPr>
          <w:trHeight w:val="277"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Total population density (People per square mile)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4" w:right="252"/>
              <w:jc w:val="center"/>
              <w:rPr>
                <w:sz w:val="20"/>
              </w:rPr>
            </w:pPr>
            <w:r>
              <w:rPr>
                <w:sz w:val="20"/>
              </w:rPr>
              <w:t>3826.29</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2907.25</w:t>
            </w:r>
          </w:p>
        </w:tc>
      </w:tr>
      <w:tr>
        <w:trPr>
          <w:trHeight w:val="278" w:hRule="atLeast"/>
        </w:trPr>
        <w:tc>
          <w:tcPr>
            <w:tcW w:w="4959" w:type="dxa"/>
            <w:tcBorders>
              <w:top w:val="single" w:sz="4" w:space="0" w:color="000000"/>
              <w:left w:val="nil"/>
              <w:bottom w:val="single" w:sz="4" w:space="0" w:color="000000"/>
              <w:right w:val="single" w:sz="4" w:space="0" w:color="000000"/>
            </w:tcBorders>
          </w:tcPr>
          <w:p>
            <w:pPr>
              <w:pStyle w:val="TableParagraph"/>
              <w:spacing w:before="15"/>
              <w:ind w:left="122"/>
              <w:rPr>
                <w:sz w:val="20"/>
              </w:rPr>
            </w:pPr>
            <w:r>
              <w:rPr>
                <w:sz w:val="20"/>
              </w:rPr>
              <w:t>Household density (per acre)</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before="15"/>
              <w:ind w:left="254" w:right="252"/>
              <w:jc w:val="center"/>
              <w:rPr>
                <w:sz w:val="20"/>
              </w:rPr>
            </w:pPr>
            <w:r>
              <w:rPr>
                <w:sz w:val="20"/>
              </w:rPr>
              <w:t>1639.93</w:t>
            </w:r>
          </w:p>
        </w:tc>
        <w:tc>
          <w:tcPr>
            <w:tcW w:w="2790" w:type="dxa"/>
            <w:tcBorders>
              <w:top w:val="single" w:sz="4" w:space="0" w:color="000000"/>
              <w:left w:val="single" w:sz="4" w:space="0" w:color="000000"/>
              <w:bottom w:val="single" w:sz="4" w:space="0" w:color="000000"/>
              <w:right w:val="nil"/>
            </w:tcBorders>
          </w:tcPr>
          <w:p>
            <w:pPr>
              <w:pStyle w:val="TableParagraph"/>
              <w:spacing w:before="15"/>
              <w:ind w:left="534" w:right="536"/>
              <w:jc w:val="center"/>
              <w:rPr>
                <w:sz w:val="20"/>
              </w:rPr>
            </w:pPr>
            <w:r>
              <w:rPr>
                <w:sz w:val="20"/>
              </w:rPr>
              <w:t>1675.44</w:t>
            </w:r>
          </w:p>
        </w:tc>
      </w:tr>
      <w:tr>
        <w:trPr>
          <w:trHeight w:val="278" w:hRule="atLeast"/>
        </w:trPr>
        <w:tc>
          <w:tcPr>
            <w:tcW w:w="4959" w:type="dxa"/>
            <w:tcBorders>
              <w:top w:val="single" w:sz="4" w:space="0" w:color="000000"/>
              <w:left w:val="nil"/>
              <w:right w:val="single" w:sz="4" w:space="0" w:color="000000"/>
            </w:tcBorders>
          </w:tcPr>
          <w:p>
            <w:pPr>
              <w:pStyle w:val="TableParagraph"/>
              <w:spacing w:before="15"/>
              <w:ind w:left="122"/>
              <w:rPr>
                <w:sz w:val="20"/>
              </w:rPr>
            </w:pPr>
            <w:r>
              <w:rPr>
                <w:sz w:val="20"/>
              </w:rPr>
              <w:t>Household size</w:t>
            </w:r>
          </w:p>
        </w:tc>
        <w:tc>
          <w:tcPr>
            <w:tcW w:w="1440" w:type="dxa"/>
            <w:tcBorders>
              <w:top w:val="single" w:sz="4" w:space="0" w:color="000000"/>
              <w:left w:val="single" w:sz="4" w:space="0" w:color="000000"/>
              <w:right w:val="single" w:sz="4" w:space="0" w:color="000000"/>
            </w:tcBorders>
          </w:tcPr>
          <w:p>
            <w:pPr>
              <w:pStyle w:val="TableParagraph"/>
              <w:spacing w:before="15"/>
              <w:ind w:left="254" w:right="252"/>
              <w:jc w:val="center"/>
              <w:rPr>
                <w:sz w:val="20"/>
              </w:rPr>
            </w:pPr>
            <w:r>
              <w:rPr>
                <w:sz w:val="20"/>
              </w:rPr>
              <w:t>2.32</w:t>
            </w:r>
          </w:p>
        </w:tc>
        <w:tc>
          <w:tcPr>
            <w:tcW w:w="2790" w:type="dxa"/>
            <w:tcBorders>
              <w:top w:val="single" w:sz="4" w:space="0" w:color="000000"/>
              <w:left w:val="single" w:sz="4" w:space="0" w:color="000000"/>
              <w:right w:val="nil"/>
            </w:tcBorders>
          </w:tcPr>
          <w:p>
            <w:pPr>
              <w:pStyle w:val="TableParagraph"/>
              <w:spacing w:before="15"/>
              <w:ind w:left="534" w:right="536"/>
              <w:jc w:val="center"/>
              <w:rPr>
                <w:sz w:val="20"/>
              </w:rPr>
            </w:pPr>
            <w:r>
              <w:rPr>
                <w:sz w:val="20"/>
              </w:rPr>
              <w:t>0.45</w:t>
            </w:r>
          </w:p>
        </w:tc>
      </w:tr>
    </w:tbl>
    <w:p>
      <w:pPr>
        <w:pStyle w:val="BodyText"/>
        <w:rPr>
          <w:b/>
          <w:sz w:val="22"/>
        </w:rPr>
      </w:pPr>
    </w:p>
    <w:p>
      <w:pPr>
        <w:pStyle w:val="BodyText"/>
        <w:rPr>
          <w:b/>
          <w:sz w:val="22"/>
        </w:rPr>
      </w:pPr>
    </w:p>
    <w:p>
      <w:pPr>
        <w:pStyle w:val="BodyText"/>
        <w:spacing w:before="1"/>
        <w:ind w:left="320" w:right="1503"/>
      </w:pPr>
      <w:hyperlink w:history="true" w:anchor="_bookmark33">
        <w:r>
          <w:rPr/>
          <w:t>Table 4.6</w:t>
        </w:r>
      </w:hyperlink>
      <w:r>
        <w:rPr/>
        <w:t> presents the summary of the only categorical land-use data, the neighborhood concept, which is assigned to the block-group size based on the accessibility to pedestrian and bicycle activities by using three measures of the built environment collected from nationally available data from 25 metropolitan areas. As described, the neighborhood concept has six levels, A~F, in which A is the best and F is the worst. Most segment and intersection samples are at level D and E (89% of segments and 84% of intersections). Few segment samples have Level C (4%) and Level F (7%). Intersections have a relatively higher proportion of level F (14%) and correspondingly less Level C (2%) than segment samples.</w:t>
      </w:r>
    </w:p>
    <w:p>
      <w:pPr>
        <w:pStyle w:val="BodyText"/>
        <w:spacing w:before="1"/>
        <w:rPr>
          <w:sz w:val="21"/>
        </w:rPr>
      </w:pPr>
    </w:p>
    <w:p>
      <w:pPr>
        <w:spacing w:before="0"/>
        <w:ind w:left="320" w:right="0" w:firstLine="0"/>
        <w:jc w:val="left"/>
        <w:rPr>
          <w:b/>
          <w:sz w:val="20"/>
        </w:rPr>
      </w:pPr>
      <w:bookmarkStart w:name="_bookmark33" w:id="169"/>
      <w:bookmarkEnd w:id="169"/>
      <w:r>
        <w:rPr/>
      </w:r>
      <w:r>
        <w:rPr>
          <w:b/>
          <w:sz w:val="20"/>
        </w:rPr>
        <w:t>Table 4.6: Summary of Categorical Land-Use Variables</w:t>
      </w: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38"/>
        <w:gridCol w:w="2343"/>
        <w:gridCol w:w="2161"/>
        <w:gridCol w:w="1891"/>
      </w:tblGrid>
      <w:tr>
        <w:trPr>
          <w:trHeight w:val="265" w:hRule="atLeast"/>
        </w:trPr>
        <w:tc>
          <w:tcPr>
            <w:tcW w:w="4681" w:type="dxa"/>
            <w:gridSpan w:val="2"/>
            <w:tcBorders>
              <w:left w:val="nil"/>
              <w:right w:val="single" w:sz="4" w:space="0" w:color="000000"/>
            </w:tcBorders>
          </w:tcPr>
          <w:p>
            <w:pPr>
              <w:pStyle w:val="TableParagraph"/>
              <w:spacing w:before="6"/>
              <w:ind w:left="1948" w:right="1943"/>
              <w:jc w:val="center"/>
              <w:rPr>
                <w:b/>
                <w:sz w:val="20"/>
              </w:rPr>
            </w:pPr>
            <w:r>
              <w:rPr>
                <w:b/>
                <w:sz w:val="20"/>
              </w:rPr>
              <w:t>Variable</w:t>
            </w:r>
          </w:p>
        </w:tc>
        <w:tc>
          <w:tcPr>
            <w:tcW w:w="2161" w:type="dxa"/>
            <w:tcBorders>
              <w:left w:val="single" w:sz="4" w:space="0" w:color="000000"/>
              <w:right w:val="single" w:sz="4" w:space="0" w:color="000000"/>
            </w:tcBorders>
          </w:tcPr>
          <w:p>
            <w:pPr>
              <w:pStyle w:val="TableParagraph"/>
              <w:spacing w:before="6"/>
              <w:ind w:left="599" w:right="600"/>
              <w:jc w:val="center"/>
              <w:rPr>
                <w:b/>
                <w:sz w:val="20"/>
              </w:rPr>
            </w:pPr>
            <w:r>
              <w:rPr>
                <w:b/>
                <w:sz w:val="20"/>
              </w:rPr>
              <w:t>Frequency</w:t>
            </w:r>
          </w:p>
        </w:tc>
        <w:tc>
          <w:tcPr>
            <w:tcW w:w="1891" w:type="dxa"/>
            <w:tcBorders>
              <w:left w:val="single" w:sz="4" w:space="0" w:color="000000"/>
              <w:right w:val="nil"/>
            </w:tcBorders>
          </w:tcPr>
          <w:p>
            <w:pPr>
              <w:pStyle w:val="TableParagraph"/>
              <w:spacing w:before="6"/>
              <w:ind w:left="323" w:right="328"/>
              <w:jc w:val="center"/>
              <w:rPr>
                <w:b/>
                <w:sz w:val="20"/>
              </w:rPr>
            </w:pPr>
            <w:r>
              <w:rPr>
                <w:b/>
                <w:sz w:val="20"/>
              </w:rPr>
              <w:t>Percentage %</w:t>
            </w:r>
          </w:p>
        </w:tc>
      </w:tr>
      <w:tr>
        <w:trPr>
          <w:trHeight w:val="258" w:hRule="atLeast"/>
        </w:trPr>
        <w:tc>
          <w:tcPr>
            <w:tcW w:w="8733" w:type="dxa"/>
            <w:gridSpan w:val="4"/>
            <w:tcBorders>
              <w:left w:val="nil"/>
              <w:right w:val="nil"/>
            </w:tcBorders>
          </w:tcPr>
          <w:p>
            <w:pPr>
              <w:pStyle w:val="TableParagraph"/>
              <w:spacing w:before="6"/>
              <w:ind w:left="108"/>
              <w:rPr>
                <w:b/>
                <w:sz w:val="20"/>
              </w:rPr>
            </w:pPr>
            <w:r>
              <w:rPr>
                <w:b/>
                <w:sz w:val="20"/>
              </w:rPr>
              <w:t>Segment</w:t>
            </w:r>
          </w:p>
        </w:tc>
      </w:tr>
      <w:tr>
        <w:trPr>
          <w:trHeight w:val="247" w:hRule="atLeast"/>
        </w:trPr>
        <w:tc>
          <w:tcPr>
            <w:tcW w:w="2338" w:type="dxa"/>
            <w:vMerge w:val="restart"/>
            <w:tcBorders>
              <w:left w:val="nil"/>
              <w:right w:val="single" w:sz="4" w:space="0" w:color="000000"/>
            </w:tcBorders>
          </w:tcPr>
          <w:p>
            <w:pPr>
              <w:pStyle w:val="TableParagraph"/>
              <w:rPr>
                <w:b/>
                <w:sz w:val="22"/>
              </w:rPr>
            </w:pPr>
          </w:p>
          <w:p>
            <w:pPr>
              <w:pStyle w:val="TableParagraph"/>
              <w:spacing w:before="183"/>
              <w:ind w:left="108"/>
              <w:rPr>
                <w:sz w:val="20"/>
              </w:rPr>
            </w:pPr>
            <w:r>
              <w:rPr>
                <w:sz w:val="20"/>
              </w:rPr>
              <w:t>Neighborhood concept</w:t>
            </w:r>
          </w:p>
        </w:tc>
        <w:tc>
          <w:tcPr>
            <w:tcW w:w="2343" w:type="dxa"/>
            <w:tcBorders>
              <w:left w:val="single" w:sz="4" w:space="0" w:color="000000"/>
              <w:bottom w:val="single" w:sz="4" w:space="0" w:color="000000"/>
              <w:right w:val="single" w:sz="4" w:space="0" w:color="000000"/>
            </w:tcBorders>
          </w:tcPr>
          <w:p>
            <w:pPr>
              <w:pStyle w:val="TableParagraph"/>
              <w:spacing w:line="224" w:lineRule="exact" w:before="4"/>
              <w:jc w:val="center"/>
              <w:rPr>
                <w:sz w:val="20"/>
              </w:rPr>
            </w:pPr>
            <w:r>
              <w:rPr>
                <w:w w:val="100"/>
                <w:sz w:val="20"/>
              </w:rPr>
              <w:t>C</w:t>
            </w:r>
          </w:p>
        </w:tc>
        <w:tc>
          <w:tcPr>
            <w:tcW w:w="2161" w:type="dxa"/>
            <w:tcBorders>
              <w:left w:val="single" w:sz="4" w:space="0" w:color="000000"/>
              <w:bottom w:val="single" w:sz="4" w:space="0" w:color="000000"/>
              <w:right w:val="single" w:sz="4" w:space="0" w:color="000000"/>
            </w:tcBorders>
          </w:tcPr>
          <w:p>
            <w:pPr>
              <w:pStyle w:val="TableParagraph"/>
              <w:spacing w:line="224" w:lineRule="exact" w:before="4"/>
              <w:ind w:right="1"/>
              <w:jc w:val="center"/>
              <w:rPr>
                <w:sz w:val="20"/>
              </w:rPr>
            </w:pPr>
            <w:r>
              <w:rPr>
                <w:w w:val="100"/>
                <w:sz w:val="20"/>
              </w:rPr>
              <w:t>3</w:t>
            </w:r>
          </w:p>
        </w:tc>
        <w:tc>
          <w:tcPr>
            <w:tcW w:w="1891" w:type="dxa"/>
            <w:tcBorders>
              <w:left w:val="single" w:sz="4" w:space="0" w:color="000000"/>
              <w:bottom w:val="single" w:sz="4" w:space="0" w:color="000000"/>
              <w:right w:val="nil"/>
            </w:tcBorders>
          </w:tcPr>
          <w:p>
            <w:pPr>
              <w:pStyle w:val="TableParagraph"/>
              <w:spacing w:line="219" w:lineRule="exact"/>
              <w:ind w:left="321" w:right="328"/>
              <w:jc w:val="center"/>
              <w:rPr>
                <w:sz w:val="20"/>
              </w:rPr>
            </w:pPr>
            <w:r>
              <w:rPr>
                <w:sz w:val="20"/>
              </w:rPr>
              <w:t>1.60%</w:t>
            </w:r>
          </w:p>
        </w:tc>
      </w:tr>
      <w:tr>
        <w:trPr>
          <w:trHeight w:val="258"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before="4"/>
              <w:ind w:right="1"/>
              <w:jc w:val="center"/>
              <w:rPr>
                <w:sz w:val="20"/>
              </w:rPr>
            </w:pPr>
            <w:r>
              <w:rPr>
                <w:w w:val="100"/>
                <w:sz w:val="20"/>
              </w:rPr>
              <w:t>D</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before="4"/>
              <w:ind w:left="598" w:right="600"/>
              <w:jc w:val="center"/>
              <w:rPr>
                <w:sz w:val="20"/>
              </w:rPr>
            </w:pPr>
            <w:r>
              <w:rPr>
                <w:sz w:val="20"/>
              </w:rPr>
              <w:t>69</w:t>
            </w:r>
          </w:p>
        </w:tc>
        <w:tc>
          <w:tcPr>
            <w:tcW w:w="1891" w:type="dxa"/>
            <w:tcBorders>
              <w:top w:val="single" w:sz="4" w:space="0" w:color="000000"/>
              <w:left w:val="single" w:sz="4" w:space="0" w:color="000000"/>
              <w:bottom w:val="single" w:sz="4" w:space="0" w:color="000000"/>
              <w:right w:val="nil"/>
            </w:tcBorders>
          </w:tcPr>
          <w:p>
            <w:pPr>
              <w:pStyle w:val="TableParagraph"/>
              <w:spacing w:line="210" w:lineRule="exact"/>
              <w:ind w:left="321" w:right="328"/>
              <w:jc w:val="center"/>
              <w:rPr>
                <w:sz w:val="20"/>
              </w:rPr>
            </w:pPr>
            <w:r>
              <w:rPr>
                <w:sz w:val="20"/>
              </w:rPr>
              <w:t>36.70%</w:t>
            </w:r>
          </w:p>
        </w:tc>
      </w:tr>
      <w:tr>
        <w:trPr>
          <w:trHeight w:val="257"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before="4"/>
              <w:ind w:right="1"/>
              <w:jc w:val="center"/>
              <w:rPr>
                <w:sz w:val="20"/>
              </w:rPr>
            </w:pPr>
            <w:r>
              <w:rPr>
                <w:w w:val="100"/>
                <w:sz w:val="20"/>
              </w:rPr>
              <w:t>E</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before="4"/>
              <w:ind w:left="598" w:right="600"/>
              <w:jc w:val="center"/>
              <w:rPr>
                <w:sz w:val="20"/>
              </w:rPr>
            </w:pPr>
            <w:r>
              <w:rPr>
                <w:sz w:val="20"/>
              </w:rPr>
              <w:t>81</w:t>
            </w:r>
          </w:p>
        </w:tc>
        <w:tc>
          <w:tcPr>
            <w:tcW w:w="1891" w:type="dxa"/>
            <w:tcBorders>
              <w:top w:val="single" w:sz="4" w:space="0" w:color="000000"/>
              <w:left w:val="single" w:sz="4" w:space="0" w:color="000000"/>
              <w:bottom w:val="single" w:sz="4" w:space="0" w:color="000000"/>
              <w:right w:val="nil"/>
            </w:tcBorders>
          </w:tcPr>
          <w:p>
            <w:pPr>
              <w:pStyle w:val="TableParagraph"/>
              <w:spacing w:line="210" w:lineRule="exact"/>
              <w:ind w:left="321" w:right="328"/>
              <w:jc w:val="center"/>
              <w:rPr>
                <w:sz w:val="20"/>
              </w:rPr>
            </w:pPr>
            <w:r>
              <w:rPr>
                <w:sz w:val="20"/>
              </w:rPr>
              <w:t>43.09%</w:t>
            </w:r>
          </w:p>
        </w:tc>
      </w:tr>
      <w:tr>
        <w:trPr>
          <w:trHeight w:val="268"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right w:val="single" w:sz="4" w:space="0" w:color="000000"/>
            </w:tcBorders>
          </w:tcPr>
          <w:p>
            <w:pPr>
              <w:pStyle w:val="TableParagraph"/>
              <w:spacing w:before="4"/>
              <w:jc w:val="center"/>
              <w:rPr>
                <w:sz w:val="20"/>
              </w:rPr>
            </w:pPr>
            <w:r>
              <w:rPr>
                <w:w w:val="100"/>
                <w:sz w:val="20"/>
              </w:rPr>
              <w:t>F</w:t>
            </w:r>
          </w:p>
        </w:tc>
        <w:tc>
          <w:tcPr>
            <w:tcW w:w="2161" w:type="dxa"/>
            <w:tcBorders>
              <w:top w:val="single" w:sz="4" w:space="0" w:color="000000"/>
              <w:left w:val="single" w:sz="4" w:space="0" w:color="000000"/>
              <w:right w:val="single" w:sz="4" w:space="0" w:color="000000"/>
            </w:tcBorders>
          </w:tcPr>
          <w:p>
            <w:pPr>
              <w:pStyle w:val="TableParagraph"/>
              <w:spacing w:before="4"/>
              <w:ind w:left="598" w:right="600"/>
              <w:jc w:val="center"/>
              <w:rPr>
                <w:sz w:val="20"/>
              </w:rPr>
            </w:pPr>
            <w:r>
              <w:rPr>
                <w:sz w:val="20"/>
              </w:rPr>
              <w:t>35</w:t>
            </w:r>
          </w:p>
        </w:tc>
        <w:tc>
          <w:tcPr>
            <w:tcW w:w="1891" w:type="dxa"/>
            <w:tcBorders>
              <w:top w:val="single" w:sz="4" w:space="0" w:color="000000"/>
              <w:left w:val="single" w:sz="4" w:space="0" w:color="000000"/>
              <w:right w:val="nil"/>
            </w:tcBorders>
          </w:tcPr>
          <w:p>
            <w:pPr>
              <w:pStyle w:val="TableParagraph"/>
              <w:spacing w:line="210" w:lineRule="exact"/>
              <w:ind w:left="321" w:right="328"/>
              <w:jc w:val="center"/>
              <w:rPr>
                <w:sz w:val="20"/>
              </w:rPr>
            </w:pPr>
            <w:r>
              <w:rPr>
                <w:sz w:val="20"/>
              </w:rPr>
              <w:t>18.61%</w:t>
            </w:r>
          </w:p>
        </w:tc>
      </w:tr>
      <w:tr>
        <w:trPr>
          <w:trHeight w:val="258" w:hRule="atLeast"/>
        </w:trPr>
        <w:tc>
          <w:tcPr>
            <w:tcW w:w="8733" w:type="dxa"/>
            <w:gridSpan w:val="4"/>
            <w:tcBorders>
              <w:left w:val="nil"/>
              <w:right w:val="nil"/>
            </w:tcBorders>
          </w:tcPr>
          <w:p>
            <w:pPr>
              <w:pStyle w:val="TableParagraph"/>
              <w:spacing w:before="6"/>
              <w:ind w:left="108"/>
              <w:rPr>
                <w:b/>
                <w:sz w:val="20"/>
              </w:rPr>
            </w:pPr>
            <w:r>
              <w:rPr>
                <w:b/>
                <w:sz w:val="20"/>
              </w:rPr>
              <w:t>Intersection</w:t>
            </w:r>
          </w:p>
        </w:tc>
      </w:tr>
      <w:tr>
        <w:trPr>
          <w:trHeight w:val="247" w:hRule="atLeast"/>
        </w:trPr>
        <w:tc>
          <w:tcPr>
            <w:tcW w:w="2338" w:type="dxa"/>
            <w:vMerge w:val="restart"/>
            <w:tcBorders>
              <w:left w:val="nil"/>
              <w:right w:val="single" w:sz="4" w:space="0" w:color="000000"/>
            </w:tcBorders>
          </w:tcPr>
          <w:p>
            <w:pPr>
              <w:pStyle w:val="TableParagraph"/>
              <w:rPr>
                <w:b/>
                <w:sz w:val="22"/>
              </w:rPr>
            </w:pPr>
          </w:p>
          <w:p>
            <w:pPr>
              <w:pStyle w:val="TableParagraph"/>
              <w:spacing w:before="183"/>
              <w:ind w:left="108"/>
              <w:rPr>
                <w:sz w:val="20"/>
              </w:rPr>
            </w:pPr>
            <w:r>
              <w:rPr>
                <w:sz w:val="20"/>
              </w:rPr>
              <w:t>Neighborhood concept</w:t>
            </w:r>
          </w:p>
        </w:tc>
        <w:tc>
          <w:tcPr>
            <w:tcW w:w="2343" w:type="dxa"/>
            <w:tcBorders>
              <w:left w:val="single" w:sz="4" w:space="0" w:color="000000"/>
              <w:bottom w:val="single" w:sz="4" w:space="0" w:color="000000"/>
              <w:right w:val="single" w:sz="4" w:space="0" w:color="000000"/>
            </w:tcBorders>
          </w:tcPr>
          <w:p>
            <w:pPr>
              <w:pStyle w:val="TableParagraph"/>
              <w:spacing w:line="224" w:lineRule="exact" w:before="4"/>
              <w:jc w:val="center"/>
              <w:rPr>
                <w:sz w:val="20"/>
              </w:rPr>
            </w:pPr>
            <w:r>
              <w:rPr>
                <w:w w:val="100"/>
                <w:sz w:val="20"/>
              </w:rPr>
              <w:t>C</w:t>
            </w:r>
          </w:p>
        </w:tc>
        <w:tc>
          <w:tcPr>
            <w:tcW w:w="2161" w:type="dxa"/>
            <w:tcBorders>
              <w:left w:val="single" w:sz="4" w:space="0" w:color="000000"/>
              <w:bottom w:val="single" w:sz="4" w:space="0" w:color="000000"/>
              <w:right w:val="single" w:sz="4" w:space="0" w:color="000000"/>
            </w:tcBorders>
          </w:tcPr>
          <w:p>
            <w:pPr>
              <w:pStyle w:val="TableParagraph"/>
              <w:spacing w:line="224" w:lineRule="exact" w:before="4"/>
              <w:ind w:right="1"/>
              <w:jc w:val="center"/>
              <w:rPr>
                <w:sz w:val="20"/>
              </w:rPr>
            </w:pPr>
            <w:r>
              <w:rPr>
                <w:w w:val="100"/>
                <w:sz w:val="20"/>
              </w:rPr>
              <w:t>1</w:t>
            </w:r>
          </w:p>
        </w:tc>
        <w:tc>
          <w:tcPr>
            <w:tcW w:w="1891" w:type="dxa"/>
            <w:tcBorders>
              <w:left w:val="single" w:sz="4" w:space="0" w:color="000000"/>
              <w:bottom w:val="single" w:sz="4" w:space="0" w:color="000000"/>
              <w:right w:val="nil"/>
            </w:tcBorders>
          </w:tcPr>
          <w:p>
            <w:pPr>
              <w:pStyle w:val="TableParagraph"/>
              <w:spacing w:line="219" w:lineRule="exact"/>
              <w:ind w:left="321" w:right="328"/>
              <w:jc w:val="center"/>
              <w:rPr>
                <w:sz w:val="20"/>
              </w:rPr>
            </w:pPr>
            <w:r>
              <w:rPr>
                <w:sz w:val="20"/>
              </w:rPr>
              <w:t>0.54%</w:t>
            </w:r>
          </w:p>
        </w:tc>
      </w:tr>
      <w:tr>
        <w:trPr>
          <w:trHeight w:val="258"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before="4"/>
              <w:ind w:right="1"/>
              <w:jc w:val="center"/>
              <w:rPr>
                <w:sz w:val="20"/>
              </w:rPr>
            </w:pPr>
            <w:r>
              <w:rPr>
                <w:w w:val="100"/>
                <w:sz w:val="20"/>
              </w:rPr>
              <w:t>D</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before="4"/>
              <w:ind w:left="598" w:right="600"/>
              <w:jc w:val="center"/>
              <w:rPr>
                <w:sz w:val="20"/>
              </w:rPr>
            </w:pPr>
            <w:r>
              <w:rPr>
                <w:sz w:val="20"/>
              </w:rPr>
              <w:t>72</w:t>
            </w:r>
          </w:p>
        </w:tc>
        <w:tc>
          <w:tcPr>
            <w:tcW w:w="1891" w:type="dxa"/>
            <w:tcBorders>
              <w:top w:val="single" w:sz="4" w:space="0" w:color="000000"/>
              <w:left w:val="single" w:sz="4" w:space="0" w:color="000000"/>
              <w:bottom w:val="single" w:sz="4" w:space="0" w:color="000000"/>
              <w:right w:val="nil"/>
            </w:tcBorders>
          </w:tcPr>
          <w:p>
            <w:pPr>
              <w:pStyle w:val="TableParagraph"/>
              <w:spacing w:line="210" w:lineRule="exact"/>
              <w:ind w:left="321" w:right="328"/>
              <w:jc w:val="center"/>
              <w:rPr>
                <w:sz w:val="20"/>
              </w:rPr>
            </w:pPr>
            <w:r>
              <w:rPr>
                <w:sz w:val="20"/>
              </w:rPr>
              <w:t>39.13%</w:t>
            </w:r>
          </w:p>
        </w:tc>
      </w:tr>
      <w:tr>
        <w:trPr>
          <w:trHeight w:val="257"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bottom w:val="single" w:sz="4" w:space="0" w:color="000000"/>
              <w:right w:val="single" w:sz="4" w:space="0" w:color="000000"/>
            </w:tcBorders>
          </w:tcPr>
          <w:p>
            <w:pPr>
              <w:pStyle w:val="TableParagraph"/>
              <w:spacing w:before="4"/>
              <w:ind w:right="1"/>
              <w:jc w:val="center"/>
              <w:rPr>
                <w:sz w:val="20"/>
              </w:rPr>
            </w:pPr>
            <w:r>
              <w:rPr>
                <w:w w:val="100"/>
                <w:sz w:val="20"/>
              </w:rPr>
              <w:t>E</w:t>
            </w:r>
          </w:p>
        </w:tc>
        <w:tc>
          <w:tcPr>
            <w:tcW w:w="2161" w:type="dxa"/>
            <w:tcBorders>
              <w:top w:val="single" w:sz="4" w:space="0" w:color="000000"/>
              <w:left w:val="single" w:sz="4" w:space="0" w:color="000000"/>
              <w:bottom w:val="single" w:sz="4" w:space="0" w:color="000000"/>
              <w:right w:val="single" w:sz="4" w:space="0" w:color="000000"/>
            </w:tcBorders>
          </w:tcPr>
          <w:p>
            <w:pPr>
              <w:pStyle w:val="TableParagraph"/>
              <w:spacing w:before="4"/>
              <w:ind w:left="598" w:right="600"/>
              <w:jc w:val="center"/>
              <w:rPr>
                <w:sz w:val="20"/>
              </w:rPr>
            </w:pPr>
            <w:r>
              <w:rPr>
                <w:sz w:val="20"/>
              </w:rPr>
              <w:t>83</w:t>
            </w:r>
          </w:p>
        </w:tc>
        <w:tc>
          <w:tcPr>
            <w:tcW w:w="1891" w:type="dxa"/>
            <w:tcBorders>
              <w:top w:val="single" w:sz="4" w:space="0" w:color="000000"/>
              <w:left w:val="single" w:sz="4" w:space="0" w:color="000000"/>
              <w:bottom w:val="single" w:sz="4" w:space="0" w:color="000000"/>
              <w:right w:val="nil"/>
            </w:tcBorders>
          </w:tcPr>
          <w:p>
            <w:pPr>
              <w:pStyle w:val="TableParagraph"/>
              <w:spacing w:line="210" w:lineRule="exact"/>
              <w:ind w:left="321" w:right="328"/>
              <w:jc w:val="center"/>
              <w:rPr>
                <w:sz w:val="20"/>
              </w:rPr>
            </w:pPr>
            <w:r>
              <w:rPr>
                <w:sz w:val="20"/>
              </w:rPr>
              <w:t>45.11%</w:t>
            </w:r>
          </w:p>
        </w:tc>
      </w:tr>
      <w:tr>
        <w:trPr>
          <w:trHeight w:val="268" w:hRule="atLeast"/>
        </w:trPr>
        <w:tc>
          <w:tcPr>
            <w:tcW w:w="2338" w:type="dxa"/>
            <w:vMerge/>
            <w:tcBorders>
              <w:top w:val="nil"/>
              <w:left w:val="nil"/>
              <w:right w:val="single" w:sz="4" w:space="0" w:color="000000"/>
            </w:tcBorders>
          </w:tcPr>
          <w:p>
            <w:pPr>
              <w:rPr>
                <w:sz w:val="2"/>
                <w:szCs w:val="2"/>
              </w:rPr>
            </w:pPr>
          </w:p>
        </w:tc>
        <w:tc>
          <w:tcPr>
            <w:tcW w:w="2343" w:type="dxa"/>
            <w:tcBorders>
              <w:top w:val="single" w:sz="4" w:space="0" w:color="000000"/>
              <w:left w:val="single" w:sz="4" w:space="0" w:color="000000"/>
              <w:right w:val="single" w:sz="4" w:space="0" w:color="000000"/>
            </w:tcBorders>
          </w:tcPr>
          <w:p>
            <w:pPr>
              <w:pStyle w:val="TableParagraph"/>
              <w:spacing w:before="4"/>
              <w:jc w:val="center"/>
              <w:rPr>
                <w:sz w:val="20"/>
              </w:rPr>
            </w:pPr>
            <w:r>
              <w:rPr>
                <w:w w:val="100"/>
                <w:sz w:val="20"/>
              </w:rPr>
              <w:t>F</w:t>
            </w:r>
          </w:p>
        </w:tc>
        <w:tc>
          <w:tcPr>
            <w:tcW w:w="2161" w:type="dxa"/>
            <w:tcBorders>
              <w:top w:val="single" w:sz="4" w:space="0" w:color="000000"/>
              <w:left w:val="single" w:sz="4" w:space="0" w:color="000000"/>
              <w:right w:val="single" w:sz="4" w:space="0" w:color="000000"/>
            </w:tcBorders>
          </w:tcPr>
          <w:p>
            <w:pPr>
              <w:pStyle w:val="TableParagraph"/>
              <w:spacing w:before="4"/>
              <w:ind w:left="598" w:right="600"/>
              <w:jc w:val="center"/>
              <w:rPr>
                <w:sz w:val="20"/>
              </w:rPr>
            </w:pPr>
            <w:r>
              <w:rPr>
                <w:sz w:val="20"/>
              </w:rPr>
              <w:t>28</w:t>
            </w:r>
          </w:p>
        </w:tc>
        <w:tc>
          <w:tcPr>
            <w:tcW w:w="1891" w:type="dxa"/>
            <w:tcBorders>
              <w:top w:val="single" w:sz="4" w:space="0" w:color="000000"/>
              <w:left w:val="single" w:sz="4" w:space="0" w:color="000000"/>
              <w:right w:val="nil"/>
            </w:tcBorders>
          </w:tcPr>
          <w:p>
            <w:pPr>
              <w:pStyle w:val="TableParagraph"/>
              <w:spacing w:line="210" w:lineRule="exact"/>
              <w:ind w:left="321" w:right="328"/>
              <w:jc w:val="center"/>
              <w:rPr>
                <w:sz w:val="20"/>
              </w:rPr>
            </w:pPr>
            <w:r>
              <w:rPr>
                <w:sz w:val="20"/>
              </w:rPr>
              <w:t>15.22%</w:t>
            </w:r>
          </w:p>
        </w:tc>
      </w:tr>
    </w:tbl>
    <w:p>
      <w:pPr>
        <w:spacing w:after="0" w:line="210" w:lineRule="exact"/>
        <w:jc w:val="center"/>
        <w:rPr>
          <w:sz w:val="20"/>
        </w:rPr>
        <w:sectPr>
          <w:pgSz w:w="12240" w:h="15840"/>
          <w:pgMar w:header="0" w:footer="709" w:top="920" w:bottom="980" w:left="1120" w:right="0"/>
        </w:sectPr>
      </w:pPr>
    </w:p>
    <w:p>
      <w:pPr>
        <w:pStyle w:val="Heading3"/>
        <w:numPr>
          <w:ilvl w:val="1"/>
          <w:numId w:val="28"/>
        </w:numPr>
        <w:tabs>
          <w:tab w:pos="1039" w:val="left" w:leader="none"/>
          <w:tab w:pos="1040" w:val="left" w:leader="none"/>
        </w:tabs>
        <w:spacing w:line="240" w:lineRule="auto" w:before="76" w:after="0"/>
        <w:ind w:left="1039" w:right="0" w:hanging="719"/>
        <w:jc w:val="left"/>
      </w:pPr>
      <w:bookmarkStart w:name="_TOC_250036" w:id="170"/>
      <w:bookmarkStart w:name="4.4 COUNT DATA" w:id="171"/>
      <w:r>
        <w:rPr>
          <w:b w:val="0"/>
        </w:rPr>
      </w:r>
      <w:bookmarkEnd w:id="171"/>
      <w:bookmarkStart w:name="4.4 COUNT DATA" w:id="172"/>
      <w:r>
        <w:rPr/>
        <w:t>CO</w:t>
      </w:r>
      <w:r>
        <w:rPr/>
        <w:t>UNT</w:t>
      </w:r>
      <w:r>
        <w:rPr>
          <w:spacing w:val="-1"/>
        </w:rPr>
        <w:t> </w:t>
      </w:r>
      <w:bookmarkEnd w:id="170"/>
      <w:r>
        <w:rPr/>
        <w:t>DATA</w:t>
      </w:r>
    </w:p>
    <w:p>
      <w:pPr>
        <w:pStyle w:val="Heading3"/>
        <w:numPr>
          <w:ilvl w:val="2"/>
          <w:numId w:val="28"/>
        </w:numPr>
        <w:tabs>
          <w:tab w:pos="1040" w:val="left" w:leader="none"/>
        </w:tabs>
        <w:spacing w:line="240" w:lineRule="auto" w:before="240" w:after="0"/>
        <w:ind w:left="1039" w:right="0" w:hanging="719"/>
        <w:jc w:val="left"/>
      </w:pPr>
      <w:bookmarkStart w:name="_TOC_250035" w:id="173"/>
      <w:bookmarkStart w:name="4.4.1 Motor Vehicle Traffic" w:id="174"/>
      <w:r>
        <w:rPr>
          <w:b w:val="0"/>
        </w:rPr>
      </w:r>
      <w:bookmarkEnd w:id="174"/>
      <w:bookmarkStart w:name="4.4.1 Motor Vehicle Traffic" w:id="175"/>
      <w:r>
        <w:rPr/>
        <w:t>Motor</w:t>
      </w:r>
      <w:r>
        <w:rPr/>
        <w:t> Vehicle</w:t>
      </w:r>
      <w:r>
        <w:rPr>
          <w:spacing w:val="-3"/>
        </w:rPr>
        <w:t> </w:t>
      </w:r>
      <w:bookmarkEnd w:id="173"/>
      <w:r>
        <w:rPr/>
        <w:t>Traffic</w:t>
      </w:r>
    </w:p>
    <w:p>
      <w:pPr>
        <w:pStyle w:val="BodyText"/>
        <w:spacing w:before="237"/>
        <w:ind w:left="319" w:right="1436"/>
      </w:pPr>
      <w:r>
        <w:rPr/>
        <w:t>All the AADT data are calibrated to 2014 using growth factors obtained from the ODOT ATR station growth factors. The range of AADT of segment samples is between 235 to 34,278 with the mean as 10,806 and the standard deviation as 7,607. AADT data is collected for both major roads and minor roads for intersection samples. For some signalized intersections, volume data could not be obtained. For these locations, the models developed for ODOT project SPR 756 were used to estimate the AADT of minor roads at signalized intersections. In the data sample, the minimum AADT of major roads is 839 and the maximum value is 50,240, with the mean as 14,080 and the standard deviation as 8143. The AADT of minor roads varies from 500 to 26,130, with the mean value as 7,648 and the standard deviation as 5,480.</w:t>
      </w:r>
    </w:p>
    <w:p>
      <w:pPr>
        <w:pStyle w:val="BodyText"/>
        <w:rPr>
          <w:sz w:val="21"/>
        </w:rPr>
      </w:pPr>
    </w:p>
    <w:p>
      <w:pPr>
        <w:spacing w:before="0"/>
        <w:ind w:left="320" w:right="0" w:firstLine="0"/>
        <w:jc w:val="left"/>
        <w:rPr>
          <w:b/>
          <w:sz w:val="20"/>
        </w:rPr>
      </w:pPr>
      <w:r>
        <w:rPr>
          <w:b/>
          <w:sz w:val="20"/>
        </w:rPr>
        <w:t>Table 4.7: Summary of AADT</w:t>
      </w:r>
    </w:p>
    <w:tbl>
      <w:tblPr>
        <w:tblW w:w="0" w:type="auto"/>
        <w:jc w:val="left"/>
        <w:tblInd w:w="2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318"/>
        <w:gridCol w:w="1243"/>
        <w:gridCol w:w="1423"/>
        <w:gridCol w:w="1530"/>
        <w:gridCol w:w="2234"/>
      </w:tblGrid>
      <w:tr>
        <w:trPr>
          <w:trHeight w:val="230" w:hRule="atLeast"/>
        </w:trPr>
        <w:tc>
          <w:tcPr>
            <w:tcW w:w="2318" w:type="dxa"/>
            <w:tcBorders>
              <w:left w:val="nil"/>
              <w:right w:val="single" w:sz="4" w:space="0" w:color="000000"/>
            </w:tcBorders>
          </w:tcPr>
          <w:p>
            <w:pPr>
              <w:pStyle w:val="TableParagraph"/>
              <w:spacing w:line="210" w:lineRule="exact"/>
              <w:ind w:left="670"/>
              <w:rPr>
                <w:b/>
                <w:sz w:val="20"/>
              </w:rPr>
            </w:pPr>
            <w:r>
              <w:rPr>
                <w:b/>
                <w:sz w:val="20"/>
              </w:rPr>
              <w:t>Intersection</w:t>
            </w:r>
          </w:p>
        </w:tc>
        <w:tc>
          <w:tcPr>
            <w:tcW w:w="1243" w:type="dxa"/>
            <w:tcBorders>
              <w:left w:val="single" w:sz="4" w:space="0" w:color="000000"/>
              <w:right w:val="single" w:sz="4" w:space="0" w:color="000000"/>
            </w:tcBorders>
          </w:tcPr>
          <w:p>
            <w:pPr>
              <w:pStyle w:val="TableParagraph"/>
              <w:spacing w:line="210" w:lineRule="exact"/>
              <w:ind w:left="184" w:right="153"/>
              <w:jc w:val="center"/>
              <w:rPr>
                <w:b/>
                <w:sz w:val="20"/>
              </w:rPr>
            </w:pPr>
            <w:r>
              <w:rPr>
                <w:b/>
                <w:sz w:val="20"/>
              </w:rPr>
              <w:t>Minimum</w:t>
            </w:r>
          </w:p>
        </w:tc>
        <w:tc>
          <w:tcPr>
            <w:tcW w:w="1423" w:type="dxa"/>
            <w:tcBorders>
              <w:left w:val="single" w:sz="4" w:space="0" w:color="000000"/>
              <w:right w:val="single" w:sz="4" w:space="0" w:color="000000"/>
            </w:tcBorders>
          </w:tcPr>
          <w:p>
            <w:pPr>
              <w:pStyle w:val="TableParagraph"/>
              <w:spacing w:line="210" w:lineRule="exact"/>
              <w:ind w:left="257" w:right="226"/>
              <w:jc w:val="center"/>
              <w:rPr>
                <w:b/>
                <w:sz w:val="20"/>
              </w:rPr>
            </w:pPr>
            <w:r>
              <w:rPr>
                <w:b/>
                <w:sz w:val="20"/>
              </w:rPr>
              <w:t>Maximum</w:t>
            </w:r>
          </w:p>
        </w:tc>
        <w:tc>
          <w:tcPr>
            <w:tcW w:w="1530" w:type="dxa"/>
            <w:tcBorders>
              <w:left w:val="single" w:sz="4" w:space="0" w:color="000000"/>
              <w:right w:val="single" w:sz="4" w:space="0" w:color="000000"/>
            </w:tcBorders>
          </w:tcPr>
          <w:p>
            <w:pPr>
              <w:pStyle w:val="TableParagraph"/>
              <w:spacing w:line="210" w:lineRule="exact"/>
              <w:ind w:left="531"/>
              <w:rPr>
                <w:b/>
                <w:sz w:val="20"/>
              </w:rPr>
            </w:pPr>
            <w:r>
              <w:rPr>
                <w:b/>
                <w:sz w:val="20"/>
              </w:rPr>
              <w:t>Mean</w:t>
            </w:r>
          </w:p>
        </w:tc>
        <w:tc>
          <w:tcPr>
            <w:tcW w:w="2234" w:type="dxa"/>
            <w:tcBorders>
              <w:left w:val="single" w:sz="4" w:space="0" w:color="000000"/>
              <w:right w:val="nil"/>
            </w:tcBorders>
          </w:tcPr>
          <w:p>
            <w:pPr>
              <w:pStyle w:val="TableParagraph"/>
              <w:spacing w:line="210" w:lineRule="exact"/>
              <w:ind w:left="271" w:right="245"/>
              <w:jc w:val="center"/>
              <w:rPr>
                <w:b/>
                <w:sz w:val="20"/>
              </w:rPr>
            </w:pPr>
            <w:r>
              <w:rPr>
                <w:b/>
                <w:sz w:val="20"/>
              </w:rPr>
              <w:t>Standard Deviation</w:t>
            </w:r>
          </w:p>
        </w:tc>
      </w:tr>
      <w:tr>
        <w:trPr>
          <w:trHeight w:val="228" w:hRule="atLeast"/>
        </w:trPr>
        <w:tc>
          <w:tcPr>
            <w:tcW w:w="2318" w:type="dxa"/>
            <w:tcBorders>
              <w:left w:val="nil"/>
              <w:bottom w:val="single" w:sz="4" w:space="0" w:color="000000"/>
              <w:right w:val="single" w:sz="4" w:space="0" w:color="000000"/>
            </w:tcBorders>
          </w:tcPr>
          <w:p>
            <w:pPr>
              <w:pStyle w:val="TableParagraph"/>
              <w:spacing w:line="209" w:lineRule="exact"/>
              <w:ind w:left="137"/>
              <w:rPr>
                <w:sz w:val="20"/>
              </w:rPr>
            </w:pPr>
            <w:r>
              <w:rPr>
                <w:sz w:val="20"/>
              </w:rPr>
              <w:t>Major road</w:t>
            </w:r>
          </w:p>
        </w:tc>
        <w:tc>
          <w:tcPr>
            <w:tcW w:w="1243" w:type="dxa"/>
            <w:tcBorders>
              <w:left w:val="single" w:sz="4" w:space="0" w:color="000000"/>
              <w:bottom w:val="single" w:sz="4" w:space="0" w:color="000000"/>
              <w:right w:val="single" w:sz="4" w:space="0" w:color="000000"/>
            </w:tcBorders>
          </w:tcPr>
          <w:p>
            <w:pPr>
              <w:pStyle w:val="TableParagraph"/>
              <w:spacing w:line="209" w:lineRule="exact"/>
              <w:ind w:left="183" w:right="153"/>
              <w:jc w:val="center"/>
              <w:rPr>
                <w:sz w:val="20"/>
              </w:rPr>
            </w:pPr>
            <w:r>
              <w:rPr>
                <w:sz w:val="20"/>
              </w:rPr>
              <w:t>837</w:t>
            </w:r>
          </w:p>
        </w:tc>
        <w:tc>
          <w:tcPr>
            <w:tcW w:w="1423" w:type="dxa"/>
            <w:tcBorders>
              <w:left w:val="single" w:sz="4" w:space="0" w:color="000000"/>
              <w:bottom w:val="single" w:sz="4" w:space="0" w:color="000000"/>
              <w:right w:val="single" w:sz="4" w:space="0" w:color="000000"/>
            </w:tcBorders>
          </w:tcPr>
          <w:p>
            <w:pPr>
              <w:pStyle w:val="TableParagraph"/>
              <w:spacing w:line="209" w:lineRule="exact"/>
              <w:ind w:left="257" w:right="226"/>
              <w:jc w:val="center"/>
              <w:rPr>
                <w:sz w:val="20"/>
              </w:rPr>
            </w:pPr>
            <w:r>
              <w:rPr>
                <w:sz w:val="20"/>
              </w:rPr>
              <w:t>50,240</w:t>
            </w:r>
          </w:p>
        </w:tc>
        <w:tc>
          <w:tcPr>
            <w:tcW w:w="1530" w:type="dxa"/>
            <w:tcBorders>
              <w:left w:val="single" w:sz="4" w:space="0" w:color="000000"/>
              <w:bottom w:val="single" w:sz="4" w:space="0" w:color="000000"/>
              <w:right w:val="single" w:sz="4" w:space="0" w:color="000000"/>
            </w:tcBorders>
          </w:tcPr>
          <w:p>
            <w:pPr>
              <w:pStyle w:val="TableParagraph"/>
              <w:spacing w:line="209" w:lineRule="exact"/>
              <w:ind w:right="341"/>
              <w:jc w:val="right"/>
              <w:rPr>
                <w:sz w:val="20"/>
              </w:rPr>
            </w:pPr>
            <w:r>
              <w:rPr>
                <w:sz w:val="20"/>
              </w:rPr>
              <w:t>14,080.34</w:t>
            </w:r>
          </w:p>
        </w:tc>
        <w:tc>
          <w:tcPr>
            <w:tcW w:w="2234" w:type="dxa"/>
            <w:tcBorders>
              <w:left w:val="single" w:sz="4" w:space="0" w:color="000000"/>
              <w:bottom w:val="single" w:sz="4" w:space="0" w:color="000000"/>
              <w:right w:val="nil"/>
            </w:tcBorders>
          </w:tcPr>
          <w:p>
            <w:pPr>
              <w:pStyle w:val="TableParagraph"/>
              <w:spacing w:line="209" w:lineRule="exact"/>
              <w:ind w:left="270" w:right="245"/>
              <w:jc w:val="center"/>
              <w:rPr>
                <w:sz w:val="20"/>
              </w:rPr>
            </w:pPr>
            <w:r>
              <w:rPr>
                <w:sz w:val="20"/>
              </w:rPr>
              <w:t>8,143.53</w:t>
            </w:r>
          </w:p>
        </w:tc>
      </w:tr>
      <w:tr>
        <w:trPr>
          <w:trHeight w:val="230" w:hRule="atLeast"/>
        </w:trPr>
        <w:tc>
          <w:tcPr>
            <w:tcW w:w="2318" w:type="dxa"/>
            <w:tcBorders>
              <w:top w:val="single" w:sz="4" w:space="0" w:color="000000"/>
              <w:left w:val="nil"/>
              <w:bottom w:val="single" w:sz="4" w:space="0" w:color="000000"/>
              <w:right w:val="single" w:sz="4" w:space="0" w:color="000000"/>
            </w:tcBorders>
          </w:tcPr>
          <w:p>
            <w:pPr>
              <w:pStyle w:val="TableParagraph"/>
              <w:spacing w:line="210" w:lineRule="exact"/>
              <w:ind w:left="137"/>
              <w:rPr>
                <w:sz w:val="20"/>
              </w:rPr>
            </w:pPr>
            <w:r>
              <w:rPr>
                <w:sz w:val="20"/>
              </w:rPr>
              <w:t>Minor road</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83" w:right="153"/>
              <w:jc w:val="center"/>
              <w:rPr>
                <w:sz w:val="20"/>
              </w:rPr>
            </w:pPr>
            <w:r>
              <w:rPr>
                <w:sz w:val="20"/>
              </w:rPr>
              <w:t>500</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257" w:right="226"/>
              <w:jc w:val="center"/>
              <w:rPr>
                <w:sz w:val="20"/>
              </w:rPr>
            </w:pPr>
            <w:r>
              <w:rPr>
                <w:sz w:val="20"/>
              </w:rPr>
              <w:t>26,134</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right="392"/>
              <w:jc w:val="right"/>
              <w:rPr>
                <w:sz w:val="20"/>
              </w:rPr>
            </w:pPr>
            <w:r>
              <w:rPr>
                <w:sz w:val="20"/>
              </w:rPr>
              <w:t>7,648.98</w:t>
            </w:r>
          </w:p>
        </w:tc>
        <w:tc>
          <w:tcPr>
            <w:tcW w:w="2234" w:type="dxa"/>
            <w:tcBorders>
              <w:top w:val="single" w:sz="4" w:space="0" w:color="000000"/>
              <w:left w:val="single" w:sz="4" w:space="0" w:color="000000"/>
              <w:bottom w:val="single" w:sz="4" w:space="0" w:color="000000"/>
              <w:right w:val="nil"/>
            </w:tcBorders>
          </w:tcPr>
          <w:p>
            <w:pPr>
              <w:pStyle w:val="TableParagraph"/>
              <w:spacing w:line="210" w:lineRule="exact"/>
              <w:ind w:left="270" w:right="245"/>
              <w:jc w:val="center"/>
              <w:rPr>
                <w:sz w:val="20"/>
              </w:rPr>
            </w:pPr>
            <w:r>
              <w:rPr>
                <w:sz w:val="20"/>
              </w:rPr>
              <w:t>5,480.24</w:t>
            </w:r>
          </w:p>
        </w:tc>
      </w:tr>
      <w:tr>
        <w:trPr>
          <w:trHeight w:val="230" w:hRule="atLeast"/>
        </w:trPr>
        <w:tc>
          <w:tcPr>
            <w:tcW w:w="2318" w:type="dxa"/>
            <w:tcBorders>
              <w:top w:val="single" w:sz="4" w:space="0" w:color="000000"/>
              <w:left w:val="nil"/>
              <w:right w:val="single" w:sz="4" w:space="0" w:color="000000"/>
            </w:tcBorders>
          </w:tcPr>
          <w:p>
            <w:pPr>
              <w:pStyle w:val="TableParagraph"/>
              <w:spacing w:line="210" w:lineRule="exact"/>
              <w:ind w:left="137"/>
              <w:rPr>
                <w:sz w:val="20"/>
              </w:rPr>
            </w:pPr>
            <w:r>
              <w:rPr>
                <w:sz w:val="20"/>
              </w:rPr>
              <w:t>Segment</w:t>
            </w:r>
          </w:p>
        </w:tc>
        <w:tc>
          <w:tcPr>
            <w:tcW w:w="1243" w:type="dxa"/>
            <w:tcBorders>
              <w:top w:val="single" w:sz="4" w:space="0" w:color="000000"/>
              <w:left w:val="single" w:sz="4" w:space="0" w:color="000000"/>
              <w:right w:val="single" w:sz="4" w:space="0" w:color="000000"/>
            </w:tcBorders>
          </w:tcPr>
          <w:p>
            <w:pPr>
              <w:pStyle w:val="TableParagraph"/>
              <w:spacing w:line="210" w:lineRule="exact"/>
              <w:ind w:left="183" w:right="153"/>
              <w:jc w:val="center"/>
              <w:rPr>
                <w:sz w:val="20"/>
              </w:rPr>
            </w:pPr>
            <w:r>
              <w:rPr>
                <w:sz w:val="20"/>
              </w:rPr>
              <w:t>236</w:t>
            </w:r>
          </w:p>
        </w:tc>
        <w:tc>
          <w:tcPr>
            <w:tcW w:w="1423" w:type="dxa"/>
            <w:tcBorders>
              <w:top w:val="single" w:sz="4" w:space="0" w:color="000000"/>
              <w:left w:val="single" w:sz="4" w:space="0" w:color="000000"/>
              <w:right w:val="single" w:sz="4" w:space="0" w:color="000000"/>
            </w:tcBorders>
          </w:tcPr>
          <w:p>
            <w:pPr>
              <w:pStyle w:val="TableParagraph"/>
              <w:spacing w:line="210" w:lineRule="exact"/>
              <w:ind w:left="257" w:right="226"/>
              <w:jc w:val="center"/>
              <w:rPr>
                <w:sz w:val="20"/>
              </w:rPr>
            </w:pPr>
            <w:r>
              <w:rPr>
                <w:sz w:val="20"/>
              </w:rPr>
              <w:t>34,278</w:t>
            </w:r>
          </w:p>
        </w:tc>
        <w:tc>
          <w:tcPr>
            <w:tcW w:w="1530" w:type="dxa"/>
            <w:tcBorders>
              <w:top w:val="single" w:sz="4" w:space="0" w:color="000000"/>
              <w:left w:val="single" w:sz="4" w:space="0" w:color="000000"/>
              <w:right w:val="single" w:sz="4" w:space="0" w:color="000000"/>
            </w:tcBorders>
          </w:tcPr>
          <w:p>
            <w:pPr>
              <w:pStyle w:val="TableParagraph"/>
              <w:spacing w:line="210" w:lineRule="exact"/>
              <w:ind w:right="341"/>
              <w:jc w:val="right"/>
              <w:rPr>
                <w:sz w:val="20"/>
              </w:rPr>
            </w:pPr>
            <w:r>
              <w:rPr>
                <w:sz w:val="20"/>
              </w:rPr>
              <w:t>10,806.27</w:t>
            </w:r>
          </w:p>
        </w:tc>
        <w:tc>
          <w:tcPr>
            <w:tcW w:w="2234" w:type="dxa"/>
            <w:tcBorders>
              <w:top w:val="single" w:sz="4" w:space="0" w:color="000000"/>
              <w:left w:val="single" w:sz="4" w:space="0" w:color="000000"/>
              <w:right w:val="nil"/>
            </w:tcBorders>
          </w:tcPr>
          <w:p>
            <w:pPr>
              <w:pStyle w:val="TableParagraph"/>
              <w:spacing w:line="210" w:lineRule="exact"/>
              <w:ind w:left="271" w:right="245"/>
              <w:jc w:val="center"/>
              <w:rPr>
                <w:sz w:val="20"/>
              </w:rPr>
            </w:pPr>
            <w:r>
              <w:rPr>
                <w:sz w:val="20"/>
              </w:rPr>
              <w:t>7,607.40</w:t>
            </w:r>
          </w:p>
        </w:tc>
      </w:tr>
    </w:tbl>
    <w:p>
      <w:pPr>
        <w:pStyle w:val="BodyText"/>
        <w:rPr>
          <w:b/>
        </w:rPr>
      </w:pPr>
    </w:p>
    <w:p>
      <w:pPr>
        <w:pStyle w:val="Heading3"/>
        <w:numPr>
          <w:ilvl w:val="2"/>
          <w:numId w:val="28"/>
        </w:numPr>
        <w:tabs>
          <w:tab w:pos="1040" w:val="left" w:leader="none"/>
        </w:tabs>
        <w:spacing w:line="240" w:lineRule="auto" w:before="0" w:after="0"/>
        <w:ind w:left="1039" w:right="0" w:hanging="719"/>
        <w:jc w:val="left"/>
      </w:pPr>
      <w:bookmarkStart w:name="_TOC_250034" w:id="176"/>
      <w:bookmarkStart w:name="4.4.2 Bicycle Traffic (STRAVA)" w:id="177"/>
      <w:r>
        <w:rPr>
          <w:b w:val="0"/>
        </w:rPr>
      </w:r>
      <w:bookmarkEnd w:id="177"/>
      <w:bookmarkStart w:name="4.4.2 Bicycle Traffic (STRAVA)" w:id="178"/>
      <w:r>
        <w:rPr/>
        <w:t>B</w:t>
      </w:r>
      <w:r>
        <w:rPr/>
        <w:t>icycle Traffic</w:t>
      </w:r>
      <w:r>
        <w:rPr>
          <w:spacing w:val="-2"/>
        </w:rPr>
        <w:t> </w:t>
      </w:r>
      <w:bookmarkEnd w:id="176"/>
      <w:r>
        <w:rPr/>
        <w:t>(STRAVA)</w:t>
      </w:r>
    </w:p>
    <w:p>
      <w:pPr>
        <w:pStyle w:val="BodyText"/>
        <w:spacing w:before="237"/>
        <w:ind w:left="320" w:right="1508"/>
      </w:pPr>
      <w:r>
        <w:rPr/>
        <w:t>STRAVA data is used as daily bike count data in the project. Daily bike volume of selected segments varies from minimum 0 to maximum 1,480 with mean value at 94.32 and 165.37 standard deviation. Intersection daily bike volume is counted as the summation of the volume of major road and minor road. The range is from a minimum 5 to maximum 7,020 with mean value</w:t>
      </w:r>
    </w:p>
    <w:p>
      <w:pPr>
        <w:pStyle w:val="BodyText"/>
        <w:ind w:left="320"/>
      </w:pPr>
      <w:r>
        <w:rPr/>
        <w:t>261.3 and standard deviation 641.2.</w:t>
      </w:r>
    </w:p>
    <w:p>
      <w:pPr>
        <w:pStyle w:val="BodyText"/>
        <w:rPr>
          <w:sz w:val="26"/>
        </w:rPr>
      </w:pPr>
    </w:p>
    <w:p>
      <w:pPr>
        <w:pStyle w:val="BodyText"/>
        <w:rPr>
          <w:sz w:val="26"/>
        </w:rPr>
      </w:pPr>
    </w:p>
    <w:p>
      <w:pPr>
        <w:spacing w:before="161"/>
        <w:ind w:left="320" w:right="0" w:firstLine="0"/>
        <w:jc w:val="left"/>
        <w:rPr>
          <w:b/>
          <w:sz w:val="20"/>
        </w:rPr>
      </w:pPr>
      <w:r>
        <w:rPr>
          <w:b/>
          <w:sz w:val="20"/>
        </w:rPr>
        <w:t>Table 4.8: Summary of Bike Volume Data</w:t>
      </w:r>
    </w:p>
    <w:tbl>
      <w:tblPr>
        <w:tblW w:w="0" w:type="auto"/>
        <w:jc w:val="left"/>
        <w:tblInd w:w="10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364"/>
        <w:gridCol w:w="1440"/>
        <w:gridCol w:w="1710"/>
        <w:gridCol w:w="1170"/>
        <w:gridCol w:w="2096"/>
      </w:tblGrid>
      <w:tr>
        <w:trPr>
          <w:trHeight w:val="257" w:hRule="atLeast"/>
        </w:trPr>
        <w:tc>
          <w:tcPr>
            <w:tcW w:w="1364" w:type="dxa"/>
            <w:tcBorders>
              <w:left w:val="nil"/>
              <w:right w:val="single" w:sz="4" w:space="0" w:color="000000"/>
            </w:tcBorders>
          </w:tcPr>
          <w:p>
            <w:pPr>
              <w:pStyle w:val="TableParagraph"/>
              <w:spacing w:line="224" w:lineRule="exact" w:before="13"/>
              <w:ind w:left="325"/>
              <w:rPr>
                <w:b/>
                <w:sz w:val="20"/>
              </w:rPr>
            </w:pPr>
            <w:r>
              <w:rPr>
                <w:b/>
                <w:sz w:val="20"/>
              </w:rPr>
              <w:t>Location</w:t>
            </w:r>
          </w:p>
        </w:tc>
        <w:tc>
          <w:tcPr>
            <w:tcW w:w="1440" w:type="dxa"/>
            <w:tcBorders>
              <w:left w:val="single" w:sz="4" w:space="0" w:color="000000"/>
              <w:right w:val="single" w:sz="4" w:space="0" w:color="000000"/>
            </w:tcBorders>
          </w:tcPr>
          <w:p>
            <w:pPr>
              <w:pStyle w:val="TableParagraph"/>
              <w:spacing w:line="224" w:lineRule="exact" w:before="13"/>
              <w:ind w:left="282" w:right="252"/>
              <w:jc w:val="center"/>
              <w:rPr>
                <w:b/>
                <w:sz w:val="20"/>
              </w:rPr>
            </w:pPr>
            <w:r>
              <w:rPr>
                <w:b/>
                <w:sz w:val="20"/>
              </w:rPr>
              <w:t>Minimum</w:t>
            </w:r>
          </w:p>
        </w:tc>
        <w:tc>
          <w:tcPr>
            <w:tcW w:w="1710" w:type="dxa"/>
            <w:tcBorders>
              <w:left w:val="single" w:sz="4" w:space="0" w:color="000000"/>
              <w:right w:val="single" w:sz="4" w:space="0" w:color="000000"/>
            </w:tcBorders>
          </w:tcPr>
          <w:p>
            <w:pPr>
              <w:pStyle w:val="TableParagraph"/>
              <w:spacing w:line="224" w:lineRule="exact" w:before="13"/>
              <w:ind w:left="401" w:right="369"/>
              <w:jc w:val="center"/>
              <w:rPr>
                <w:b/>
                <w:sz w:val="20"/>
              </w:rPr>
            </w:pPr>
            <w:r>
              <w:rPr>
                <w:b/>
                <w:sz w:val="20"/>
              </w:rPr>
              <w:t>Maximum</w:t>
            </w:r>
          </w:p>
        </w:tc>
        <w:tc>
          <w:tcPr>
            <w:tcW w:w="1170" w:type="dxa"/>
            <w:tcBorders>
              <w:left w:val="single" w:sz="4" w:space="0" w:color="000000"/>
              <w:right w:val="single" w:sz="4" w:space="0" w:color="000000"/>
            </w:tcBorders>
          </w:tcPr>
          <w:p>
            <w:pPr>
              <w:pStyle w:val="TableParagraph"/>
              <w:spacing w:line="224" w:lineRule="exact" w:before="13"/>
              <w:ind w:left="351"/>
              <w:rPr>
                <w:b/>
                <w:sz w:val="20"/>
              </w:rPr>
            </w:pPr>
            <w:r>
              <w:rPr>
                <w:b/>
                <w:sz w:val="20"/>
              </w:rPr>
              <w:t>Mean</w:t>
            </w:r>
          </w:p>
        </w:tc>
        <w:tc>
          <w:tcPr>
            <w:tcW w:w="2096" w:type="dxa"/>
            <w:tcBorders>
              <w:left w:val="single" w:sz="4" w:space="0" w:color="000000"/>
              <w:right w:val="nil"/>
            </w:tcBorders>
          </w:tcPr>
          <w:p>
            <w:pPr>
              <w:pStyle w:val="TableParagraph"/>
              <w:spacing w:line="224" w:lineRule="exact" w:before="13"/>
              <w:ind w:left="202" w:right="176"/>
              <w:jc w:val="center"/>
              <w:rPr>
                <w:b/>
                <w:sz w:val="20"/>
              </w:rPr>
            </w:pPr>
            <w:r>
              <w:rPr>
                <w:b/>
                <w:sz w:val="20"/>
              </w:rPr>
              <w:t>Standard Deviation</w:t>
            </w:r>
          </w:p>
        </w:tc>
      </w:tr>
      <w:tr>
        <w:trPr>
          <w:trHeight w:val="257" w:hRule="atLeast"/>
        </w:trPr>
        <w:tc>
          <w:tcPr>
            <w:tcW w:w="1364" w:type="dxa"/>
            <w:tcBorders>
              <w:left w:val="nil"/>
              <w:bottom w:val="single" w:sz="4" w:space="0" w:color="000000"/>
              <w:right w:val="single" w:sz="4" w:space="0" w:color="000000"/>
            </w:tcBorders>
          </w:tcPr>
          <w:p>
            <w:pPr>
              <w:pStyle w:val="TableParagraph"/>
              <w:spacing w:line="227" w:lineRule="exact" w:before="11"/>
              <w:ind w:left="137"/>
              <w:rPr>
                <w:sz w:val="20"/>
              </w:rPr>
            </w:pPr>
            <w:r>
              <w:rPr>
                <w:sz w:val="20"/>
              </w:rPr>
              <w:t>Intersection</w:t>
            </w:r>
          </w:p>
        </w:tc>
        <w:tc>
          <w:tcPr>
            <w:tcW w:w="1440" w:type="dxa"/>
            <w:tcBorders>
              <w:left w:val="single" w:sz="4" w:space="0" w:color="000000"/>
              <w:bottom w:val="single" w:sz="4" w:space="0" w:color="000000"/>
              <w:right w:val="single" w:sz="4" w:space="0" w:color="000000"/>
            </w:tcBorders>
          </w:tcPr>
          <w:p>
            <w:pPr>
              <w:pStyle w:val="TableParagraph"/>
              <w:spacing w:line="227" w:lineRule="exact" w:before="11"/>
              <w:ind w:left="30"/>
              <w:jc w:val="center"/>
              <w:rPr>
                <w:sz w:val="20"/>
              </w:rPr>
            </w:pPr>
            <w:r>
              <w:rPr>
                <w:w w:val="100"/>
                <w:sz w:val="20"/>
              </w:rPr>
              <w:t>5</w:t>
            </w:r>
          </w:p>
        </w:tc>
        <w:tc>
          <w:tcPr>
            <w:tcW w:w="1710" w:type="dxa"/>
            <w:tcBorders>
              <w:left w:val="single" w:sz="4" w:space="0" w:color="000000"/>
              <w:bottom w:val="single" w:sz="4" w:space="0" w:color="000000"/>
              <w:right w:val="single" w:sz="4" w:space="0" w:color="000000"/>
            </w:tcBorders>
          </w:tcPr>
          <w:p>
            <w:pPr>
              <w:pStyle w:val="TableParagraph"/>
              <w:spacing w:line="227" w:lineRule="exact" w:before="11"/>
              <w:ind w:left="399" w:right="369"/>
              <w:jc w:val="center"/>
              <w:rPr>
                <w:sz w:val="20"/>
              </w:rPr>
            </w:pPr>
            <w:r>
              <w:rPr>
                <w:sz w:val="20"/>
              </w:rPr>
              <w:t>7,020</w:t>
            </w:r>
          </w:p>
        </w:tc>
        <w:tc>
          <w:tcPr>
            <w:tcW w:w="1170" w:type="dxa"/>
            <w:tcBorders>
              <w:left w:val="single" w:sz="4" w:space="0" w:color="000000"/>
              <w:bottom w:val="single" w:sz="4" w:space="0" w:color="000000"/>
              <w:right w:val="single" w:sz="4" w:space="0" w:color="000000"/>
            </w:tcBorders>
          </w:tcPr>
          <w:p>
            <w:pPr>
              <w:pStyle w:val="TableParagraph"/>
              <w:spacing w:line="227" w:lineRule="exact" w:before="11"/>
              <w:ind w:left="320"/>
              <w:rPr>
                <w:sz w:val="20"/>
              </w:rPr>
            </w:pPr>
            <w:r>
              <w:rPr>
                <w:sz w:val="20"/>
              </w:rPr>
              <w:t>261.26</w:t>
            </w:r>
          </w:p>
        </w:tc>
        <w:tc>
          <w:tcPr>
            <w:tcW w:w="2096" w:type="dxa"/>
            <w:tcBorders>
              <w:left w:val="single" w:sz="4" w:space="0" w:color="000000"/>
              <w:bottom w:val="single" w:sz="4" w:space="0" w:color="000000"/>
              <w:right w:val="nil"/>
            </w:tcBorders>
          </w:tcPr>
          <w:p>
            <w:pPr>
              <w:pStyle w:val="TableParagraph"/>
              <w:spacing w:line="227" w:lineRule="exact" w:before="11"/>
              <w:ind w:left="200" w:right="176"/>
              <w:jc w:val="center"/>
              <w:rPr>
                <w:sz w:val="20"/>
              </w:rPr>
            </w:pPr>
            <w:r>
              <w:rPr>
                <w:sz w:val="20"/>
              </w:rPr>
              <w:t>641.24</w:t>
            </w:r>
          </w:p>
        </w:tc>
      </w:tr>
      <w:tr>
        <w:trPr>
          <w:trHeight w:val="278" w:hRule="atLeast"/>
        </w:trPr>
        <w:tc>
          <w:tcPr>
            <w:tcW w:w="1364" w:type="dxa"/>
            <w:tcBorders>
              <w:top w:val="single" w:sz="4" w:space="0" w:color="000000"/>
              <w:left w:val="nil"/>
              <w:right w:val="single" w:sz="4" w:space="0" w:color="000000"/>
            </w:tcBorders>
          </w:tcPr>
          <w:p>
            <w:pPr>
              <w:pStyle w:val="TableParagraph"/>
              <w:spacing w:before="22"/>
              <w:ind w:left="137"/>
              <w:rPr>
                <w:sz w:val="20"/>
              </w:rPr>
            </w:pPr>
            <w:r>
              <w:rPr>
                <w:sz w:val="20"/>
              </w:rPr>
              <w:t>Segment</w:t>
            </w:r>
          </w:p>
        </w:tc>
        <w:tc>
          <w:tcPr>
            <w:tcW w:w="1440" w:type="dxa"/>
            <w:tcBorders>
              <w:top w:val="single" w:sz="4" w:space="0" w:color="000000"/>
              <w:left w:val="single" w:sz="4" w:space="0" w:color="000000"/>
              <w:right w:val="single" w:sz="4" w:space="0" w:color="000000"/>
            </w:tcBorders>
          </w:tcPr>
          <w:p>
            <w:pPr>
              <w:pStyle w:val="TableParagraph"/>
              <w:spacing w:before="22"/>
              <w:ind w:left="30"/>
              <w:jc w:val="center"/>
              <w:rPr>
                <w:sz w:val="20"/>
              </w:rPr>
            </w:pPr>
            <w:r>
              <w:rPr>
                <w:w w:val="100"/>
                <w:sz w:val="20"/>
              </w:rPr>
              <w:t>0</w:t>
            </w:r>
          </w:p>
        </w:tc>
        <w:tc>
          <w:tcPr>
            <w:tcW w:w="1710" w:type="dxa"/>
            <w:tcBorders>
              <w:top w:val="single" w:sz="4" w:space="0" w:color="000000"/>
              <w:left w:val="single" w:sz="4" w:space="0" w:color="000000"/>
              <w:right w:val="single" w:sz="4" w:space="0" w:color="000000"/>
            </w:tcBorders>
          </w:tcPr>
          <w:p>
            <w:pPr>
              <w:pStyle w:val="TableParagraph"/>
              <w:spacing w:before="22"/>
              <w:ind w:left="400" w:right="369"/>
              <w:jc w:val="center"/>
              <w:rPr>
                <w:sz w:val="20"/>
              </w:rPr>
            </w:pPr>
            <w:r>
              <w:rPr>
                <w:sz w:val="20"/>
              </w:rPr>
              <w:t>1,480</w:t>
            </w:r>
          </w:p>
        </w:tc>
        <w:tc>
          <w:tcPr>
            <w:tcW w:w="1170" w:type="dxa"/>
            <w:tcBorders>
              <w:top w:val="single" w:sz="4" w:space="0" w:color="000000"/>
              <w:left w:val="single" w:sz="4" w:space="0" w:color="000000"/>
              <w:right w:val="single" w:sz="4" w:space="0" w:color="000000"/>
            </w:tcBorders>
          </w:tcPr>
          <w:p>
            <w:pPr>
              <w:pStyle w:val="TableParagraph"/>
              <w:spacing w:before="22"/>
              <w:ind w:left="370"/>
              <w:rPr>
                <w:sz w:val="20"/>
              </w:rPr>
            </w:pPr>
            <w:r>
              <w:rPr>
                <w:sz w:val="20"/>
              </w:rPr>
              <w:t>94.32</w:t>
            </w:r>
          </w:p>
        </w:tc>
        <w:tc>
          <w:tcPr>
            <w:tcW w:w="2096" w:type="dxa"/>
            <w:tcBorders>
              <w:top w:val="single" w:sz="4" w:space="0" w:color="000000"/>
              <w:left w:val="single" w:sz="4" w:space="0" w:color="000000"/>
              <w:right w:val="nil"/>
            </w:tcBorders>
          </w:tcPr>
          <w:p>
            <w:pPr>
              <w:pStyle w:val="TableParagraph"/>
              <w:spacing w:before="22"/>
              <w:ind w:left="200" w:right="176"/>
              <w:jc w:val="center"/>
              <w:rPr>
                <w:sz w:val="20"/>
              </w:rPr>
            </w:pPr>
            <w:r>
              <w:rPr>
                <w:sz w:val="20"/>
              </w:rPr>
              <w:t>165.37</w:t>
            </w:r>
          </w:p>
        </w:tc>
      </w:tr>
    </w:tbl>
    <w:p>
      <w:pPr>
        <w:pStyle w:val="BodyText"/>
        <w:rPr>
          <w:b/>
        </w:rPr>
      </w:pPr>
    </w:p>
    <w:p>
      <w:pPr>
        <w:pStyle w:val="Heading3"/>
        <w:tabs>
          <w:tab w:pos="1039" w:val="left" w:leader="none"/>
        </w:tabs>
        <w:ind w:left="320" w:firstLine="0"/>
      </w:pPr>
      <w:bookmarkStart w:name="_TOC_250033" w:id="179"/>
      <w:bookmarkStart w:name="4.5 CRASH DATA" w:id="180"/>
      <w:r>
        <w:rPr>
          <w:b w:val="0"/>
        </w:rPr>
      </w:r>
      <w:r>
        <w:rPr/>
        <w:t>4.5</w:t>
        <w:tab/>
        <w:t>CRASH</w:t>
      </w:r>
      <w:r>
        <w:rPr>
          <w:spacing w:val="-1"/>
        </w:rPr>
        <w:t> </w:t>
      </w:r>
      <w:bookmarkEnd w:id="179"/>
      <w:r>
        <w:rPr/>
        <w:t>DATA</w:t>
      </w:r>
    </w:p>
    <w:p>
      <w:pPr>
        <w:pStyle w:val="BodyText"/>
        <w:spacing w:before="236"/>
        <w:ind w:left="319" w:right="1477"/>
      </w:pPr>
      <w:r>
        <w:rPr/>
        <w:t>Bicycle and pedestrian crashes share very similar distribution patterns on segments. There are no crashes present from 2009 to 2013 on many segments in the sample. In total, there were 113 pedestrian and 100 bicycle crashes on the segments and 108 pedestrian and 130 bicycle crashes at the intersections. Around 20% of the segments have only one bicycle or pedestrian crash.</w:t>
      </w:r>
    </w:p>
    <w:p>
      <w:pPr>
        <w:pStyle w:val="BodyText"/>
        <w:ind w:left="320" w:right="1476"/>
      </w:pPr>
      <w:r>
        <w:rPr/>
        <w:t>Fewer segments, around 10%, have two crashes during five years and only a few have more than two crashes. Intersections have similar patterns for pedestrian and crash frequency. Most of the intersections selected do not have crashes and few intersections had more than two crashes from 2009 to 2013. Others have one or two pedestrian or bicycle crashes. </w:t>
      </w:r>
      <w:hyperlink w:history="true" w:anchor="_bookmark35">
        <w:r>
          <w:rPr/>
          <w:t>Figure 4.6</w:t>
        </w:r>
      </w:hyperlink>
      <w:r>
        <w:rPr/>
        <w:t> shows the bar chart of the intersection crash frequency distribution.</w:t>
      </w:r>
    </w:p>
    <w:p>
      <w:pPr>
        <w:spacing w:after="0"/>
        <w:sectPr>
          <w:pgSz w:w="12240" w:h="15840"/>
          <w:pgMar w:header="0" w:footer="709" w:top="920" w:bottom="980" w:left="1120" w:right="0"/>
        </w:sectPr>
      </w:pPr>
    </w:p>
    <w:p>
      <w:pPr>
        <w:spacing w:before="131"/>
        <w:ind w:left="1793" w:right="0" w:firstLine="0"/>
        <w:jc w:val="left"/>
        <w:rPr>
          <w:rFonts w:ascii="Calibri"/>
          <w:sz w:val="18"/>
        </w:rPr>
      </w:pPr>
      <w:r>
        <w:rPr/>
        <w:pict>
          <v:group style="position:absolute;margin-left:167.759995pt;margin-top:21.845526pt;width:299.25pt;height:139.5pt;mso-position-horizontal-relative:page;mso-position-vertical-relative:paragraph;z-index:3184" coordorigin="3355,437" coordsize="5985,2790">
            <v:shape style="position:absolute;left:3355;top:674;width:5985;height:2121" coordorigin="3355,674" coordsize="5985,2121" path="m5980,2795l9340,2795m5554,2795l5645,2795m4483,2795l5219,2795m4057,2795l4148,2795m3355,2795l3722,2795m4057,2371l4148,2371m3355,2371l3722,2371m4057,1946l4148,1946m3355,1946l3722,1946m4057,1523l4148,1523m3355,1523l3722,1523m4057,1099l4148,1099m3355,1099l3722,1099m4057,674l9340,674m3355,674l3722,674e" filled="false" stroked="true" strokeweight=".72pt" strokecolor="#dadada">
              <v:path arrowok="t"/>
              <v:stroke dashstyle="solid"/>
            </v:shape>
            <v:rect style="position:absolute;left:3722;top:568;width:335;height:2651" filled="true" fillcolor="#b4c7e7" stroked="false">
              <v:fill type="solid"/>
            </v:rect>
            <v:shape style="position:absolute;left:4483;top:2371;width:1162;height:2" coordorigin="4483,2371" coordsize="1162,0" path="m5554,2371l5645,2371m4483,2371l5219,2371e" filled="false" stroked="true" strokeweight=".72pt" strokecolor="#dadada">
              <v:path arrowok="t"/>
              <v:stroke dashstyle="solid"/>
            </v:shape>
            <v:shape style="position:absolute;left:5218;top:2349;width:3328;height:870" coordorigin="5219,2349" coordsize="3328,870" path="m5554,2349l5219,2349,5219,3219,5554,3219,5554,2349m7050,2901l6715,2901,6715,3219,7050,3219,7050,2901m8546,3071l8212,3071,8212,3219,8546,3219,8546,3071e" filled="true" fillcolor="#b4c7e7" stroked="false">
              <v:path arrowok="t"/>
              <v:fill type="solid"/>
            </v:shape>
            <v:shape style="position:absolute;left:4483;top:1099;width:4857;height:848" coordorigin="4483,1099" coordsize="4857,848" path="m4483,1946l9340,1946m4483,1523l9340,1523m4483,1099l9340,1099e" filled="false" stroked="true" strokeweight=".72pt" strokecolor="#dadada">
              <v:path arrowok="t"/>
              <v:stroke dashstyle="solid"/>
            </v:shape>
            <v:rect style="position:absolute;left:4148;top:695;width:335;height:2524" filled="true" fillcolor="#c55a11" stroked="false">
              <v:fill type="solid"/>
            </v:rect>
            <v:line style="position:absolute" from="5980,2371" to="9340,2371" stroked="true" strokeweight=".72pt" strokecolor="#dadada">
              <v:stroke dashstyle="solid"/>
            </v:line>
            <v:shape style="position:absolute;left:5644;top:2264;width:3328;height:956" coordorigin="5645,2264" coordsize="3328,956" path="m5980,2264l5645,2264,5645,3219,5980,3219,5980,2264m7476,2922l7141,2922,7141,3219,7476,3219,7476,2922m8972,2985l8638,2985,8638,3219,8972,3219,8972,2985e" filled="true" fillcolor="#c55a11" stroked="false">
              <v:path arrowok="t"/>
              <v:fill type="solid"/>
            </v:shape>
            <v:line style="position:absolute" from="3355,3219" to="9340,3219" stroked="true" strokeweight=".72pt" strokecolor="#dadada">
              <v:stroke dashstyle="solid"/>
            </v:line>
            <v:rect style="position:absolute;left:7266;top:470;width:99;height:100" filled="true" fillcolor="#b4c7e7" stroked="false">
              <v:fill type="solid"/>
            </v:rect>
            <v:rect style="position:absolute;left:7873;top:470;width:99;height:100" filled="true" fillcolor="#c55a11" stroked="false">
              <v:fill type="solid"/>
            </v:rect>
            <v:shape style="position:absolute;left:7406;top:436;width:1410;height:180" type="#_x0000_t202" filled="false" stroked="false">
              <v:textbox inset="0,0,0,0">
                <w:txbxContent>
                  <w:p>
                    <w:pPr>
                      <w:tabs>
                        <w:tab w:pos="607" w:val="left" w:leader="none"/>
                      </w:tabs>
                      <w:spacing w:line="180" w:lineRule="exact" w:before="0"/>
                      <w:ind w:left="0" w:right="0" w:firstLine="0"/>
                      <w:jc w:val="left"/>
                      <w:rPr>
                        <w:rFonts w:ascii="Calibri"/>
                        <w:sz w:val="18"/>
                      </w:rPr>
                    </w:pPr>
                    <w:r>
                      <w:rPr>
                        <w:rFonts w:ascii="Calibri"/>
                        <w:color w:val="595958"/>
                        <w:sz w:val="18"/>
                      </w:rPr>
                      <w:t>Bike</w:t>
                      <w:tab/>
                      <w:t>Pedestrian</w:t>
                    </w:r>
                  </w:p>
                </w:txbxContent>
              </v:textbox>
              <w10:wrap type="none"/>
            </v:shape>
            <v:shape style="position:absolute;left:3753;top:694;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125</w:t>
                    </w:r>
                  </w:p>
                </w:txbxContent>
              </v:textbox>
              <w10:wrap type="none"/>
            </v:shape>
            <v:shape style="position:absolute;left:4179;top:822;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119</w:t>
                    </w:r>
                  </w:p>
                </w:txbxContent>
              </v:textbox>
              <w10:wrap type="none"/>
            </v:shape>
            <v:shape style="position:absolute;left:5294;top:2476;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41</w:t>
                    </w:r>
                  </w:p>
                </w:txbxContent>
              </v:textbox>
              <w10:wrap type="none"/>
            </v:shape>
            <v:shape style="position:absolute;left:5720;top:2391;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45</w:t>
                    </w:r>
                  </w:p>
                </w:txbxContent>
              </v:textbox>
              <w10:wrap type="none"/>
            </v:shape>
            <v:shape style="position:absolute;left:6791;top:2945;width:629;height:181" type="#_x0000_t202" filled="false" stroked="false">
              <v:textbox inset="0,0,0,0">
                <w:txbxContent>
                  <w:p>
                    <w:pPr>
                      <w:tabs>
                        <w:tab w:pos="425" w:val="left" w:leader="none"/>
                      </w:tabs>
                      <w:spacing w:line="180" w:lineRule="exact" w:before="0"/>
                      <w:ind w:left="0" w:right="0" w:firstLine="0"/>
                      <w:jc w:val="left"/>
                      <w:rPr>
                        <w:rFonts w:ascii="Calibri"/>
                        <w:sz w:val="18"/>
                      </w:rPr>
                    </w:pPr>
                    <w:r>
                      <w:rPr>
                        <w:rFonts w:ascii="Calibri"/>
                        <w:color w:val="3E3E3E"/>
                        <w:sz w:val="18"/>
                      </w:rPr>
                      <w:t>15</w:t>
                      <w:tab/>
                      <w:t>14</w:t>
                    </w:r>
                  </w:p>
                </w:txbxContent>
              </v:textbox>
              <w10:wrap type="none"/>
            </v:shape>
            <v:shape style="position:absolute;left:8333;top:2945;width:584;height:181" type="#_x0000_t202" filled="false" stroked="false">
              <v:textbox inset="0,0,0,0">
                <w:txbxContent>
                  <w:p>
                    <w:pPr>
                      <w:tabs>
                        <w:tab w:pos="380" w:val="left" w:leader="none"/>
                      </w:tabs>
                      <w:spacing w:line="180" w:lineRule="exact" w:before="0"/>
                      <w:ind w:left="0" w:right="0" w:firstLine="0"/>
                      <w:jc w:val="left"/>
                      <w:rPr>
                        <w:rFonts w:ascii="Calibri"/>
                        <w:sz w:val="18"/>
                      </w:rPr>
                    </w:pPr>
                    <w:r>
                      <w:rPr>
                        <w:rFonts w:ascii="Calibri"/>
                        <w:color w:val="3E3E3E"/>
                        <w:sz w:val="18"/>
                      </w:rPr>
                      <w:t>7</w:t>
                      <w:tab/>
                      <w:t>11</w:t>
                    </w:r>
                  </w:p>
                </w:txbxContent>
              </v:textbox>
              <w10:wrap type="none"/>
            </v:shape>
            <w10:wrap type="none"/>
          </v:group>
        </w:pict>
      </w:r>
      <w:r>
        <w:rPr/>
        <w:pict>
          <v:line style="position:absolute;mso-position-horizontal-relative:page;mso-position-vertical-relative:paragraph;z-index:3208" from="167.759995pt,12.533726pt" to="466.979995pt,12.533726pt" stroked="true" strokeweight=".72pt" strokecolor="#dadada">
            <v:stroke dashstyle="solid"/>
            <w10:wrap type="none"/>
          </v:line>
        </w:pict>
      </w:r>
      <w:r>
        <w:rPr>
          <w:rFonts w:ascii="Calibri"/>
          <w:color w:val="595958"/>
          <w:sz w:val="18"/>
        </w:rPr>
        <w:t>140</w:t>
      </w:r>
    </w:p>
    <w:p>
      <w:pPr>
        <w:pStyle w:val="BodyText"/>
        <w:spacing w:before="9"/>
        <w:rPr>
          <w:rFonts w:ascii="Calibri"/>
          <w:sz w:val="16"/>
        </w:rPr>
      </w:pPr>
    </w:p>
    <w:p>
      <w:pPr>
        <w:spacing w:before="0"/>
        <w:ind w:left="1793" w:right="0" w:firstLine="0"/>
        <w:jc w:val="left"/>
        <w:rPr>
          <w:rFonts w:ascii="Calibri"/>
          <w:sz w:val="18"/>
        </w:rPr>
      </w:pPr>
      <w:r>
        <w:rPr/>
        <w:pict>
          <v:shape style="position:absolute;margin-left:131.524994pt;margin-top:8.444641pt;width:12.05pt;height:101.15pt;mso-position-horizontal-relative:page;mso-position-vertical-relative:paragraph;z-index:3472" type="#_x0000_t202" filled="false" stroked="false">
            <v:textbox inset="0,0,0,0" style="layout-flow:vertical;mso-layout-flow-alt:bottom-to-top">
              <w:txbxContent>
                <w:p>
                  <w:pPr>
                    <w:spacing w:line="224" w:lineRule="exact" w:before="0"/>
                    <w:ind w:left="20" w:right="0" w:firstLine="0"/>
                    <w:jc w:val="left"/>
                    <w:rPr>
                      <w:rFonts w:ascii="Calibri"/>
                      <w:sz w:val="20"/>
                    </w:rPr>
                  </w:pPr>
                  <w:r>
                    <w:rPr>
                      <w:rFonts w:ascii="Calibri"/>
                      <w:color w:val="595958"/>
                      <w:sz w:val="20"/>
                    </w:rPr>
                    <w:t>Number of Intersections</w:t>
                  </w:r>
                </w:p>
              </w:txbxContent>
            </v:textbox>
            <w10:wrap type="none"/>
          </v:shape>
        </w:pict>
      </w:r>
      <w:r>
        <w:rPr>
          <w:rFonts w:ascii="Calibri"/>
          <w:color w:val="595958"/>
          <w:sz w:val="18"/>
        </w:rPr>
        <w:t>120</w:t>
      </w:r>
    </w:p>
    <w:p>
      <w:pPr>
        <w:pStyle w:val="BodyText"/>
        <w:spacing w:before="9"/>
        <w:rPr>
          <w:rFonts w:ascii="Calibri"/>
          <w:sz w:val="16"/>
        </w:rPr>
      </w:pPr>
    </w:p>
    <w:p>
      <w:pPr>
        <w:spacing w:before="0"/>
        <w:ind w:left="1793" w:right="0" w:firstLine="0"/>
        <w:jc w:val="left"/>
        <w:rPr>
          <w:rFonts w:ascii="Calibri"/>
          <w:sz w:val="18"/>
        </w:rPr>
      </w:pPr>
      <w:r>
        <w:rPr>
          <w:rFonts w:ascii="Calibri"/>
          <w:color w:val="595958"/>
          <w:sz w:val="18"/>
        </w:rPr>
        <w:t>100</w:t>
      </w:r>
    </w:p>
    <w:p>
      <w:pPr>
        <w:pStyle w:val="BodyText"/>
        <w:spacing w:before="6"/>
        <w:rPr>
          <w:rFonts w:ascii="Calibri"/>
          <w:sz w:val="11"/>
        </w:rPr>
      </w:pPr>
    </w:p>
    <w:p>
      <w:pPr>
        <w:spacing w:before="64"/>
        <w:ind w:left="1885" w:right="0" w:firstLine="0"/>
        <w:jc w:val="left"/>
        <w:rPr>
          <w:rFonts w:ascii="Calibri"/>
          <w:sz w:val="18"/>
        </w:rPr>
      </w:pPr>
      <w:r>
        <w:rPr>
          <w:rFonts w:ascii="Calibri"/>
          <w:color w:val="595958"/>
          <w:sz w:val="18"/>
        </w:rPr>
        <w:t>80</w:t>
      </w:r>
    </w:p>
    <w:p>
      <w:pPr>
        <w:pStyle w:val="BodyText"/>
        <w:spacing w:before="6"/>
        <w:rPr>
          <w:rFonts w:ascii="Calibri"/>
          <w:sz w:val="11"/>
        </w:rPr>
      </w:pPr>
    </w:p>
    <w:p>
      <w:pPr>
        <w:spacing w:before="64"/>
        <w:ind w:left="1885" w:right="0" w:firstLine="0"/>
        <w:jc w:val="left"/>
        <w:rPr>
          <w:rFonts w:ascii="Calibri"/>
          <w:sz w:val="18"/>
        </w:rPr>
      </w:pPr>
      <w:r>
        <w:rPr>
          <w:rFonts w:ascii="Calibri"/>
          <w:color w:val="595958"/>
          <w:sz w:val="18"/>
        </w:rPr>
        <w:t>60</w:t>
      </w:r>
    </w:p>
    <w:p>
      <w:pPr>
        <w:pStyle w:val="BodyText"/>
        <w:spacing w:before="9"/>
        <w:rPr>
          <w:rFonts w:ascii="Calibri"/>
          <w:sz w:val="16"/>
        </w:rPr>
      </w:pPr>
    </w:p>
    <w:p>
      <w:pPr>
        <w:spacing w:before="0"/>
        <w:ind w:left="1885" w:right="0" w:firstLine="0"/>
        <w:jc w:val="left"/>
        <w:rPr>
          <w:rFonts w:ascii="Calibri"/>
          <w:sz w:val="18"/>
        </w:rPr>
      </w:pPr>
      <w:r>
        <w:rPr>
          <w:rFonts w:ascii="Calibri"/>
          <w:color w:val="595958"/>
          <w:sz w:val="18"/>
        </w:rPr>
        <w:t>40</w:t>
      </w:r>
    </w:p>
    <w:p>
      <w:pPr>
        <w:pStyle w:val="BodyText"/>
        <w:spacing w:before="9"/>
        <w:rPr>
          <w:rFonts w:ascii="Calibri"/>
          <w:sz w:val="16"/>
        </w:rPr>
      </w:pPr>
    </w:p>
    <w:p>
      <w:pPr>
        <w:spacing w:before="0"/>
        <w:ind w:left="1885" w:right="0" w:firstLine="0"/>
        <w:jc w:val="left"/>
        <w:rPr>
          <w:rFonts w:ascii="Calibri"/>
          <w:sz w:val="18"/>
        </w:rPr>
      </w:pPr>
      <w:r>
        <w:rPr>
          <w:rFonts w:ascii="Calibri"/>
          <w:color w:val="595958"/>
          <w:sz w:val="18"/>
        </w:rPr>
        <w:t>20</w:t>
      </w:r>
    </w:p>
    <w:p>
      <w:pPr>
        <w:pStyle w:val="BodyText"/>
        <w:spacing w:before="6"/>
        <w:rPr>
          <w:rFonts w:ascii="Calibri"/>
          <w:sz w:val="11"/>
        </w:rPr>
      </w:pPr>
    </w:p>
    <w:p>
      <w:pPr>
        <w:spacing w:before="64"/>
        <w:ind w:left="1976" w:right="0" w:firstLine="0"/>
        <w:jc w:val="left"/>
        <w:rPr>
          <w:rFonts w:ascii="Calibri"/>
          <w:sz w:val="18"/>
        </w:rPr>
      </w:pPr>
      <w:r>
        <w:rPr>
          <w:rFonts w:ascii="Calibri"/>
          <w:color w:val="595958"/>
          <w:sz w:val="18"/>
        </w:rPr>
        <w:t>0</w:t>
      </w:r>
    </w:p>
    <w:p>
      <w:pPr>
        <w:tabs>
          <w:tab w:pos="1496" w:val="left" w:leader="none"/>
          <w:tab w:pos="2992" w:val="left" w:leader="none"/>
          <w:tab w:pos="4444" w:val="left" w:leader="none"/>
        </w:tabs>
        <w:spacing w:before="15"/>
        <w:ind w:left="0" w:right="618" w:firstLine="0"/>
        <w:jc w:val="center"/>
        <w:rPr>
          <w:rFonts w:ascii="Calibri"/>
          <w:sz w:val="18"/>
        </w:rPr>
      </w:pPr>
      <w:r>
        <w:rPr>
          <w:rFonts w:ascii="Calibri"/>
          <w:color w:val="595958"/>
          <w:sz w:val="18"/>
        </w:rPr>
        <w:t>0</w:t>
        <w:tab/>
        <w:t>1</w:t>
        <w:tab/>
        <w:t>2</w:t>
        <w:tab/>
        <w:t>&gt;2</w:t>
      </w:r>
    </w:p>
    <w:p>
      <w:pPr>
        <w:spacing w:before="60"/>
        <w:ind w:left="487" w:right="1151" w:firstLine="0"/>
        <w:jc w:val="center"/>
        <w:rPr>
          <w:rFonts w:ascii="Calibri"/>
          <w:sz w:val="20"/>
        </w:rPr>
      </w:pPr>
      <w:r>
        <w:rPr>
          <w:rFonts w:ascii="Calibri"/>
          <w:color w:val="595958"/>
          <w:sz w:val="20"/>
        </w:rPr>
        <w:t>Number of Crashes</w:t>
      </w:r>
    </w:p>
    <w:p>
      <w:pPr>
        <w:pStyle w:val="BodyText"/>
        <w:spacing w:before="1"/>
        <w:rPr>
          <w:rFonts w:ascii="Calibri"/>
          <w:sz w:val="26"/>
        </w:rPr>
      </w:pPr>
    </w:p>
    <w:p>
      <w:pPr>
        <w:spacing w:before="92"/>
        <w:ind w:left="2855" w:right="0" w:firstLine="0"/>
        <w:jc w:val="left"/>
        <w:rPr>
          <w:sz w:val="20"/>
        </w:rPr>
      </w:pPr>
      <w:bookmarkStart w:name="_bookmark34" w:id="181"/>
      <w:bookmarkEnd w:id="181"/>
      <w:r>
        <w:rPr/>
      </w:r>
      <w:r>
        <w:rPr>
          <w:sz w:val="20"/>
        </w:rPr>
        <w:t>Figure 4.5: Number of Segments by Crash Frequency</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2240" w:h="15840"/>
          <w:pgMar w:header="0" w:footer="709" w:top="1500" w:bottom="980" w:left="1120" w:right="0"/>
        </w:sectPr>
      </w:pPr>
    </w:p>
    <w:p>
      <w:pPr>
        <w:pStyle w:val="BodyText"/>
        <w:spacing w:before="3"/>
        <w:rPr>
          <w:sz w:val="17"/>
        </w:rPr>
      </w:pPr>
    </w:p>
    <w:p>
      <w:pPr>
        <w:spacing w:before="0"/>
        <w:ind w:left="0" w:right="38" w:firstLine="0"/>
        <w:jc w:val="right"/>
        <w:rPr>
          <w:rFonts w:ascii="Calibri"/>
          <w:sz w:val="18"/>
        </w:rPr>
      </w:pPr>
      <w:r>
        <w:rPr>
          <w:rFonts w:ascii="Calibri"/>
          <w:color w:val="595958"/>
          <w:sz w:val="18"/>
        </w:rPr>
        <w:t>140</w:t>
      </w:r>
    </w:p>
    <w:p>
      <w:pPr>
        <w:pStyle w:val="BodyText"/>
        <w:spacing w:before="9"/>
        <w:rPr>
          <w:rFonts w:ascii="Calibri"/>
          <w:sz w:val="16"/>
        </w:rPr>
      </w:pPr>
    </w:p>
    <w:p>
      <w:pPr>
        <w:spacing w:before="0"/>
        <w:ind w:left="0" w:right="38" w:firstLine="0"/>
        <w:jc w:val="right"/>
        <w:rPr>
          <w:rFonts w:ascii="Calibri"/>
          <w:sz w:val="18"/>
        </w:rPr>
      </w:pPr>
      <w:r>
        <w:rPr>
          <w:rFonts w:ascii="Calibri"/>
          <w:color w:val="595958"/>
          <w:sz w:val="18"/>
        </w:rPr>
        <w:t>120</w:t>
      </w:r>
    </w:p>
    <w:p>
      <w:pPr>
        <w:pStyle w:val="BodyText"/>
        <w:rPr>
          <w:rFonts w:ascii="Calibri"/>
          <w:sz w:val="18"/>
        </w:rPr>
      </w:pPr>
      <w:r>
        <w:rPr/>
        <w:br w:type="column"/>
      </w:r>
      <w:r>
        <w:rPr>
          <w:rFonts w:ascii="Calibri"/>
          <w:sz w:val="18"/>
        </w:rPr>
      </w:r>
    </w:p>
    <w:p>
      <w:pPr>
        <w:pStyle w:val="BodyText"/>
        <w:spacing w:before="4"/>
        <w:rPr>
          <w:rFonts w:ascii="Calibri"/>
          <w:sz w:val="20"/>
        </w:rPr>
      </w:pPr>
    </w:p>
    <w:p>
      <w:pPr>
        <w:tabs>
          <w:tab w:pos="2581" w:val="left" w:leader="none"/>
        </w:tabs>
        <w:spacing w:before="0"/>
        <w:ind w:left="1973" w:right="0" w:firstLine="0"/>
        <w:jc w:val="left"/>
        <w:rPr>
          <w:rFonts w:ascii="Calibri"/>
          <w:sz w:val="18"/>
        </w:rPr>
      </w:pPr>
      <w:r>
        <w:rPr/>
        <w:pict>
          <v:line style="position:absolute;mso-position-horizontal-relative:page;mso-position-vertical-relative:paragraph;z-index:3400" from="176.759995pt,-7.471451pt" to="475.979995pt,-7.471451pt" stroked="true" strokeweight=".72pt" strokecolor="#dadada">
            <v:stroke dashstyle="solid"/>
            <w10:wrap type="none"/>
          </v:line>
        </w:pict>
      </w:r>
      <w:r>
        <w:rPr>
          <w:rFonts w:ascii="Calibri"/>
          <w:color w:val="595958"/>
          <w:sz w:val="18"/>
        </w:rPr>
        <w:t>Bike</w:t>
        <w:tab/>
        <w:t>Pedestrian</w:t>
      </w:r>
    </w:p>
    <w:p>
      <w:pPr>
        <w:spacing w:after="0"/>
        <w:jc w:val="left"/>
        <w:rPr>
          <w:rFonts w:ascii="Calibri"/>
          <w:sz w:val="18"/>
        </w:rPr>
        <w:sectPr>
          <w:type w:val="continuous"/>
          <w:pgSz w:w="12240" w:h="15840"/>
          <w:pgMar w:top="1500" w:bottom="280" w:left="1120" w:right="0"/>
          <w:cols w:num="2" w:equalWidth="0">
            <w:col w:w="2288" w:space="2204"/>
            <w:col w:w="6628"/>
          </w:cols>
        </w:sectPr>
      </w:pPr>
    </w:p>
    <w:p>
      <w:pPr>
        <w:pStyle w:val="BodyText"/>
        <w:spacing w:before="7"/>
        <w:rPr>
          <w:rFonts w:ascii="Calibri"/>
          <w:sz w:val="11"/>
        </w:rPr>
      </w:pPr>
    </w:p>
    <w:p>
      <w:pPr>
        <w:spacing w:before="63"/>
        <w:ind w:left="1973" w:right="0" w:firstLine="0"/>
        <w:jc w:val="left"/>
        <w:rPr>
          <w:rFonts w:ascii="Calibri"/>
          <w:sz w:val="18"/>
        </w:rPr>
      </w:pPr>
      <w:r>
        <w:rPr/>
        <w:pict>
          <v:group style="position:absolute;margin-left:176.759995pt;margin-top:-12.429064pt;width:299.25pt;height:128pt;mso-position-horizontal-relative:page;mso-position-vertical-relative:paragraph;z-index:3376" coordorigin="3535,-249" coordsize="5985,2560">
            <v:shape style="position:absolute;left:4663;top:1455;width:4857;height:424" coordorigin="4663,1455" coordsize="4857,424" path="m7656,1879l9520,1879m7230,1879l7321,1879m6160,1879l6895,1879m5734,1879l5825,1879m4663,1879l5399,1879m5734,1455l9520,1455m4663,1455l5399,1455e" filled="false" stroked="true" strokeweight=".72pt" strokecolor="#dadada">
              <v:path arrowok="t"/>
              <v:stroke dashstyle="solid"/>
            </v:shape>
            <v:shape style="position:absolute;left:5398;top:1370;width:3328;height:934" coordorigin="5399,1370" coordsize="3328,934" path="m5734,1370l5399,1370,5399,2304,5734,2304,5734,1370m7230,1773l6895,1773,6895,2304,7230,2304,7230,1773m8726,2113l8392,2113,8392,2304,8726,2304,8726,2113e" filled="true" fillcolor="#b4c7e7" stroked="false">
              <v:path arrowok="t"/>
              <v:fill type="solid"/>
            </v:shape>
            <v:shape style="position:absolute;left:3535;top:607;width:794;height:1272" coordorigin="3535,607" coordsize="794,1272" path="m4237,1879l4328,1879m3535,1879l3902,1879m4237,1455l4328,1455m3535,1455l3902,1455m4237,1031l4328,1031m3535,1031l3902,1031m4237,607l4328,607m3535,607l3902,607e" filled="false" stroked="true" strokeweight=".72pt" strokecolor="#dadada">
              <v:path arrowok="t"/>
              <v:stroke dashstyle="solid"/>
            </v:shape>
            <v:rect style="position:absolute;left:3902;top:352;width:335;height:1952" filled="true" fillcolor="#b4c7e7" stroked="false">
              <v:fill type="solid"/>
            </v:rect>
            <v:shape style="position:absolute;left:3535;top:183;width:5985;height:848" coordorigin="3535,183" coordsize="5985,848" path="m4663,1031l9520,1031m4663,607l9520,607m4663,183l9520,183m3535,183l4328,183e" filled="false" stroked="true" strokeweight=".72pt" strokecolor="#dadada">
              <v:path arrowok="t"/>
              <v:stroke dashstyle="solid"/>
            </v:shape>
            <v:line style="position:absolute" from="3535,-241" to="9520,-241" stroked="true" strokeweight=".72pt" strokecolor="#dadada">
              <v:stroke dashstyle="solid"/>
            </v:line>
            <v:shape style="position:absolute;left:4328;top:-220;width:3328;height:2524" coordorigin="4328,-220" coordsize="3328,2524" path="m4663,-220l4328,-220,4328,2304,4663,2304,4663,-220m6160,1583l5825,1583,5825,2304,6160,2304,6160,1583m7656,1773l7321,1773,7321,2304,7656,2304,7656,1773e" filled="true" fillcolor="#c55a11" stroked="false">
              <v:path arrowok="t"/>
              <v:fill type="solid"/>
            </v:shape>
            <v:line style="position:absolute" from="8818,2240" to="9152,2240" stroked="true" strokeweight="6.36pt" strokecolor="#c55a11">
              <v:stroke dashstyle="solid"/>
            </v:line>
            <v:line style="position:absolute" from="3535,2304" to="9520,2304" stroked="true" strokeweight=".72pt" strokecolor="#dadada">
              <v:stroke dashstyle="solid"/>
            </v:line>
            <v:shape style="position:absolute;left:4359;top:-94;width:294;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119</w:t>
                    </w:r>
                  </w:p>
                </w:txbxContent>
              </v:textbox>
              <w10:wrap type="none"/>
            </v:shape>
            <v:shape style="position:absolute;left:3978;top:478;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92</w:t>
                    </w:r>
                  </w:p>
                </w:txbxContent>
              </v:textbox>
              <w10:wrap type="none"/>
            </v:shape>
            <v:shape style="position:absolute;left:5474;top:1496;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44</w:t>
                    </w:r>
                  </w:p>
                </w:txbxContent>
              </v:textbox>
              <w10:wrap type="none"/>
            </v:shape>
            <v:shape style="position:absolute;left:5901;top:1708;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34</w:t>
                    </w:r>
                  </w:p>
                </w:txbxContent>
              </v:textbox>
              <w10:wrap type="none"/>
            </v:shape>
            <v:shape style="position:absolute;left:6971;top:1899;width:629;height:180" type="#_x0000_t202" filled="false" stroked="false">
              <v:textbox inset="0,0,0,0">
                <w:txbxContent>
                  <w:p>
                    <w:pPr>
                      <w:tabs>
                        <w:tab w:pos="425" w:val="left" w:leader="none"/>
                      </w:tabs>
                      <w:spacing w:line="180" w:lineRule="exact" w:before="0"/>
                      <w:ind w:left="0" w:right="0" w:firstLine="0"/>
                      <w:jc w:val="left"/>
                      <w:rPr>
                        <w:rFonts w:ascii="Calibri"/>
                        <w:sz w:val="18"/>
                      </w:rPr>
                    </w:pPr>
                    <w:r>
                      <w:rPr>
                        <w:rFonts w:ascii="Calibri"/>
                        <w:color w:val="3E3E3E"/>
                        <w:sz w:val="18"/>
                      </w:rPr>
                      <w:t>25</w:t>
                      <w:tab/>
                      <w:t>25</w:t>
                    </w:r>
                  </w:p>
                </w:txbxContent>
              </v:textbox>
              <w10:wrap type="none"/>
            </v:shape>
            <v:shape style="position:absolute;left:8513;top:2029;width:538;height:180" type="#_x0000_t202" filled="false" stroked="false">
              <v:textbox inset="0,0,0,0">
                <w:txbxContent>
                  <w:p>
                    <w:pPr>
                      <w:tabs>
                        <w:tab w:pos="425" w:val="left" w:leader="none"/>
                      </w:tabs>
                      <w:spacing w:line="180" w:lineRule="exact" w:before="0"/>
                      <w:ind w:left="0" w:right="0" w:firstLine="0"/>
                      <w:jc w:val="left"/>
                      <w:rPr>
                        <w:rFonts w:ascii="Calibri"/>
                        <w:sz w:val="18"/>
                      </w:rPr>
                    </w:pPr>
                    <w:r>
                      <w:rPr>
                        <w:rFonts w:ascii="Calibri"/>
                        <w:color w:val="3E3E3E"/>
                        <w:sz w:val="18"/>
                      </w:rPr>
                      <w:t>9</w:t>
                      <w:tab/>
                      <w:t>6</w:t>
                    </w:r>
                  </w:p>
                </w:txbxContent>
              </v:textbox>
              <w10:wrap type="none"/>
            </v:shape>
            <w10:wrap type="none"/>
          </v:group>
        </w:pict>
      </w:r>
      <w:r>
        <w:rPr/>
        <w:pict>
          <v:rect style="position:absolute;margin-left:372.299988pt;margin-top:-22.269064pt;width:4.92pt;height:4.980pt;mso-position-horizontal-relative:page;mso-position-vertical-relative:paragraph;z-index:3424" filled="true" fillcolor="#b4c7e7" stroked="false">
            <v:fill type="solid"/>
            <w10:wrap type="none"/>
          </v:rect>
        </w:pict>
      </w:r>
      <w:r>
        <w:rPr/>
        <w:pict>
          <v:rect style="position:absolute;margin-left:402.660004pt;margin-top:-22.269064pt;width:4.92pt;height:4.980pt;mso-position-horizontal-relative:page;mso-position-vertical-relative:paragraph;z-index:-255328" filled="true" fillcolor="#c55a11" stroked="false">
            <v:fill type="solid"/>
            <w10:wrap type="none"/>
          </v:rect>
        </w:pict>
      </w:r>
      <w:r>
        <w:rPr/>
        <w:pict>
          <v:shape style="position:absolute;margin-left:140.524994pt;margin-top:-3.116828pt;width:12.05pt;height:88.15pt;mso-position-horizontal-relative:page;mso-position-vertical-relative:paragraph;z-index:3496" type="#_x0000_t202" filled="false" stroked="false">
            <v:textbox inset="0,0,0,0" style="layout-flow:vertical;mso-layout-flow-alt:bottom-to-top">
              <w:txbxContent>
                <w:p>
                  <w:pPr>
                    <w:spacing w:line="224" w:lineRule="exact" w:before="0"/>
                    <w:ind w:left="20" w:right="0" w:firstLine="0"/>
                    <w:jc w:val="left"/>
                    <w:rPr>
                      <w:rFonts w:ascii="Calibri"/>
                      <w:sz w:val="20"/>
                    </w:rPr>
                  </w:pPr>
                  <w:r>
                    <w:rPr>
                      <w:rFonts w:ascii="Calibri"/>
                      <w:color w:val="595958"/>
                      <w:sz w:val="20"/>
                    </w:rPr>
                    <w:t>Number of Segments</w:t>
                  </w:r>
                </w:p>
              </w:txbxContent>
            </v:textbox>
            <w10:wrap type="none"/>
          </v:shape>
        </w:pict>
      </w:r>
      <w:r>
        <w:rPr>
          <w:rFonts w:ascii="Calibri"/>
          <w:color w:val="595958"/>
          <w:sz w:val="18"/>
        </w:rPr>
        <w:t>100</w:t>
      </w:r>
    </w:p>
    <w:p>
      <w:pPr>
        <w:pStyle w:val="BodyText"/>
        <w:spacing w:before="9"/>
        <w:rPr>
          <w:rFonts w:ascii="Calibri"/>
          <w:sz w:val="16"/>
        </w:rPr>
      </w:pPr>
    </w:p>
    <w:p>
      <w:pPr>
        <w:spacing w:before="0"/>
        <w:ind w:left="2065" w:right="0" w:firstLine="0"/>
        <w:jc w:val="left"/>
        <w:rPr>
          <w:rFonts w:ascii="Calibri"/>
          <w:sz w:val="18"/>
        </w:rPr>
      </w:pPr>
      <w:r>
        <w:rPr>
          <w:rFonts w:ascii="Calibri"/>
          <w:color w:val="595958"/>
          <w:sz w:val="18"/>
        </w:rPr>
        <w:t>80</w:t>
      </w:r>
    </w:p>
    <w:p>
      <w:pPr>
        <w:pStyle w:val="BodyText"/>
        <w:spacing w:before="7"/>
        <w:rPr>
          <w:rFonts w:ascii="Calibri"/>
          <w:sz w:val="11"/>
        </w:rPr>
      </w:pPr>
    </w:p>
    <w:p>
      <w:pPr>
        <w:spacing w:before="63"/>
        <w:ind w:left="2065" w:right="0" w:firstLine="0"/>
        <w:jc w:val="left"/>
        <w:rPr>
          <w:rFonts w:ascii="Calibri"/>
          <w:sz w:val="18"/>
        </w:rPr>
      </w:pPr>
      <w:r>
        <w:rPr>
          <w:rFonts w:ascii="Calibri"/>
          <w:color w:val="595958"/>
          <w:sz w:val="18"/>
        </w:rPr>
        <w:t>60</w:t>
      </w:r>
    </w:p>
    <w:p>
      <w:pPr>
        <w:pStyle w:val="BodyText"/>
        <w:spacing w:before="7"/>
        <w:rPr>
          <w:rFonts w:ascii="Calibri"/>
          <w:sz w:val="11"/>
        </w:rPr>
      </w:pPr>
    </w:p>
    <w:p>
      <w:pPr>
        <w:spacing w:before="64"/>
        <w:ind w:left="2065" w:right="0" w:firstLine="0"/>
        <w:jc w:val="left"/>
        <w:rPr>
          <w:rFonts w:ascii="Calibri"/>
          <w:sz w:val="18"/>
        </w:rPr>
      </w:pPr>
      <w:r>
        <w:rPr>
          <w:rFonts w:ascii="Calibri"/>
          <w:color w:val="595958"/>
          <w:sz w:val="18"/>
        </w:rPr>
        <w:t>40</w:t>
      </w:r>
    </w:p>
    <w:p>
      <w:pPr>
        <w:pStyle w:val="BodyText"/>
        <w:spacing w:before="8"/>
        <w:rPr>
          <w:rFonts w:ascii="Calibri"/>
          <w:sz w:val="16"/>
        </w:rPr>
      </w:pPr>
    </w:p>
    <w:p>
      <w:pPr>
        <w:spacing w:before="1"/>
        <w:ind w:left="2065" w:right="0" w:firstLine="0"/>
        <w:jc w:val="left"/>
        <w:rPr>
          <w:rFonts w:ascii="Calibri"/>
          <w:sz w:val="18"/>
        </w:rPr>
      </w:pPr>
      <w:r>
        <w:rPr>
          <w:rFonts w:ascii="Calibri"/>
          <w:color w:val="595958"/>
          <w:sz w:val="18"/>
        </w:rPr>
        <w:t>20</w:t>
      </w:r>
    </w:p>
    <w:p>
      <w:pPr>
        <w:pStyle w:val="BodyText"/>
        <w:spacing w:before="6"/>
        <w:rPr>
          <w:rFonts w:ascii="Calibri"/>
          <w:sz w:val="11"/>
        </w:rPr>
      </w:pPr>
    </w:p>
    <w:p>
      <w:pPr>
        <w:spacing w:before="64"/>
        <w:ind w:left="2156" w:right="0" w:firstLine="0"/>
        <w:jc w:val="left"/>
        <w:rPr>
          <w:rFonts w:ascii="Calibri"/>
          <w:sz w:val="18"/>
        </w:rPr>
      </w:pPr>
      <w:r>
        <w:rPr>
          <w:rFonts w:ascii="Calibri"/>
          <w:color w:val="595958"/>
          <w:sz w:val="18"/>
        </w:rPr>
        <w:t>0</w:t>
      </w:r>
    </w:p>
    <w:p>
      <w:pPr>
        <w:tabs>
          <w:tab w:pos="1496" w:val="left" w:leader="none"/>
          <w:tab w:pos="2992" w:val="left" w:leader="none"/>
          <w:tab w:pos="4444" w:val="left" w:leader="none"/>
        </w:tabs>
        <w:spacing w:before="14"/>
        <w:ind w:left="0" w:right="258" w:firstLine="0"/>
        <w:jc w:val="center"/>
        <w:rPr>
          <w:rFonts w:ascii="Calibri"/>
          <w:sz w:val="18"/>
        </w:rPr>
      </w:pPr>
      <w:r>
        <w:rPr>
          <w:rFonts w:ascii="Calibri"/>
          <w:color w:val="595958"/>
          <w:sz w:val="18"/>
        </w:rPr>
        <w:t>0</w:t>
        <w:tab/>
        <w:t>1</w:t>
        <w:tab/>
        <w:t>2</w:t>
        <w:tab/>
        <w:t>&gt;2</w:t>
      </w:r>
    </w:p>
    <w:p>
      <w:pPr>
        <w:spacing w:before="60"/>
        <w:ind w:left="487" w:right="791" w:firstLine="0"/>
        <w:jc w:val="center"/>
        <w:rPr>
          <w:rFonts w:ascii="Calibri"/>
          <w:sz w:val="20"/>
        </w:rPr>
      </w:pPr>
      <w:r>
        <w:rPr>
          <w:rFonts w:ascii="Calibri"/>
          <w:color w:val="595958"/>
          <w:sz w:val="20"/>
        </w:rPr>
        <w:t>Number of Crashes</w:t>
      </w:r>
    </w:p>
    <w:p>
      <w:pPr>
        <w:pStyle w:val="BodyText"/>
        <w:spacing w:before="2"/>
        <w:rPr>
          <w:rFonts w:ascii="Calibri"/>
          <w:sz w:val="26"/>
        </w:rPr>
      </w:pPr>
    </w:p>
    <w:p>
      <w:pPr>
        <w:spacing w:before="92"/>
        <w:ind w:left="2733" w:right="0" w:firstLine="0"/>
        <w:jc w:val="left"/>
        <w:rPr>
          <w:sz w:val="20"/>
        </w:rPr>
      </w:pPr>
      <w:bookmarkStart w:name="_bookmark35" w:id="182"/>
      <w:bookmarkEnd w:id="182"/>
      <w:r>
        <w:rPr/>
      </w:r>
      <w:r>
        <w:rPr>
          <w:sz w:val="20"/>
        </w:rPr>
        <w:t>Figure 4.6: Number of Intersections by Crash Frequency</w:t>
      </w:r>
    </w:p>
    <w:p>
      <w:pPr>
        <w:pStyle w:val="BodyText"/>
        <w:rPr>
          <w:sz w:val="22"/>
        </w:rPr>
      </w:pPr>
    </w:p>
    <w:p>
      <w:pPr>
        <w:pStyle w:val="BodyText"/>
        <w:spacing w:before="8"/>
        <w:rPr>
          <w:sz w:val="19"/>
        </w:rPr>
      </w:pPr>
    </w:p>
    <w:p>
      <w:pPr>
        <w:pStyle w:val="BodyText"/>
        <w:ind w:left="320"/>
      </w:pPr>
      <w:r>
        <w:rPr/>
        <w:t>Pedestrian and bicycle crash severity levels on segments show similar distribution patterns.</w:t>
      </w:r>
    </w:p>
    <w:p>
      <w:pPr>
        <w:pStyle w:val="BodyText"/>
        <w:spacing w:before="10"/>
        <w:rPr>
          <w:sz w:val="20"/>
        </w:rPr>
      </w:pPr>
    </w:p>
    <w:p>
      <w:pPr>
        <w:pStyle w:val="BodyText"/>
        <w:ind w:left="319" w:right="1643"/>
      </w:pPr>
      <w:hyperlink w:history="true" w:anchor="_bookmark36">
        <w:r>
          <w:rPr/>
          <w:t>Figure 4.7</w:t>
        </w:r>
      </w:hyperlink>
      <w:r>
        <w:rPr/>
        <w:t> indicates that the majority proportion of severity levels in the five years are Injury B and Injury C, which are 49% and 39% for pedestrians and 53% and 34% for bicycles. Injury A severity crashes make up about 10% of the total crashes of both pedestrians and bicycles (10% for pedestrians and 9% for bicycles). There was only one fatal bicycle crash and no pedestrian fatal crashes within the five years on selected segments. PDO crashes also share a very low proportion (2% for pedestrian and 3% for bicycle crashes.</w:t>
      </w:r>
    </w:p>
    <w:p>
      <w:pPr>
        <w:spacing w:after="0"/>
        <w:sectPr>
          <w:type w:val="continuous"/>
          <w:pgSz w:w="12240" w:h="15840"/>
          <w:pgMar w:top="1500" w:bottom="280" w:left="1120" w:right="0"/>
        </w:sectPr>
      </w:pPr>
    </w:p>
    <w:p>
      <w:pPr>
        <w:pStyle w:val="BodyText"/>
        <w:spacing w:before="4"/>
        <w:rPr>
          <w:sz w:val="14"/>
        </w:rPr>
      </w:pPr>
    </w:p>
    <w:p>
      <w:pPr>
        <w:spacing w:before="0"/>
        <w:ind w:left="0" w:right="38" w:firstLine="0"/>
        <w:jc w:val="right"/>
        <w:rPr>
          <w:rFonts w:ascii="Calibri"/>
          <w:sz w:val="18"/>
        </w:rPr>
      </w:pPr>
      <w:r>
        <w:rPr>
          <w:rFonts w:ascii="Calibri"/>
          <w:color w:val="595958"/>
          <w:sz w:val="18"/>
        </w:rPr>
        <w:t>PDO</w:t>
      </w:r>
    </w:p>
    <w:p>
      <w:pPr>
        <w:spacing w:before="143"/>
        <w:ind w:left="1221" w:right="0" w:firstLine="0"/>
        <w:jc w:val="left"/>
        <w:rPr>
          <w:rFonts w:ascii="Calibri"/>
          <w:sz w:val="18"/>
        </w:rPr>
      </w:pPr>
      <w:r>
        <w:rPr/>
        <w:br w:type="column"/>
      </w:r>
      <w:r>
        <w:rPr>
          <w:rFonts w:ascii="Calibri"/>
          <w:color w:val="595958"/>
          <w:sz w:val="18"/>
        </w:rPr>
        <w:t>PDO</w:t>
      </w:r>
    </w:p>
    <w:p>
      <w:pPr>
        <w:spacing w:after="0"/>
        <w:jc w:val="left"/>
        <w:rPr>
          <w:rFonts w:ascii="Calibri"/>
          <w:sz w:val="18"/>
        </w:rPr>
        <w:sectPr>
          <w:pgSz w:w="12240" w:h="15840"/>
          <w:pgMar w:header="0" w:footer="709" w:top="1200" w:bottom="980" w:left="1120" w:right="0"/>
          <w:cols w:num="2" w:equalWidth="0">
            <w:col w:w="1584" w:space="2597"/>
            <w:col w:w="6939"/>
          </w:cols>
        </w:sectPr>
      </w:pPr>
    </w:p>
    <w:p>
      <w:pPr>
        <w:pStyle w:val="BodyText"/>
        <w:spacing w:before="5"/>
        <w:rPr>
          <w:rFonts w:ascii="Calibri"/>
          <w:sz w:val="15"/>
        </w:rPr>
      </w:pPr>
    </w:p>
    <w:p>
      <w:pPr>
        <w:tabs>
          <w:tab w:pos="5069" w:val="left" w:leader="none"/>
        </w:tabs>
        <w:spacing w:before="62"/>
        <w:ind w:left="887" w:right="0" w:firstLine="0"/>
        <w:jc w:val="left"/>
        <w:rPr>
          <w:rFonts w:ascii="Calibri"/>
          <w:sz w:val="18"/>
        </w:rPr>
      </w:pPr>
      <w:r>
        <w:rPr>
          <w:rFonts w:ascii="Calibri"/>
          <w:color w:val="595958"/>
          <w:sz w:val="18"/>
        </w:rPr>
        <w:t>INJURY</w:t>
      </w:r>
      <w:r>
        <w:rPr>
          <w:rFonts w:ascii="Calibri"/>
          <w:color w:val="595958"/>
          <w:spacing w:val="-1"/>
          <w:sz w:val="18"/>
        </w:rPr>
        <w:t> </w:t>
      </w:r>
      <w:r>
        <w:rPr>
          <w:rFonts w:ascii="Calibri"/>
          <w:color w:val="595958"/>
          <w:sz w:val="18"/>
        </w:rPr>
        <w:t>C</w:t>
        <w:tab/>
      </w:r>
      <w:r>
        <w:rPr>
          <w:rFonts w:ascii="Calibri"/>
          <w:color w:val="595958"/>
          <w:position w:val="2"/>
          <w:sz w:val="18"/>
        </w:rPr>
        <w:t>INJURY C</w:t>
      </w:r>
    </w:p>
    <w:p>
      <w:pPr>
        <w:pStyle w:val="BodyText"/>
        <w:spacing w:before="10"/>
        <w:rPr>
          <w:rFonts w:ascii="Calibri"/>
          <w:sz w:val="15"/>
        </w:rPr>
      </w:pPr>
    </w:p>
    <w:p>
      <w:pPr>
        <w:spacing w:after="0"/>
        <w:rPr>
          <w:rFonts w:ascii="Calibri"/>
          <w:sz w:val="15"/>
        </w:rPr>
        <w:sectPr>
          <w:type w:val="continuous"/>
          <w:pgSz w:w="12240" w:h="15840"/>
          <w:pgMar w:top="1500" w:bottom="280" w:left="1120" w:right="0"/>
        </w:sectPr>
      </w:pPr>
    </w:p>
    <w:p>
      <w:pPr>
        <w:spacing w:before="76"/>
        <w:ind w:left="885" w:right="0" w:firstLine="0"/>
        <w:jc w:val="left"/>
        <w:rPr>
          <w:rFonts w:ascii="Calibri"/>
          <w:sz w:val="18"/>
        </w:rPr>
      </w:pPr>
      <w:r>
        <w:rPr>
          <w:rFonts w:ascii="Calibri"/>
          <w:color w:val="595958"/>
          <w:sz w:val="18"/>
        </w:rPr>
        <w:t>INJURY B</w:t>
      </w:r>
    </w:p>
    <w:p>
      <w:pPr>
        <w:tabs>
          <w:tab w:pos="1455" w:val="left" w:leader="none"/>
          <w:tab w:pos="5314" w:val="right" w:leader="none"/>
        </w:tabs>
        <w:spacing w:before="63"/>
        <w:ind w:left="885" w:right="0" w:firstLine="0"/>
        <w:jc w:val="left"/>
        <w:rPr>
          <w:rFonts w:ascii="Calibri"/>
          <w:sz w:val="18"/>
        </w:rPr>
      </w:pPr>
      <w:r>
        <w:rPr/>
        <w:br w:type="column"/>
      </w:r>
      <w:r>
        <w:rPr>
          <w:rFonts w:ascii="Calibri"/>
          <w:color w:val="3E3E3E"/>
          <w:position w:val="-1"/>
          <w:sz w:val="18"/>
        </w:rPr>
        <w:t>55</w:t>
        <w:tab/>
      </w:r>
      <w:r>
        <w:rPr>
          <w:rFonts w:ascii="Calibri"/>
          <w:color w:val="595958"/>
          <w:sz w:val="18"/>
        </w:rPr>
        <w:t>INJURY</w:t>
      </w:r>
      <w:r>
        <w:rPr>
          <w:rFonts w:ascii="Calibri"/>
          <w:color w:val="595958"/>
          <w:spacing w:val="-1"/>
          <w:sz w:val="18"/>
        </w:rPr>
        <w:t> </w:t>
      </w:r>
      <w:r>
        <w:rPr>
          <w:rFonts w:ascii="Calibri"/>
          <w:color w:val="595958"/>
          <w:sz w:val="18"/>
        </w:rPr>
        <w:t>B</w:t>
        <w:tab/>
      </w:r>
      <w:r>
        <w:rPr>
          <w:rFonts w:ascii="Calibri"/>
          <w:color w:val="3E3E3E"/>
          <w:position w:val="0"/>
          <w:sz w:val="18"/>
        </w:rPr>
        <w:t>54</w:t>
      </w:r>
    </w:p>
    <w:p>
      <w:pPr>
        <w:spacing w:after="0"/>
        <w:jc w:val="left"/>
        <w:rPr>
          <w:rFonts w:ascii="Calibri"/>
          <w:sz w:val="18"/>
        </w:rPr>
        <w:sectPr>
          <w:type w:val="continuous"/>
          <w:pgSz w:w="12240" w:h="15840"/>
          <w:pgMar w:top="1500" w:bottom="280" w:left="1120" w:right="0"/>
          <w:cols w:num="2" w:equalWidth="0">
            <w:col w:w="1584" w:space="2027"/>
            <w:col w:w="7509"/>
          </w:cols>
        </w:sectPr>
      </w:pPr>
    </w:p>
    <w:p>
      <w:pPr>
        <w:tabs>
          <w:tab w:pos="5060" w:val="left" w:leader="none"/>
        </w:tabs>
        <w:spacing w:before="253"/>
        <w:ind w:left="879" w:right="0" w:firstLine="0"/>
        <w:jc w:val="left"/>
        <w:rPr>
          <w:rFonts w:ascii="Calibri"/>
          <w:sz w:val="18"/>
        </w:rPr>
      </w:pPr>
      <w:r>
        <w:rPr>
          <w:rFonts w:ascii="Calibri"/>
          <w:color w:val="595958"/>
          <w:sz w:val="18"/>
        </w:rPr>
        <w:t>INJURY</w:t>
      </w:r>
      <w:r>
        <w:rPr>
          <w:rFonts w:ascii="Calibri"/>
          <w:color w:val="595958"/>
          <w:spacing w:val="-1"/>
          <w:sz w:val="18"/>
        </w:rPr>
        <w:t> </w:t>
      </w:r>
      <w:r>
        <w:rPr>
          <w:rFonts w:ascii="Calibri"/>
          <w:color w:val="595958"/>
          <w:sz w:val="18"/>
        </w:rPr>
        <w:t>A</w:t>
        <w:tab/>
      </w:r>
      <w:r>
        <w:rPr>
          <w:rFonts w:ascii="Calibri"/>
          <w:color w:val="595958"/>
          <w:position w:val="1"/>
          <w:sz w:val="18"/>
        </w:rPr>
        <w:t>INJURY</w:t>
      </w:r>
      <w:r>
        <w:rPr>
          <w:rFonts w:ascii="Calibri"/>
          <w:color w:val="595958"/>
          <w:spacing w:val="-2"/>
          <w:position w:val="1"/>
          <w:sz w:val="18"/>
        </w:rPr>
        <w:t> </w:t>
      </w:r>
      <w:r>
        <w:rPr>
          <w:rFonts w:ascii="Calibri"/>
          <w:color w:val="595958"/>
          <w:position w:val="1"/>
          <w:sz w:val="18"/>
        </w:rPr>
        <w:t>A</w:t>
      </w:r>
    </w:p>
    <w:p>
      <w:pPr>
        <w:tabs>
          <w:tab w:pos="5271" w:val="left" w:leader="none"/>
        </w:tabs>
        <w:spacing w:before="269"/>
        <w:ind w:left="1089" w:right="0" w:firstLine="0"/>
        <w:jc w:val="left"/>
        <w:rPr>
          <w:rFonts w:ascii="Calibri"/>
          <w:sz w:val="18"/>
        </w:rPr>
      </w:pPr>
      <w:r>
        <w:rPr>
          <w:rFonts w:ascii="Calibri"/>
          <w:color w:val="595958"/>
          <w:sz w:val="18"/>
        </w:rPr>
        <w:t>FATAL</w:t>
        <w:tab/>
        <w:t>FATAL</w:t>
      </w:r>
    </w:p>
    <w:p>
      <w:pPr>
        <w:tabs>
          <w:tab w:pos="2589" w:val="left" w:leader="none"/>
          <w:tab w:pos="3559" w:val="left" w:leader="none"/>
          <w:tab w:pos="4528" w:val="left" w:leader="none"/>
          <w:tab w:pos="5847" w:val="left" w:leader="none"/>
          <w:tab w:pos="6812" w:val="left" w:leader="none"/>
          <w:tab w:pos="7824" w:val="left" w:leader="none"/>
          <w:tab w:pos="8835" w:val="left" w:leader="none"/>
        </w:tabs>
        <w:spacing w:before="259"/>
        <w:ind w:left="1665" w:right="0" w:firstLine="0"/>
        <w:jc w:val="left"/>
        <w:rPr>
          <w:rFonts w:ascii="Calibri"/>
          <w:sz w:val="18"/>
        </w:rPr>
      </w:pPr>
      <w:r>
        <w:rPr/>
        <w:pict>
          <v:group style="position:absolute;margin-left:138.660004pt;margin-top:-115.435493pt;width:136.950pt;height:123.1pt;mso-position-horizontal-relative:page;mso-position-vertical-relative:paragraph;z-index:-255160" coordorigin="2773,-2309" coordsize="2739,2462">
            <v:shape style="position:absolute;left:3800;top:-2302;width:970;height:2447" coordorigin="3800,-2302" coordsize="970,2447" path="m3800,-2302l3800,-1690m3800,-1445l3800,-1201m3800,-956l3800,145m4770,-1445l4770,-1201m4770,-956l4770,145e" filled="false" stroked="true" strokeweight=".72pt" strokecolor="#dadada">
              <v:path arrowok="t"/>
              <v:stroke dashstyle="solid"/>
            </v:shape>
            <v:rect style="position:absolute;left:2830;top:-1201;width:2667;height:245" filled="true" fillcolor="#4472c4" stroked="false">
              <v:fill type="solid"/>
            </v:rect>
            <v:rect style="position:absolute;left:2830;top:-1201;width:2667;height:245" filled="false" stroked="true" strokeweight="1.5pt" strokecolor="#ffffff">
              <v:stroke dashstyle="solid"/>
            </v:rect>
            <v:line style="position:absolute" from="4770,-2302" to="4770,-1690" stroked="true" strokeweight=".72pt" strokecolor="#dadada">
              <v:stroke dashstyle="solid"/>
            </v:line>
            <v:rect style="position:absolute;left:2830;top:-1691;width:2134;height:245" filled="true" fillcolor="#4472c4" stroked="false">
              <v:fill type="solid"/>
            </v:rect>
            <v:rect style="position:absolute;left:2830;top:-1691;width:2134;height:245" filled="false" stroked="true" strokeweight="1.5pt" strokecolor="#ffffff">
              <v:stroke dashstyle="solid"/>
            </v:rect>
            <v:line style="position:absolute" from="2879,-2179" to="2879,-1934" stroked="true" strokeweight="4.860pt" strokecolor="#4472c4">
              <v:stroke dashstyle="solid"/>
            </v:line>
            <v:rect style="position:absolute;left:2830;top:-711;width:533;height:245" filled="true" fillcolor="#4472c4" stroked="false">
              <v:fill type="solid"/>
            </v:rect>
            <v:line style="position:absolute" from="2830,145" to="2830,-2302" stroked="true" strokeweight=".72pt" strokecolor="#dadada">
              <v:stroke dashstyle="solid"/>
            </v:line>
            <v:shape style="position:absolute;left:0;top:9850;width:57;height:2447" coordorigin="0,9851" coordsize="57,2447" path="m2773,145l2830,145m2773,-344l2830,-344m2773,-834l2830,-834m2773,-1322l2830,-1322m2773,-1812l2830,-1812m2773,-2302l2830,-2302e" filled="false" stroked="true" strokeweight=".72pt" strokecolor="#dadada">
              <v:path arrowok="t"/>
              <v:stroke dashstyle="solid"/>
            </v:shape>
            <v:shape style="position:absolute;left:3047;top:-2131;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2</w:t>
                    </w:r>
                  </w:p>
                </w:txbxContent>
              </v:textbox>
              <w10:wrap type="none"/>
            </v:shape>
            <v:shape style="position:absolute;left:5083;top:-1641;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44</w:t>
                    </w:r>
                  </w:p>
                </w:txbxContent>
              </v:textbox>
              <w10:wrap type="none"/>
            </v:shape>
            <v:shape style="position:absolute;left:3483;top:-663;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11</w:t>
                    </w:r>
                  </w:p>
                </w:txbxContent>
              </v:textbox>
              <w10:wrap type="none"/>
            </v:shape>
            <v:shape style="position:absolute;left:2950;top:-174;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0</w:t>
                    </w:r>
                  </w:p>
                </w:txbxContent>
              </v:textbox>
              <w10:wrap type="none"/>
            </v:shape>
            <w10:wrap type="none"/>
          </v:group>
        </w:pict>
      </w:r>
      <w:r>
        <w:rPr/>
        <w:pict>
          <v:line style="position:absolute;mso-position-horizontal-relative:page;mso-position-vertical-relative:paragraph;z-index:-255136" from="286.980011pt,-115.075493pt" to="286.980011pt,7.264507pt" stroked="true" strokeweight=".72pt" strokecolor="#dadada">
            <v:stroke dashstyle="solid"/>
            <w10:wrap type="none"/>
          </v:line>
        </w:pict>
      </w:r>
      <w:r>
        <w:rPr/>
        <w:pict>
          <v:group style="position:absolute;margin-left:347.76001pt;margin-top:-116.695488pt;width:140.1pt;height:124.35pt;mso-position-horizontal-relative:page;mso-position-vertical-relative:paragraph;z-index:-255016" coordorigin="6955,-2334" coordsize="2802,2487">
            <v:shape style="position:absolute;left:8023;top:-2327;width:1012;height:2472" coordorigin="8023,-2327" coordsize="1012,2472" path="m8023,-2327l8023,-1708m8023,-1461l8023,-1215m8023,-968l8023,145m9035,-2327l9035,-1215m9035,-968l9035,145e" filled="false" stroked="true" strokeweight=".72pt" strokecolor="#dadada">
              <v:path arrowok="t"/>
              <v:stroke dashstyle="solid"/>
            </v:shape>
            <v:rect style="position:absolute;left:7012;top:-1215;width:2730;height:248" filled="true" fillcolor="#4472c4" stroked="false">
              <v:fill type="solid"/>
            </v:rect>
            <v:rect style="position:absolute;left:7012;top:-1215;width:2730;height:248" filled="false" stroked="true" strokeweight="1.5pt" strokecolor="#ffffff">
              <v:stroke dashstyle="solid"/>
            </v:rect>
            <v:rect style="position:absolute;left:7012;top:-1709;width:1770;height:248" filled="true" fillcolor="#4472c4" stroked="false">
              <v:fill type="solid"/>
            </v:rect>
            <v:rect style="position:absolute;left:7012;top:-1709;width:1770;height:248" filled="false" stroked="true" strokeweight="1.5pt" strokecolor="#ffffff">
              <v:stroke dashstyle="solid"/>
            </v:rect>
            <v:rect style="position:absolute;left:7012;top:-2203;width:152;height:248" filled="true" fillcolor="#4472c4" stroked="false">
              <v:fill type="solid"/>
            </v:rect>
            <v:line style="position:absolute" from="7037,-226" to="7037,21" stroked="true" strokeweight="2.52pt" strokecolor="#4472c4">
              <v:stroke dashstyle="solid"/>
            </v:line>
            <v:rect style="position:absolute;left:7012;top:-721;width:455;height:248" filled="true" fillcolor="#4472c4" stroked="false">
              <v:fill type="solid"/>
            </v:rect>
            <v:line style="position:absolute" from="7012,145" to="7012,-2327" stroked="true" strokeweight=".72pt" strokecolor="#dadada">
              <v:stroke dashstyle="solid"/>
            </v:line>
            <v:shape style="position:absolute;left:0;top:9825;width:57;height:2472" coordorigin="0,9826" coordsize="57,2472" path="m6955,145l7012,145m6955,-349l7012,-349m6955,-844l7012,-844m6955,-1338l7012,-1338m6955,-1832l7012,-1832m6955,-2327l7012,-2327e" filled="false" stroked="true" strokeweight=".72pt" strokecolor="#dadada">
              <v:path arrowok="t"/>
              <v:stroke dashstyle="solid"/>
            </v:shape>
            <v:shape style="position:absolute;left:7284;top:-2153;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3</w:t>
                    </w:r>
                  </w:p>
                </w:txbxContent>
              </v:textbox>
              <w10:wrap type="none"/>
            </v:shape>
            <v:shape style="position:absolute;left:8902;top:-1659;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35</w:t>
                    </w:r>
                  </w:p>
                </w:txbxContent>
              </v:textbox>
              <w10:wrap type="none"/>
            </v:shape>
            <v:shape style="position:absolute;left:7588;top:-670;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w:t>
                    </w:r>
                  </w:p>
                </w:txbxContent>
              </v:textbox>
              <w10:wrap type="none"/>
            </v:shape>
            <v:shape style="position:absolute;left:7183;top:-176;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w:t>
                    </w:r>
                  </w:p>
                </w:txbxContent>
              </v:textbox>
              <w10:wrap type="none"/>
            </v:shape>
            <w10:wrap type="none"/>
          </v:group>
        </w:pict>
      </w:r>
      <w:r>
        <w:rPr/>
        <w:pict>
          <v:line style="position:absolute;mso-position-horizontal-relative:page;mso-position-vertical-relative:paragraph;z-index:3784" from="502.320007pt,-116.335487pt" to="502.320007pt,7.264513pt" stroked="true" strokeweight=".72pt" strokecolor="#dadada">
            <v:stroke dashstyle="solid"/>
            <w10:wrap type="none"/>
          </v:line>
        </w:pict>
      </w:r>
      <w:r>
        <w:rPr>
          <w:rFonts w:ascii="Calibri"/>
          <w:color w:val="595958"/>
          <w:sz w:val="18"/>
        </w:rPr>
        <w:t>0</w:t>
        <w:tab/>
        <w:t>20</w:t>
        <w:tab/>
        <w:t>40</w:t>
        <w:tab/>
        <w:t>60</w:t>
        <w:tab/>
        <w:t>0</w:t>
        <w:tab/>
        <w:t>20</w:t>
        <w:tab/>
        <w:t>40</w:t>
        <w:tab/>
        <w:t>60</w:t>
      </w:r>
    </w:p>
    <w:p>
      <w:pPr>
        <w:tabs>
          <w:tab w:pos="6191" w:val="left" w:leader="none"/>
        </w:tabs>
        <w:spacing w:before="230"/>
        <w:ind w:left="1800" w:right="0" w:firstLine="0"/>
        <w:jc w:val="left"/>
        <w:rPr>
          <w:sz w:val="20"/>
        </w:rPr>
      </w:pPr>
      <w:bookmarkStart w:name="_bookmark36" w:id="183"/>
      <w:bookmarkEnd w:id="183"/>
      <w:r>
        <w:rPr/>
      </w:r>
      <w:r>
        <w:rPr>
          <w:sz w:val="20"/>
        </w:rPr>
        <w:t>Number of</w:t>
      </w:r>
      <w:r>
        <w:rPr>
          <w:spacing w:val="-6"/>
          <w:sz w:val="20"/>
        </w:rPr>
        <w:t> </w:t>
      </w:r>
      <w:r>
        <w:rPr>
          <w:sz w:val="20"/>
        </w:rPr>
        <w:t>Pedestrian</w:t>
      </w:r>
      <w:r>
        <w:rPr>
          <w:spacing w:val="-1"/>
          <w:sz w:val="20"/>
        </w:rPr>
        <w:t> </w:t>
      </w:r>
      <w:r>
        <w:rPr>
          <w:sz w:val="20"/>
        </w:rPr>
        <w:t>Crashes</w:t>
        <w:tab/>
      </w:r>
      <w:r>
        <w:rPr>
          <w:position w:val="1"/>
          <w:sz w:val="20"/>
        </w:rPr>
        <w:t>Number of Bicycle</w:t>
      </w:r>
      <w:r>
        <w:rPr>
          <w:spacing w:val="-3"/>
          <w:position w:val="1"/>
          <w:sz w:val="20"/>
        </w:rPr>
        <w:t> </w:t>
      </w:r>
      <w:r>
        <w:rPr>
          <w:position w:val="1"/>
          <w:sz w:val="20"/>
        </w:rPr>
        <w:t>Crashes</w:t>
      </w:r>
    </w:p>
    <w:p>
      <w:pPr>
        <w:spacing w:before="487"/>
        <w:ind w:left="2322" w:right="0" w:firstLine="0"/>
        <w:jc w:val="left"/>
        <w:rPr>
          <w:sz w:val="20"/>
        </w:rPr>
      </w:pPr>
      <w:bookmarkStart w:name="_bookmark37" w:id="184"/>
      <w:bookmarkEnd w:id="184"/>
      <w:r>
        <w:rPr/>
      </w:r>
      <w:r>
        <w:rPr>
          <w:sz w:val="20"/>
        </w:rPr>
        <w:t>Figure 4.7: Segment Crash Severity Level Distribution, Five Years</w:t>
      </w:r>
    </w:p>
    <w:p>
      <w:pPr>
        <w:pStyle w:val="BodyText"/>
        <w:spacing w:before="479"/>
        <w:ind w:left="320" w:right="1550"/>
      </w:pPr>
      <w:r>
        <w:rPr/>
        <w:t>Severity levels of pedestrian and bicycle crashes at intersections have a similar distribution pattern as segment crashes. Injury B and Injury C levels make up almost 90% of the total crashes. However, pedestrians have more Injury C-level crashes (48%) than Injury B-level crashes (39%), and bicycles have the opposite pattern – less Injury C crashes (31%) than Injury B crashes (59%). There are 8% of pedestrian intersection crashes and 7% of bicycle intersection crashes that are Injury A level, and 1% and 3% are PDO crashes, respectively. Four pedestrian fatal crashes were reported at intersections from 2009 to 2013.</w:t>
      </w:r>
    </w:p>
    <w:p>
      <w:pPr>
        <w:tabs>
          <w:tab w:pos="5112" w:val="left" w:leader="none"/>
        </w:tabs>
        <w:spacing w:before="611"/>
        <w:ind w:left="792" w:right="0" w:firstLine="0"/>
        <w:jc w:val="left"/>
        <w:rPr>
          <w:rFonts w:ascii="Calibri"/>
          <w:sz w:val="18"/>
        </w:rPr>
      </w:pPr>
      <w:r>
        <w:rPr/>
        <w:pict>
          <v:group style="position:absolute;margin-left:117.239998pt;margin-top:23.396622pt;width:145.2pt;height:133.050pt;mso-position-horizontal-relative:page;mso-position-vertical-relative:paragraph;z-index:-254872" coordorigin="2345,468" coordsize="2904,2661">
            <v:shape style="position:absolute;left:3412;top:475;width:1012;height:2646" coordorigin="3413,475" coordsize="1012,2646" path="m3413,475l3413,1137m3413,1402l3413,1666m3413,1931l3413,3121m4424,1402l4424,1666m4424,1931l4424,3121e" filled="false" stroked="true" strokeweight=".72pt" strokecolor="#dadada">
              <v:path arrowok="t"/>
              <v:stroke dashstyle="solid"/>
            </v:shape>
            <v:rect style="position:absolute;left:2401;top:1666;width:2326;height:266" filled="true" fillcolor="#4472c4" stroked="false">
              <v:fill type="solid"/>
            </v:rect>
            <v:rect style="position:absolute;left:2401;top:1666;width:2326;height:266" filled="false" stroked="true" strokeweight="1.5pt" strokecolor="#ffffff">
              <v:stroke dashstyle="solid"/>
            </v:rect>
            <v:line style="position:absolute" from="4424,475" to="4424,1137" stroked="true" strokeweight=".72pt" strokecolor="#dadada">
              <v:stroke dashstyle="solid"/>
            </v:line>
            <v:rect style="position:absolute;left:2401;top:1136;width:2833;height:266" filled="true" fillcolor="#4472c4" stroked="false">
              <v:fill type="solid"/>
            </v:rect>
            <v:rect style="position:absolute;left:2401;top:1136;width:2832;height:266" filled="false" stroked="true" strokeweight="1.5pt" strokecolor="#ffffff">
              <v:stroke dashstyle="solid"/>
            </v:rect>
            <v:line style="position:absolute" from="2427,608" to="2427,873" stroked="true" strokeweight="2.52pt" strokecolor="#4472c4">
              <v:stroke dashstyle="solid"/>
            </v:line>
            <v:shape style="position:absolute;left:2401;top:2195;width:455;height:795" coordorigin="2402,2195" coordsize="455,795" path="m2655,2725l2402,2725,2402,2990,2655,2990,2655,2725m2857,2195l2402,2195,2402,2461,2857,2461,2857,2195e" filled="true" fillcolor="#4472c4" stroked="false">
              <v:path arrowok="t"/>
              <v:fill type="solid"/>
            </v:shape>
            <v:line style="position:absolute" from="2401,3121" to="2401,475" stroked="true" strokeweight=".72pt" strokecolor="#dadada">
              <v:stroke dashstyle="solid"/>
            </v:line>
            <v:shape style="position:absolute;left:0;top:5575;width:57;height:2646" coordorigin="0,5575" coordsize="57,2646" path="m2345,3121l2401,3121m2345,2592l2401,2592m2345,2063l2401,2063m2345,1534l2401,1534m2345,1004l2401,1004m2345,475l2401,475e" filled="false" stroked="true" strokeweight=".72pt" strokecolor="#dadada">
              <v:path arrowok="t"/>
              <v:stroke dashstyle="solid"/>
            </v:shape>
            <v:shape style="position:absolute;left:2572;top:667;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1</w:t>
                    </w:r>
                  </w:p>
                </w:txbxContent>
              </v:textbox>
              <w10:wrap type="none"/>
            </v:shape>
            <v:shape style="position:absolute;left:4848;top:1725;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46</w:t>
                    </w:r>
                  </w:p>
                </w:txbxContent>
              </v:textbox>
              <w10:wrap type="none"/>
            </v:shape>
            <v:shape style="position:absolute;left:2977;top:2254;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w:t>
                    </w:r>
                  </w:p>
                </w:txbxContent>
              </v:textbox>
              <w10:wrap type="none"/>
            </v:shape>
            <v:shape style="position:absolute;left:2774;top:2784;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5</w:t>
                    </w:r>
                  </w:p>
                </w:txbxContent>
              </v:textbox>
              <w10:wrap type="none"/>
            </v:shape>
            <w10:wrap type="none"/>
          </v:group>
        </w:pict>
      </w:r>
      <w:r>
        <w:rPr/>
        <w:pict>
          <v:line style="position:absolute;mso-position-horizontal-relative:page;mso-position-vertical-relative:paragraph;z-index:-254848" from="271.799988pt,23.756622pt" to="271.799988pt,156.056622pt" stroked="true" strokeweight=".72pt" strokecolor="#dadada">
            <v:stroke dashstyle="solid"/>
            <w10:wrap type="none"/>
          </v:line>
        </w:pict>
      </w:r>
      <w:r>
        <w:rPr/>
        <w:pict>
          <v:group style="position:absolute;margin-left:333.239990pt;margin-top:22.796623pt;width:129.2pt;height:133.65pt;mso-position-horizontal-relative:page;mso-position-vertical-relative:paragraph;z-index:-254728" coordorigin="6665,456" coordsize="2584,2673">
            <v:shape style="position:absolute;left:7341;top:463;width:1862;height:2658" coordorigin="7342,463" coordsize="1862,2658" path="m7342,463l7342,1129m7342,1394l7342,1660m7342,1925l7342,3121m7962,1394l7962,1660m7962,1925l7962,3121m8582,463l8582,1660m8582,1925l8582,3121m9203,463l9203,1660m9203,1925l9203,3121e" filled="false" stroked="true" strokeweight=".72pt" strokecolor="#dadada">
              <v:path arrowok="t"/>
              <v:stroke dashstyle="solid"/>
            </v:shape>
            <v:rect style="position:absolute;left:6721;top:1660;width:2512;height:266" filled="true" fillcolor="#4472c4" stroked="false">
              <v:fill type="solid"/>
            </v:rect>
            <v:rect style="position:absolute;left:6721;top:1660;width:2512;height:266" filled="false" stroked="true" strokeweight="1.5pt" strokecolor="#ffffff">
              <v:stroke dashstyle="solid"/>
            </v:rect>
            <v:line style="position:absolute" from="7962,463" to="7962,1129" stroked="true" strokeweight=".72pt" strokecolor="#dadada">
              <v:stroke dashstyle="solid"/>
            </v:line>
            <v:rect style="position:absolute;left:6721;top:1128;width:1303;height:266" filled="true" fillcolor="#4472c4" stroked="false">
              <v:fill type="solid"/>
            </v:rect>
            <v:rect style="position:absolute;left:6721;top:1128;width:1302;height:266" filled="false" stroked="true" strokeweight="1.5pt" strokecolor="#ffffff">
              <v:stroke dashstyle="solid"/>
            </v:rect>
            <v:line style="position:absolute" from="6784,597" to="6784,862" stroked="true" strokeweight="6.18pt" strokecolor="#4472c4">
              <v:stroke dashstyle="solid"/>
            </v:line>
            <v:rect style="position:absolute;left:6721;top:2191;width:280;height:266" filled="true" fillcolor="#4472c4" stroked="false">
              <v:fill type="solid"/>
            </v:rect>
            <v:line style="position:absolute" from="6721,3121" to="6721,463" stroked="true" strokeweight=".72pt" strokecolor="#dadada">
              <v:stroke dashstyle="solid"/>
            </v:line>
            <v:shape style="position:absolute;left:0;top:5563;width:57;height:2658" coordorigin="0,5563" coordsize="57,2658" path="m6665,3121l6721,3121m6665,2590l6721,2590m6665,2058l6721,2058m6665,1526l6721,1526m6665,995l6721,995m6665,463l6721,463e" filled="false" stroked="true" strokeweight=".72pt" strokecolor="#dadada">
              <v:path arrowok="t"/>
              <v:stroke dashstyle="solid"/>
            </v:shape>
            <v:shape style="position:absolute;left:6965;top:656;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w:t>
                    </w:r>
                  </w:p>
                </w:txbxContent>
              </v:textbox>
              <w10:wrap type="none"/>
            </v:shape>
            <v:shape style="position:absolute;left:8144;top:1188;width:203;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42</w:t>
                    </w:r>
                  </w:p>
                </w:txbxContent>
              </v:textbox>
              <w10:wrap type="none"/>
            </v:shape>
            <v:shape style="position:absolute;left:7120;top:2251;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9</w:t>
                    </w:r>
                  </w:p>
                </w:txbxContent>
              </v:textbox>
              <w10:wrap type="none"/>
            </v:shape>
            <v:shape style="position:absolute;left:6841;top:2782;width:112;height:180" type="#_x0000_t202" filled="false" stroked="false">
              <v:textbox inset="0,0,0,0">
                <w:txbxContent>
                  <w:p>
                    <w:pPr>
                      <w:spacing w:line="180" w:lineRule="exact" w:before="0"/>
                      <w:ind w:left="0" w:right="0" w:firstLine="0"/>
                      <w:jc w:val="left"/>
                      <w:rPr>
                        <w:rFonts w:ascii="Calibri"/>
                        <w:sz w:val="18"/>
                      </w:rPr>
                    </w:pPr>
                    <w:r>
                      <w:rPr>
                        <w:rFonts w:ascii="Calibri"/>
                        <w:color w:val="3E3E3E"/>
                        <w:sz w:val="18"/>
                      </w:rPr>
                      <w:t>0</w:t>
                    </w:r>
                  </w:p>
                </w:txbxContent>
              </v:textbox>
              <w10:wrap type="none"/>
            </v:shape>
            <w10:wrap type="none"/>
          </v:group>
        </w:pict>
      </w:r>
      <w:r>
        <w:rPr/>
        <w:pict>
          <v:line style="position:absolute;mso-position-horizontal-relative:page;mso-position-vertical-relative:paragraph;z-index:4072" from="491.160004pt,23.156622pt" to="491.160004pt,156.056622pt" stroked="true" strokeweight=".72pt" strokecolor="#dadada">
            <v:stroke dashstyle="solid"/>
            <w10:wrap type="none"/>
          </v:line>
        </w:pict>
      </w:r>
      <w:r>
        <w:rPr>
          <w:rFonts w:ascii="Calibri"/>
          <w:color w:val="595958"/>
          <w:sz w:val="18"/>
        </w:rPr>
        <w:t>PDO</w:t>
        <w:tab/>
      </w:r>
      <w:r>
        <w:rPr>
          <w:rFonts w:ascii="Calibri"/>
          <w:color w:val="595958"/>
          <w:position w:val="1"/>
          <w:sz w:val="18"/>
        </w:rPr>
        <w:t>PDO</w:t>
      </w:r>
    </w:p>
    <w:p>
      <w:pPr>
        <w:tabs>
          <w:tab w:pos="4233" w:val="left" w:leader="none"/>
          <w:tab w:pos="4778" w:val="left" w:leader="none"/>
        </w:tabs>
        <w:spacing w:before="300"/>
        <w:ind w:left="458" w:right="0" w:firstLine="0"/>
        <w:jc w:val="left"/>
        <w:rPr>
          <w:rFonts w:ascii="Calibri"/>
          <w:sz w:val="18"/>
        </w:rPr>
      </w:pPr>
      <w:r>
        <w:rPr>
          <w:rFonts w:ascii="Calibri"/>
          <w:color w:val="595958"/>
          <w:position w:val="1"/>
          <w:sz w:val="18"/>
        </w:rPr>
        <w:t>INJURY</w:t>
      </w:r>
      <w:r>
        <w:rPr>
          <w:rFonts w:ascii="Calibri"/>
          <w:color w:val="595958"/>
          <w:spacing w:val="-1"/>
          <w:position w:val="1"/>
          <w:sz w:val="18"/>
        </w:rPr>
        <w:t> </w:t>
      </w:r>
      <w:r>
        <w:rPr>
          <w:rFonts w:ascii="Calibri"/>
          <w:color w:val="595958"/>
          <w:position w:val="1"/>
          <w:sz w:val="18"/>
        </w:rPr>
        <w:t>C</w:t>
        <w:tab/>
      </w:r>
      <w:r>
        <w:rPr>
          <w:rFonts w:ascii="Calibri"/>
          <w:color w:val="3E3E3E"/>
          <w:sz w:val="18"/>
        </w:rPr>
        <w:t>56</w:t>
        <w:tab/>
      </w:r>
      <w:r>
        <w:rPr>
          <w:rFonts w:ascii="Calibri"/>
          <w:color w:val="595958"/>
          <w:position w:val="2"/>
          <w:sz w:val="18"/>
        </w:rPr>
        <w:t>INJURY</w:t>
      </w:r>
      <w:r>
        <w:rPr>
          <w:rFonts w:ascii="Calibri"/>
          <w:color w:val="595958"/>
          <w:spacing w:val="-2"/>
          <w:position w:val="2"/>
          <w:sz w:val="18"/>
        </w:rPr>
        <w:t> </w:t>
      </w:r>
      <w:r>
        <w:rPr>
          <w:rFonts w:ascii="Calibri"/>
          <w:color w:val="595958"/>
          <w:position w:val="2"/>
          <w:sz w:val="18"/>
        </w:rPr>
        <w:t>C</w:t>
      </w:r>
    </w:p>
    <w:p>
      <w:pPr>
        <w:tabs>
          <w:tab w:pos="4776" w:val="left" w:leader="none"/>
          <w:tab w:pos="8416" w:val="right" w:leader="none"/>
        </w:tabs>
        <w:spacing w:before="293"/>
        <w:ind w:left="456" w:right="0" w:firstLine="0"/>
        <w:jc w:val="left"/>
        <w:rPr>
          <w:rFonts w:ascii="Calibri"/>
          <w:sz w:val="18"/>
        </w:rPr>
      </w:pPr>
      <w:r>
        <w:rPr>
          <w:rFonts w:ascii="Calibri"/>
          <w:color w:val="595958"/>
          <w:sz w:val="18"/>
        </w:rPr>
        <w:t>INJURY</w:t>
      </w:r>
      <w:r>
        <w:rPr>
          <w:rFonts w:ascii="Calibri"/>
          <w:color w:val="595958"/>
          <w:spacing w:val="-1"/>
          <w:sz w:val="18"/>
        </w:rPr>
        <w:t> </w:t>
      </w:r>
      <w:r>
        <w:rPr>
          <w:rFonts w:ascii="Calibri"/>
          <w:color w:val="595958"/>
          <w:sz w:val="18"/>
        </w:rPr>
        <w:t>B</w:t>
        <w:tab/>
      </w:r>
      <w:r>
        <w:rPr>
          <w:rFonts w:ascii="Calibri"/>
          <w:color w:val="595958"/>
          <w:position w:val="1"/>
          <w:sz w:val="18"/>
        </w:rPr>
        <w:t>INJURY B</w:t>
        <w:tab/>
      </w:r>
      <w:r>
        <w:rPr>
          <w:rFonts w:ascii="Calibri"/>
          <w:color w:val="3E3E3E"/>
          <w:sz w:val="18"/>
        </w:rPr>
        <w:t>81</w:t>
      </w:r>
    </w:p>
    <w:p>
      <w:pPr>
        <w:tabs>
          <w:tab w:pos="4770" w:val="left" w:leader="none"/>
        </w:tabs>
        <w:spacing w:before="306"/>
        <w:ind w:left="450" w:right="0" w:firstLine="0"/>
        <w:jc w:val="left"/>
        <w:rPr>
          <w:rFonts w:ascii="Calibri"/>
          <w:sz w:val="18"/>
        </w:rPr>
      </w:pPr>
      <w:r>
        <w:rPr>
          <w:rFonts w:ascii="Calibri"/>
          <w:color w:val="595958"/>
          <w:sz w:val="18"/>
        </w:rPr>
        <w:t>INJURY</w:t>
      </w:r>
      <w:r>
        <w:rPr>
          <w:rFonts w:ascii="Calibri"/>
          <w:color w:val="595958"/>
          <w:spacing w:val="-1"/>
          <w:sz w:val="18"/>
        </w:rPr>
        <w:t> </w:t>
      </w:r>
      <w:r>
        <w:rPr>
          <w:rFonts w:ascii="Calibri"/>
          <w:color w:val="595958"/>
          <w:sz w:val="18"/>
        </w:rPr>
        <w:t>A</w:t>
        <w:tab/>
        <w:t>INJURY</w:t>
      </w:r>
      <w:r>
        <w:rPr>
          <w:rFonts w:ascii="Calibri"/>
          <w:color w:val="595958"/>
          <w:spacing w:val="-2"/>
          <w:sz w:val="18"/>
        </w:rPr>
        <w:t> </w:t>
      </w:r>
      <w:r>
        <w:rPr>
          <w:rFonts w:ascii="Calibri"/>
          <w:color w:val="595958"/>
          <w:sz w:val="18"/>
        </w:rPr>
        <w:t>A</w:t>
      </w:r>
    </w:p>
    <w:p>
      <w:pPr>
        <w:tabs>
          <w:tab w:pos="4980" w:val="left" w:leader="none"/>
        </w:tabs>
        <w:spacing w:before="309"/>
        <w:ind w:left="660" w:right="0" w:firstLine="0"/>
        <w:jc w:val="left"/>
        <w:rPr>
          <w:rFonts w:ascii="Calibri"/>
          <w:sz w:val="18"/>
        </w:rPr>
      </w:pPr>
      <w:r>
        <w:rPr>
          <w:rFonts w:ascii="Calibri"/>
          <w:color w:val="595958"/>
          <w:sz w:val="18"/>
        </w:rPr>
        <w:t>FATAL</w:t>
        <w:tab/>
        <w:t>FATAL</w:t>
      </w:r>
    </w:p>
    <w:p>
      <w:pPr>
        <w:tabs>
          <w:tab w:pos="2201" w:val="left" w:leader="none"/>
          <w:tab w:pos="3213" w:val="left" w:leader="none"/>
          <w:tab w:pos="4224" w:val="left" w:leader="none"/>
          <w:tab w:pos="5556" w:val="left" w:leader="none"/>
          <w:tab w:pos="6130" w:val="left" w:leader="none"/>
          <w:tab w:pos="6751" w:val="left" w:leader="none"/>
          <w:tab w:pos="7371" w:val="left" w:leader="none"/>
          <w:tab w:pos="7991" w:val="left" w:leader="none"/>
          <w:tab w:pos="8566" w:val="left" w:leader="none"/>
        </w:tabs>
        <w:spacing w:before="279"/>
        <w:ind w:left="1236" w:right="0" w:firstLine="0"/>
        <w:jc w:val="left"/>
        <w:rPr>
          <w:rFonts w:ascii="Calibri"/>
          <w:sz w:val="18"/>
        </w:rPr>
      </w:pPr>
      <w:r>
        <w:rPr>
          <w:rFonts w:ascii="Calibri"/>
          <w:color w:val="595958"/>
          <w:sz w:val="18"/>
        </w:rPr>
        <w:t>0</w:t>
        <w:tab/>
        <w:t>20</w:t>
        <w:tab/>
        <w:t>40</w:t>
        <w:tab/>
        <w:t>60</w:t>
        <w:tab/>
        <w:t>0</w:t>
        <w:tab/>
        <w:t>20</w:t>
        <w:tab/>
        <w:t>40</w:t>
        <w:tab/>
        <w:t>60</w:t>
        <w:tab/>
        <w:t>80</w:t>
        <w:tab/>
        <w:t>100</w:t>
      </w:r>
    </w:p>
    <w:p>
      <w:pPr>
        <w:tabs>
          <w:tab w:pos="6011" w:val="left" w:leader="none"/>
        </w:tabs>
        <w:spacing w:before="257"/>
        <w:ind w:left="1551" w:right="0" w:firstLine="0"/>
        <w:jc w:val="left"/>
        <w:rPr>
          <w:sz w:val="20"/>
        </w:rPr>
      </w:pPr>
      <w:r>
        <w:rPr>
          <w:sz w:val="20"/>
        </w:rPr>
        <w:t>Number of</w:t>
      </w:r>
      <w:r>
        <w:rPr>
          <w:spacing w:val="-6"/>
          <w:sz w:val="20"/>
        </w:rPr>
        <w:t> </w:t>
      </w:r>
      <w:r>
        <w:rPr>
          <w:sz w:val="20"/>
        </w:rPr>
        <w:t>Pedestrian</w:t>
      </w:r>
      <w:r>
        <w:rPr>
          <w:spacing w:val="-1"/>
          <w:sz w:val="20"/>
        </w:rPr>
        <w:t> </w:t>
      </w:r>
      <w:r>
        <w:rPr>
          <w:sz w:val="20"/>
        </w:rPr>
        <w:t>Crashes</w:t>
        <w:tab/>
        <w:t>Number of Bicycle</w:t>
      </w:r>
      <w:r>
        <w:rPr>
          <w:spacing w:val="-3"/>
          <w:sz w:val="20"/>
        </w:rPr>
        <w:t> </w:t>
      </w:r>
      <w:r>
        <w:rPr>
          <w:sz w:val="20"/>
        </w:rPr>
        <w:t>Crashes</w:t>
      </w:r>
    </w:p>
    <w:p>
      <w:pPr>
        <w:spacing w:before="470"/>
        <w:ind w:left="2200" w:right="0" w:firstLine="0"/>
        <w:jc w:val="left"/>
        <w:rPr>
          <w:sz w:val="20"/>
        </w:rPr>
      </w:pPr>
      <w:bookmarkStart w:name="_bookmark38" w:id="185"/>
      <w:bookmarkEnd w:id="185"/>
      <w:r>
        <w:rPr/>
      </w:r>
      <w:r>
        <w:rPr>
          <w:sz w:val="20"/>
        </w:rPr>
        <w:t>Figure 4.8: Intersection Crash Severity Level Distribution, Five Years</w:t>
      </w:r>
    </w:p>
    <w:p>
      <w:pPr>
        <w:spacing w:after="0"/>
        <w:jc w:val="left"/>
        <w:rPr>
          <w:sz w:val="20"/>
        </w:rPr>
        <w:sectPr>
          <w:type w:val="continuous"/>
          <w:pgSz w:w="12240" w:h="15840"/>
          <w:pgMar w:top="1500" w:bottom="280" w:left="1120" w:right="0"/>
        </w:sectPr>
      </w:pPr>
    </w:p>
    <w:p>
      <w:pPr>
        <w:pStyle w:val="BodyText"/>
        <w:spacing w:before="4"/>
        <w:rPr>
          <w:sz w:val="17"/>
        </w:rPr>
      </w:pPr>
    </w:p>
    <w:p>
      <w:pPr>
        <w:spacing w:after="0"/>
        <w:rPr>
          <w:sz w:val="17"/>
        </w:rPr>
        <w:sectPr>
          <w:pgSz w:w="12240" w:h="15840"/>
          <w:pgMar w:header="0" w:footer="709" w:top="1500" w:bottom="900" w:left="1120" w:right="0"/>
        </w:sectPr>
      </w:pPr>
    </w:p>
    <w:p>
      <w:pPr>
        <w:pStyle w:val="Heading2"/>
        <w:numPr>
          <w:ilvl w:val="1"/>
          <w:numId w:val="29"/>
        </w:numPr>
        <w:tabs>
          <w:tab w:pos="4035" w:val="left" w:leader="none"/>
          <w:tab w:pos="4036" w:val="left" w:leader="none"/>
        </w:tabs>
        <w:spacing w:line="240" w:lineRule="auto" w:before="75" w:after="0"/>
        <w:ind w:left="4035" w:right="0" w:hanging="720"/>
        <w:jc w:val="left"/>
      </w:pPr>
      <w:bookmarkStart w:name="_TOC_250032" w:id="186"/>
      <w:bookmarkStart w:name="5.0 METHODOLOGY" w:id="187"/>
      <w:r>
        <w:rPr>
          <w:b w:val="0"/>
        </w:rPr>
      </w:r>
      <w:bookmarkEnd w:id="187"/>
      <w:bookmarkStart w:name="5.0 METHODOLOGY" w:id="188"/>
      <w:r>
        <w:rPr/>
        <w:t>M</w:t>
      </w:r>
      <w:bookmarkEnd w:id="186"/>
      <w:r>
        <w:rPr/>
        <w:t>ETHODOLOGY</w:t>
      </w:r>
    </w:p>
    <w:p>
      <w:pPr>
        <w:pStyle w:val="BodyText"/>
        <w:spacing w:before="6"/>
        <w:rPr>
          <w:b/>
          <w:sz w:val="41"/>
        </w:rPr>
      </w:pPr>
    </w:p>
    <w:p>
      <w:pPr>
        <w:pStyle w:val="BodyText"/>
        <w:ind w:left="319" w:right="1515"/>
      </w:pPr>
      <w:r>
        <w:rPr/>
        <w:t>This chapter presents the statistical models used to create crash occurrence and severity models for pedestrians and bicycles on segments and intersections. The research team explored a multitude of different statistical models before identifying the logistic model as preferable. This chapter summarizes the methods used to build the models. This method for developing the risk scoring tool is presented in Chapter 7.</w:t>
      </w:r>
    </w:p>
    <w:p>
      <w:pPr>
        <w:pStyle w:val="BodyText"/>
        <w:spacing w:before="2"/>
        <w:rPr>
          <w:sz w:val="21"/>
        </w:rPr>
      </w:pPr>
    </w:p>
    <w:p>
      <w:pPr>
        <w:pStyle w:val="Heading3"/>
        <w:numPr>
          <w:ilvl w:val="1"/>
          <w:numId w:val="29"/>
        </w:numPr>
        <w:tabs>
          <w:tab w:pos="1039" w:val="left" w:leader="none"/>
          <w:tab w:pos="1040" w:val="left" w:leader="none"/>
        </w:tabs>
        <w:spacing w:line="240" w:lineRule="auto" w:before="1" w:after="0"/>
        <w:ind w:left="1039" w:right="0" w:hanging="719"/>
        <w:jc w:val="left"/>
      </w:pPr>
      <w:bookmarkStart w:name="_TOC_250031" w:id="189"/>
      <w:bookmarkStart w:name="5.1 LOGISTIC REGRESSION MODEL" w:id="190"/>
      <w:r>
        <w:rPr>
          <w:b w:val="0"/>
        </w:rPr>
      </w:r>
      <w:bookmarkEnd w:id="190"/>
      <w:bookmarkStart w:name="5.1 LOGISTIC REGRESSION MODEL" w:id="191"/>
      <w:r>
        <w:rPr/>
        <w:t>L</w:t>
      </w:r>
      <w:r>
        <w:rPr/>
        <w:t>OGISTIC REGRESSION</w:t>
      </w:r>
      <w:r>
        <w:rPr>
          <w:spacing w:val="-2"/>
        </w:rPr>
        <w:t> </w:t>
      </w:r>
      <w:bookmarkEnd w:id="189"/>
      <w:r>
        <w:rPr/>
        <w:t>MODEL</w:t>
      </w:r>
    </w:p>
    <w:p>
      <w:pPr>
        <w:pStyle w:val="BodyText"/>
        <w:spacing w:before="236"/>
        <w:ind w:left="320" w:right="1529"/>
      </w:pPr>
      <w:r>
        <w:rPr/>
        <w:t>As highlighted in Chapter 2 (Literature Review), logistic regression models are frequently used in estimating the risk factors of bicycle and pedestrian crashes and severity. Lenguerrand et al. (2006); Parkin et al. (2007); Kim et al. (2007); Eluru et al. (2008); Boufous et al. (2012); Schepers and Brinker (2011); Pai (2011), etc. used the logistic model in their research to establish either bicycle or pedestrian risk models, although the results are not consistent (Lenguerrand, Martin, and Laumon, 2006). The inconsistency is largely driven by the difference in geometric factors, weather conditions, and other factors.</w:t>
      </w:r>
    </w:p>
    <w:p>
      <w:pPr>
        <w:pStyle w:val="BodyText"/>
        <w:spacing w:before="10"/>
        <w:rPr>
          <w:sz w:val="20"/>
        </w:rPr>
      </w:pPr>
    </w:p>
    <w:p>
      <w:pPr>
        <w:pStyle w:val="BodyText"/>
        <w:ind w:left="319" w:right="1463"/>
      </w:pPr>
      <w:r>
        <w:rPr/>
        <w:t>Logistic regression was initially proposed by Cox in 1958 (Walker, 1967) to measure the categorical dependent variable (Y) and multiple independent variables (X) by using the logistic function. A standard logistic regression function is given by Equation 5-1 and the basic shape is shown in Figure 5.1. A logistic model is also called logit model, and the difference is only the format in which logistic function is the inverse of a logit function. A binomial logistic regression is often used when the dependent variable has only two levels (0 or 1), which are frequently used to represent crash data in the following form:</w:t>
      </w:r>
    </w:p>
    <w:p>
      <w:pPr>
        <w:pStyle w:val="BodyText"/>
        <w:spacing w:before="9"/>
        <w:rPr>
          <w:sz w:val="10"/>
        </w:rPr>
      </w:pPr>
    </w:p>
    <w:p>
      <w:pPr>
        <w:spacing w:after="0"/>
        <w:rPr>
          <w:sz w:val="10"/>
        </w:rPr>
        <w:sectPr>
          <w:pgSz w:w="12240" w:h="15840"/>
          <w:pgMar w:header="0" w:footer="709" w:top="1160" w:bottom="900" w:left="1120" w:right="0"/>
        </w:sectPr>
      </w:pPr>
    </w:p>
    <w:p>
      <w:pPr>
        <w:pStyle w:val="BodyText"/>
        <w:rPr>
          <w:sz w:val="26"/>
        </w:rPr>
      </w:pPr>
    </w:p>
    <w:p>
      <w:pPr>
        <w:pStyle w:val="BodyText"/>
        <w:rPr>
          <w:sz w:val="26"/>
        </w:rPr>
      </w:pPr>
    </w:p>
    <w:p>
      <w:pPr>
        <w:pStyle w:val="BodyText"/>
        <w:spacing w:before="200"/>
        <w:ind w:left="320"/>
      </w:pPr>
      <w:r>
        <w:rPr/>
        <w:t>Where:</w:t>
      </w:r>
    </w:p>
    <w:p>
      <w:pPr>
        <w:pStyle w:val="BodyText"/>
        <w:tabs>
          <w:tab w:pos="1425" w:val="left" w:leader="none"/>
        </w:tabs>
        <w:spacing w:line="226" w:lineRule="exact" w:before="165"/>
        <w:ind w:left="320"/>
        <w:rPr>
          <w:rFonts w:ascii="Cambria Math" w:eastAsia="Cambria Math"/>
        </w:rPr>
      </w:pPr>
      <w:r>
        <w:rPr/>
        <w:br w:type="column"/>
      </w:r>
      <w:r>
        <w:rPr>
          <w:rFonts w:ascii="Cambria Math" w:eastAsia="Cambria Math"/>
          <w:w w:val="90"/>
        </w:rPr>
        <w:t>(   )</w:t>
        <w:tab/>
      </w:r>
      <w:r>
        <w:rPr>
          <w:rFonts w:ascii="Cambria Math" w:eastAsia="Cambria Math"/>
          <w:w w:val="75"/>
          <w:vertAlign w:val="superscript"/>
        </w:rPr>
        <w:t>𝐿𝐿</w:t>
      </w:r>
    </w:p>
    <w:p>
      <w:pPr>
        <w:spacing w:line="115" w:lineRule="auto" w:before="0"/>
        <w:ind w:left="966" w:right="0" w:firstLine="0"/>
        <w:jc w:val="left"/>
        <w:rPr>
          <w:rFonts w:ascii="Cambria Math" w:hAnsi="Cambria Math" w:eastAsia="Cambria Math"/>
          <w:sz w:val="14"/>
        </w:rPr>
      </w:pPr>
      <w:r>
        <w:rPr/>
        <w:pict>
          <v:line style="position:absolute;mso-position-horizontal-relative:page;mso-position-vertical-relative:paragraph;z-index:-254680" from="303.179993pt,-2.677988pt" to="353.879993pt,-2.677988pt" stroked="true" strokeweight=".779pt" strokecolor="#000000">
            <v:stroke dashstyle="solid"/>
            <w10:wrap type="none"/>
          </v:line>
        </w:pict>
      </w:r>
      <w:r>
        <w:rPr/>
        <w:pict>
          <v:shape style="position:absolute;margin-left:264pt;margin-top:-10.690831pt;width:35.85pt;height:14.1pt;mso-position-horizontal-relative:page;mso-position-vertical-relative:paragraph;z-index:-254656" type="#_x0000_t202" filled="false" stroked="false">
            <v:textbox inset="0,0,0,0">
              <w:txbxContent>
                <w:p>
                  <w:pPr>
                    <w:pStyle w:val="BodyText"/>
                    <w:rPr>
                      <w:rFonts w:ascii="Cambria Math" w:eastAsia="Cambria Math"/>
                    </w:rPr>
                  </w:pPr>
                  <w:r>
                    <w:rPr>
                      <w:rFonts w:ascii="Cambria Math" w:eastAsia="Cambria Math"/>
                      <w:w w:val="70"/>
                    </w:rPr>
                    <w:t>𝑝𝑝 𝑥𝑥 </w:t>
                  </w:r>
                  <w:r>
                    <w:rPr>
                      <w:rFonts w:ascii="Cambria Math" w:eastAsia="Cambria Math"/>
                      <w:w w:val="90"/>
                    </w:rPr>
                    <w:t>=</w:t>
                  </w:r>
                </w:p>
              </w:txbxContent>
            </v:textbox>
            <w10:wrap type="none"/>
          </v:shape>
        </w:pict>
      </w:r>
      <w:r>
        <w:rPr>
          <w:rFonts w:ascii="Cambria Math" w:hAnsi="Cambria Math" w:eastAsia="Cambria Math"/>
          <w:spacing w:val="-1"/>
          <w:w w:val="104"/>
          <w:position w:val="-5"/>
          <w:sz w:val="17"/>
        </w:rPr>
        <w:t>1</w:t>
      </w:r>
      <w:r>
        <w:rPr>
          <w:rFonts w:ascii="Cambria Math" w:hAnsi="Cambria Math" w:eastAsia="Cambria Math"/>
          <w:spacing w:val="-1"/>
          <w:w w:val="97"/>
          <w:position w:val="-5"/>
          <w:sz w:val="17"/>
        </w:rPr>
        <w:t>+</w:t>
      </w:r>
      <w:r>
        <w:rPr>
          <w:rFonts w:ascii="Cambria Math" w:hAnsi="Cambria Math" w:eastAsia="Cambria Math"/>
          <w:w w:val="41"/>
          <w:position w:val="-5"/>
          <w:sz w:val="17"/>
        </w:rPr>
        <w:t>𝐵</w:t>
      </w:r>
      <w:r>
        <w:rPr>
          <w:rFonts w:ascii="Cambria Math" w:hAnsi="Cambria Math" w:eastAsia="Cambria Math"/>
          <w:spacing w:val="10"/>
          <w:w w:val="41"/>
          <w:position w:val="-5"/>
          <w:sz w:val="17"/>
        </w:rPr>
        <w:t>𝐵</w:t>
      </w:r>
      <w:r>
        <w:rPr>
          <w:rFonts w:ascii="Cambria Math" w:hAnsi="Cambria Math" w:eastAsia="Cambria Math"/>
          <w:spacing w:val="-1"/>
          <w:w w:val="100"/>
          <w:sz w:val="14"/>
        </w:rPr>
        <w:t>−</w:t>
      </w:r>
      <w:r>
        <w:rPr>
          <w:rFonts w:ascii="Cambria Math" w:hAnsi="Cambria Math" w:eastAsia="Cambria Math"/>
          <w:w w:val="58"/>
          <w:sz w:val="14"/>
        </w:rPr>
        <w:t>𝑘</w:t>
      </w:r>
      <w:r>
        <w:rPr>
          <w:rFonts w:ascii="Cambria Math" w:hAnsi="Cambria Math" w:eastAsia="Cambria Math"/>
          <w:spacing w:val="-1"/>
          <w:w w:val="58"/>
          <w:sz w:val="14"/>
        </w:rPr>
        <w:t>𝑘</w:t>
      </w:r>
      <w:r>
        <w:rPr>
          <w:rFonts w:ascii="Cambria Math" w:hAnsi="Cambria Math" w:eastAsia="Cambria Math"/>
          <w:w w:val="100"/>
          <w:sz w:val="14"/>
        </w:rPr>
        <w:t>(</w:t>
      </w:r>
      <w:r>
        <w:rPr>
          <w:rFonts w:ascii="Cambria Math" w:hAnsi="Cambria Math" w:eastAsia="Cambria Math"/>
          <w:w w:val="59"/>
          <w:sz w:val="14"/>
        </w:rPr>
        <w:t>𝑥</w:t>
      </w:r>
      <w:r>
        <w:rPr>
          <w:rFonts w:ascii="Cambria Math" w:hAnsi="Cambria Math" w:eastAsia="Cambria Math"/>
          <w:spacing w:val="-1"/>
          <w:w w:val="59"/>
          <w:sz w:val="14"/>
        </w:rPr>
        <w:t>𝑥</w:t>
      </w:r>
      <w:r>
        <w:rPr>
          <w:rFonts w:ascii="Cambria Math" w:hAnsi="Cambria Math" w:eastAsia="Cambria Math"/>
          <w:spacing w:val="-1"/>
          <w:w w:val="100"/>
          <w:sz w:val="14"/>
        </w:rPr>
        <w:t>−</w:t>
      </w:r>
      <w:r>
        <w:rPr>
          <w:rFonts w:ascii="Cambria Math" w:hAnsi="Cambria Math" w:eastAsia="Cambria Math"/>
          <w:w w:val="59"/>
          <w:sz w:val="14"/>
        </w:rPr>
        <w:t>𝑥</w:t>
      </w:r>
      <w:r>
        <w:rPr>
          <w:rFonts w:ascii="Cambria Math" w:hAnsi="Cambria Math" w:eastAsia="Cambria Math"/>
          <w:spacing w:val="-1"/>
          <w:w w:val="59"/>
          <w:sz w:val="14"/>
        </w:rPr>
        <w:t>𝑥</w:t>
      </w:r>
      <w:r>
        <w:rPr>
          <w:rFonts w:ascii="Cambria Math" w:hAnsi="Cambria Math" w:eastAsia="Cambria Math"/>
          <w:spacing w:val="5"/>
          <w:w w:val="107"/>
          <w:position w:val="-2"/>
          <w:sz w:val="14"/>
        </w:rPr>
        <w:t>0</w:t>
      </w:r>
      <w:r>
        <w:rPr>
          <w:rFonts w:ascii="Cambria Math" w:hAnsi="Cambria Math" w:eastAsia="Cambria Math"/>
          <w:w w:val="100"/>
          <w:sz w:val="14"/>
        </w:rPr>
        <w:t>)</w:t>
      </w:r>
    </w:p>
    <w:p>
      <w:pPr>
        <w:pStyle w:val="Heading4"/>
        <w:spacing w:before="178"/>
      </w:pPr>
      <w:r>
        <w:rPr>
          <w:b w:val="0"/>
        </w:rPr>
        <w:br w:type="column"/>
      </w:r>
      <w:r>
        <w:rPr/>
        <w:t>(5-1)</w:t>
      </w:r>
    </w:p>
    <w:p>
      <w:pPr>
        <w:spacing w:after="0"/>
        <w:sectPr>
          <w:type w:val="continuous"/>
          <w:pgSz w:w="12240" w:h="15840"/>
          <w:pgMar w:top="1500" w:bottom="280" w:left="1120" w:right="0"/>
          <w:cols w:num="3" w:equalWidth="0">
            <w:col w:w="1067" w:space="2910"/>
            <w:col w:w="2015" w:space="2888"/>
            <w:col w:w="2240"/>
          </w:cols>
        </w:sectPr>
      </w:pPr>
    </w:p>
    <w:p>
      <w:pPr>
        <w:pStyle w:val="BodyText"/>
        <w:rPr>
          <w:b/>
          <w:sz w:val="13"/>
        </w:rPr>
      </w:pPr>
    </w:p>
    <w:p>
      <w:pPr>
        <w:pStyle w:val="BodyText"/>
        <w:spacing w:before="90"/>
        <w:ind w:left="320"/>
      </w:pPr>
      <w:r>
        <w:rPr/>
        <w:t>e = the natural logarithm base (2.71828),</w:t>
      </w:r>
    </w:p>
    <w:p>
      <w:pPr>
        <w:pStyle w:val="BodyText"/>
        <w:spacing w:before="10"/>
        <w:rPr>
          <w:sz w:val="20"/>
        </w:rPr>
      </w:pPr>
    </w:p>
    <w:p>
      <w:pPr>
        <w:pStyle w:val="BodyText"/>
        <w:ind w:left="320"/>
      </w:pPr>
      <w:r>
        <w:rPr/>
        <w:t>x</w:t>
      </w:r>
      <w:r>
        <w:rPr>
          <w:vertAlign w:val="subscript"/>
        </w:rPr>
        <w:t>0</w:t>
      </w:r>
      <w:r>
        <w:rPr>
          <w:vertAlign w:val="baseline"/>
        </w:rPr>
        <w:t> = the x-value of the sigmoid function's midpoint</w:t>
      </w:r>
    </w:p>
    <w:p>
      <w:pPr>
        <w:pStyle w:val="BodyText"/>
        <w:spacing w:line="448" w:lineRule="auto" w:before="240"/>
        <w:ind w:left="320" w:right="4389"/>
      </w:pPr>
      <w:r>
        <w:rPr/>
        <w:t>L = the curve's maximum value, L, equals 1 in the binomial model k = the steepness of the curve</w:t>
      </w:r>
    </w:p>
    <w:p>
      <w:pPr>
        <w:pStyle w:val="BodyText"/>
        <w:spacing w:line="275" w:lineRule="exact"/>
        <w:ind w:left="320"/>
      </w:pPr>
      <w:r>
        <w:rPr/>
        <w:t>p (x) = the probability of the dependent variable</w:t>
      </w:r>
    </w:p>
    <w:p>
      <w:pPr>
        <w:pStyle w:val="BodyText"/>
        <w:rPr>
          <w:sz w:val="26"/>
        </w:rPr>
      </w:pPr>
    </w:p>
    <w:p>
      <w:pPr>
        <w:pStyle w:val="BodyText"/>
        <w:spacing w:before="9"/>
        <w:rPr>
          <w:sz w:val="35"/>
        </w:rPr>
      </w:pPr>
    </w:p>
    <w:p>
      <w:pPr>
        <w:pStyle w:val="BodyText"/>
        <w:ind w:left="320" w:right="1456"/>
        <w:jc w:val="both"/>
      </w:pPr>
      <w:r>
        <w:rPr/>
        <w:t>The binomial logistic model is often used when the independent variable is in binary format (0</w:t>
      </w:r>
      <w:r>
        <w:rPr>
          <w:spacing w:val="-22"/>
        </w:rPr>
        <w:t> </w:t>
      </w:r>
      <w:r>
        <w:rPr/>
        <w:t>or 1). The binomial independent variable can be interpreted as 1 represents an element (or situation) exists whereas 0 represents the</w:t>
      </w:r>
      <w:r>
        <w:rPr>
          <w:spacing w:val="-1"/>
        </w:rPr>
        <w:t> </w:t>
      </w:r>
      <w:r>
        <w:rPr/>
        <w:t>opposite.</w:t>
      </w:r>
    </w:p>
    <w:p>
      <w:pPr>
        <w:spacing w:after="0"/>
        <w:jc w:val="both"/>
        <w:sectPr>
          <w:type w:val="continuous"/>
          <w:pgSz w:w="12240" w:h="15840"/>
          <w:pgMar w:top="1500" w:bottom="280" w:left="1120" w:right="0"/>
        </w:sectPr>
      </w:pPr>
    </w:p>
    <w:p>
      <w:pPr>
        <w:pStyle w:val="BodyText"/>
        <w:ind w:left="2652"/>
        <w:rPr>
          <w:sz w:val="20"/>
        </w:rPr>
      </w:pPr>
      <w:r>
        <w:rPr>
          <w:sz w:val="20"/>
        </w:rPr>
        <w:drawing>
          <wp:inline distT="0" distB="0" distL="0" distR="0">
            <wp:extent cx="2979317" cy="1981676"/>
            <wp:effectExtent l="0" t="0" r="0" b="0"/>
            <wp:docPr id="45" name="image34.png" descr="Image result for logistic model"/>
            <wp:cNvGraphicFramePr>
              <a:graphicFrameLocks noChangeAspect="1"/>
            </wp:cNvGraphicFramePr>
            <a:graphic>
              <a:graphicData uri="http://schemas.openxmlformats.org/drawingml/2006/picture">
                <pic:pic>
                  <pic:nvPicPr>
                    <pic:cNvPr id="46" name="image34.png"/>
                    <pic:cNvPicPr/>
                  </pic:nvPicPr>
                  <pic:blipFill>
                    <a:blip r:embed="rId43" cstate="print"/>
                    <a:stretch>
                      <a:fillRect/>
                    </a:stretch>
                  </pic:blipFill>
                  <pic:spPr>
                    <a:xfrm>
                      <a:off x="0" y="0"/>
                      <a:ext cx="2979317" cy="1981676"/>
                    </a:xfrm>
                    <a:prstGeom prst="rect">
                      <a:avLst/>
                    </a:prstGeom>
                  </pic:spPr>
                </pic:pic>
              </a:graphicData>
            </a:graphic>
          </wp:inline>
        </w:drawing>
      </w:r>
      <w:r>
        <w:rPr>
          <w:sz w:val="20"/>
        </w:rPr>
      </w:r>
    </w:p>
    <w:p>
      <w:pPr>
        <w:spacing w:before="114"/>
        <w:ind w:left="3358" w:right="0" w:firstLine="0"/>
        <w:jc w:val="left"/>
        <w:rPr>
          <w:sz w:val="20"/>
        </w:rPr>
      </w:pPr>
      <w:bookmarkStart w:name="1.1.1" w:id="192"/>
      <w:bookmarkEnd w:id="192"/>
      <w:r>
        <w:rPr/>
      </w:r>
      <w:bookmarkStart w:name="_bookmark39" w:id="193"/>
      <w:bookmarkEnd w:id="193"/>
      <w:r>
        <w:rPr/>
      </w:r>
      <w:r>
        <w:rPr>
          <w:sz w:val="20"/>
        </w:rPr>
        <w:t>Figure 5.1: Standard Logistic Regression</w:t>
      </w:r>
    </w:p>
    <w:p>
      <w:pPr>
        <w:pStyle w:val="BodyText"/>
        <w:rPr>
          <w:sz w:val="22"/>
        </w:rPr>
      </w:pPr>
    </w:p>
    <w:p>
      <w:pPr>
        <w:pStyle w:val="BodyText"/>
        <w:spacing w:before="1"/>
        <w:rPr>
          <w:sz w:val="20"/>
        </w:rPr>
      </w:pPr>
    </w:p>
    <w:p>
      <w:pPr>
        <w:pStyle w:val="Heading3"/>
        <w:numPr>
          <w:ilvl w:val="2"/>
          <w:numId w:val="29"/>
        </w:numPr>
        <w:tabs>
          <w:tab w:pos="1040" w:val="left" w:leader="none"/>
        </w:tabs>
        <w:spacing w:line="240" w:lineRule="auto" w:before="0" w:after="0"/>
        <w:ind w:left="1039" w:right="0" w:hanging="719"/>
        <w:jc w:val="left"/>
      </w:pPr>
      <w:bookmarkStart w:name="_TOC_250030" w:id="194"/>
      <w:bookmarkStart w:name="5.1.1 Coefficients" w:id="195"/>
      <w:r>
        <w:rPr>
          <w:b w:val="0"/>
        </w:rPr>
      </w:r>
      <w:bookmarkEnd w:id="195"/>
      <w:bookmarkStart w:name="5.1.1 Coefficients" w:id="196"/>
      <w:r>
        <w:rPr/>
        <w:t>C</w:t>
      </w:r>
      <w:bookmarkEnd w:id="194"/>
      <w:r>
        <w:rPr/>
        <w:t>oefficients</w:t>
      </w:r>
    </w:p>
    <w:p>
      <w:pPr>
        <w:pStyle w:val="BodyText"/>
        <w:spacing w:before="236"/>
        <w:ind w:left="320" w:right="1457"/>
      </w:pPr>
      <w:r>
        <w:rPr/>
        <w:t>Logistic regression modeling will generate a coefficient for each variable. This value represents the slope or rate of change of the dependent variable per unit of change in the independent variable (either increasing or decreasing) when other variables are held as constants (Al-Ghamdi, 2002). However, a proper interpretation of logistic model coefficient is the slope which represents the change in the logit for a change of one unit of the independent variable. Odds ratios, explained later, are used to interpret the model coefficients.</w:t>
      </w:r>
    </w:p>
    <w:p>
      <w:pPr>
        <w:pStyle w:val="BodyText"/>
        <w:spacing w:before="2"/>
        <w:rPr>
          <w:sz w:val="21"/>
        </w:rPr>
      </w:pPr>
    </w:p>
    <w:p>
      <w:pPr>
        <w:pStyle w:val="Heading3"/>
        <w:numPr>
          <w:ilvl w:val="2"/>
          <w:numId w:val="29"/>
        </w:numPr>
        <w:tabs>
          <w:tab w:pos="1040" w:val="left" w:leader="none"/>
        </w:tabs>
        <w:spacing w:line="240" w:lineRule="auto" w:before="0" w:after="0"/>
        <w:ind w:left="1039" w:right="0" w:hanging="719"/>
        <w:jc w:val="left"/>
      </w:pPr>
      <w:bookmarkStart w:name="_TOC_250029" w:id="197"/>
      <w:bookmarkStart w:name="5.1.2 Model Building - Variable Selectio" w:id="198"/>
      <w:r>
        <w:rPr>
          <w:b w:val="0"/>
        </w:rPr>
      </w:r>
      <w:bookmarkEnd w:id="198"/>
      <w:bookmarkStart w:name="5.1.2 Model Building - Variable Selectio" w:id="199"/>
      <w:r>
        <w:rPr/>
        <w:t>Mod</w:t>
      </w:r>
      <w:r>
        <w:rPr/>
        <w:t>el Building - Variable Selection</w:t>
      </w:r>
      <w:r>
        <w:rPr>
          <w:spacing w:val="-4"/>
        </w:rPr>
        <w:t> </w:t>
      </w:r>
      <w:bookmarkEnd w:id="197"/>
      <w:r>
        <w:rPr/>
        <w:t>Process</w:t>
      </w:r>
    </w:p>
    <w:p>
      <w:pPr>
        <w:pStyle w:val="BodyText"/>
        <w:spacing w:before="237"/>
        <w:ind w:left="319" w:right="1630"/>
      </w:pPr>
      <w:r>
        <w:rPr/>
        <w:t>The research team developed crash occurrence and crash severity models for bicycles and pedestrians on segments or at intersections (eight total models). To develop the models, a backward and forward stepwise procedure was used that tested all combinations to find those significant variables. Backward stepwise started with a full model (all variables included) and insignificant variables were eliminated from the model in an iterative process until all variables are significant. A forward stepwise started with a reduced model (only variable “intercept” included) and significant variables were added into the model in an iterative process until no significant variables can be added further. This process was applied automatically in R (R Core Team, 2013). In addition, we manually tested a subset of variables that might be significant based on the project team’s engineering judgments and relevant project experience.</w:t>
      </w:r>
    </w:p>
    <w:p>
      <w:pPr>
        <w:pStyle w:val="BodyText"/>
        <w:spacing w:before="1"/>
        <w:rPr>
          <w:sz w:val="21"/>
        </w:rPr>
      </w:pPr>
    </w:p>
    <w:p>
      <w:pPr>
        <w:pStyle w:val="Heading3"/>
        <w:numPr>
          <w:ilvl w:val="2"/>
          <w:numId w:val="29"/>
        </w:numPr>
        <w:tabs>
          <w:tab w:pos="1040" w:val="left" w:leader="none"/>
        </w:tabs>
        <w:spacing w:line="240" w:lineRule="auto" w:before="0" w:after="0"/>
        <w:ind w:left="1039" w:right="0" w:hanging="719"/>
        <w:jc w:val="left"/>
      </w:pPr>
      <w:bookmarkStart w:name="_TOC_250028" w:id="200"/>
      <w:bookmarkStart w:name="5.1.3 Interpreting Model Outputs" w:id="201"/>
      <w:r>
        <w:rPr>
          <w:b w:val="0"/>
        </w:rPr>
      </w:r>
      <w:bookmarkEnd w:id="201"/>
      <w:bookmarkStart w:name="5.1.3 Interpreting Model Outputs" w:id="202"/>
      <w:r>
        <w:rPr/>
        <w:t>Int</w:t>
      </w:r>
      <w:r>
        <w:rPr/>
        <w:t>erpreting Model</w:t>
      </w:r>
      <w:r>
        <w:rPr>
          <w:spacing w:val="-2"/>
        </w:rPr>
        <w:t> </w:t>
      </w:r>
      <w:bookmarkEnd w:id="200"/>
      <w:r>
        <w:rPr/>
        <w:t>Outputs</w:t>
      </w:r>
    </w:p>
    <w:p>
      <w:pPr>
        <w:pStyle w:val="BodyText"/>
        <w:spacing w:before="238"/>
        <w:ind w:left="319" w:right="1462"/>
      </w:pPr>
      <w:r>
        <w:rPr/>
        <w:t>A coefficient for an independent variable represents the slope or rate of change of the dependent variable per unit change in the independent variable (Al-Ghamdi, 2002). In other words, it represents how much the dependent variable changes when the corresponding variable changes per unit. However, the correct interpretation of a logistic model is different from a standard linear regression model because the link function between independent variables and the mean of dependent variables of the logistic model is different from the standard linear m</w:t>
      </w:r>
      <w:hyperlink w:history="true" w:anchor="_bookmark40">
        <w:r>
          <w:rPr/>
          <w:t>odel. Table 5.1</w:t>
        </w:r>
      </w:hyperlink>
      <w:r>
        <w:rPr/>
        <w:t> shows the different link</w:t>
      </w:r>
      <w:r>
        <w:rPr>
          <w:spacing w:val="-1"/>
        </w:rPr>
        <w:t> </w:t>
      </w:r>
      <w:r>
        <w:rPr/>
        <w:t>functions.</w:t>
      </w:r>
    </w:p>
    <w:p>
      <w:pPr>
        <w:spacing w:after="0"/>
        <w:sectPr>
          <w:pgSz w:w="12240" w:h="15840"/>
          <w:pgMar w:header="0" w:footer="709" w:top="1000" w:bottom="980" w:left="1120" w:right="0"/>
        </w:sectPr>
      </w:pPr>
    </w:p>
    <w:p>
      <w:pPr>
        <w:spacing w:before="75"/>
        <w:ind w:left="320" w:right="0" w:firstLine="0"/>
        <w:jc w:val="left"/>
        <w:rPr>
          <w:b/>
          <w:sz w:val="20"/>
        </w:rPr>
      </w:pPr>
      <w:bookmarkStart w:name="_bookmark40" w:id="203"/>
      <w:bookmarkEnd w:id="203"/>
      <w:r>
        <w:rPr/>
      </w:r>
      <w:r>
        <w:rPr>
          <w:b/>
          <w:sz w:val="20"/>
        </w:rPr>
        <w:t>Table 5.1: Link Functions of Standard Linear and Logistic Model</w:t>
      </w:r>
    </w:p>
    <w:tbl>
      <w:tblPr>
        <w:tblW w:w="0" w:type="auto"/>
        <w:jc w:val="left"/>
        <w:tblInd w:w="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35"/>
        <w:gridCol w:w="6022"/>
      </w:tblGrid>
      <w:tr>
        <w:trPr>
          <w:trHeight w:val="229" w:hRule="atLeast"/>
        </w:trPr>
        <w:tc>
          <w:tcPr>
            <w:tcW w:w="3335" w:type="dxa"/>
            <w:tcBorders>
              <w:top w:val="single" w:sz="12" w:space="0" w:color="000000"/>
              <w:bottom w:val="single" w:sz="12" w:space="0" w:color="000000"/>
            </w:tcBorders>
          </w:tcPr>
          <w:p>
            <w:pPr>
              <w:pStyle w:val="TableParagraph"/>
              <w:spacing w:line="209" w:lineRule="exact"/>
              <w:ind w:left="115"/>
              <w:rPr>
                <w:b/>
                <w:sz w:val="20"/>
              </w:rPr>
            </w:pPr>
            <w:r>
              <w:rPr>
                <w:b/>
                <w:sz w:val="20"/>
              </w:rPr>
              <w:t>Model Type</w:t>
            </w:r>
          </w:p>
        </w:tc>
        <w:tc>
          <w:tcPr>
            <w:tcW w:w="6022" w:type="dxa"/>
            <w:tcBorders>
              <w:top w:val="single" w:sz="12" w:space="0" w:color="000000"/>
              <w:bottom w:val="single" w:sz="12" w:space="0" w:color="000000"/>
            </w:tcBorders>
          </w:tcPr>
          <w:p>
            <w:pPr>
              <w:pStyle w:val="TableParagraph"/>
              <w:spacing w:line="209" w:lineRule="exact"/>
              <w:ind w:left="1455"/>
              <w:rPr>
                <w:b/>
                <w:sz w:val="20"/>
              </w:rPr>
            </w:pPr>
            <w:r>
              <w:rPr>
                <w:b/>
                <w:sz w:val="20"/>
              </w:rPr>
              <w:t>Link Function</w:t>
            </w:r>
          </w:p>
        </w:tc>
      </w:tr>
      <w:tr>
        <w:trPr>
          <w:trHeight w:val="346" w:hRule="atLeast"/>
        </w:trPr>
        <w:tc>
          <w:tcPr>
            <w:tcW w:w="3335" w:type="dxa"/>
            <w:tcBorders>
              <w:top w:val="single" w:sz="12" w:space="0" w:color="000000"/>
            </w:tcBorders>
          </w:tcPr>
          <w:p>
            <w:pPr>
              <w:pStyle w:val="TableParagraph"/>
              <w:spacing w:before="73"/>
              <w:ind w:left="115"/>
              <w:rPr>
                <w:sz w:val="20"/>
              </w:rPr>
            </w:pPr>
            <w:r>
              <w:rPr>
                <w:sz w:val="20"/>
              </w:rPr>
              <w:t>Standard linear model</w:t>
            </w:r>
          </w:p>
        </w:tc>
        <w:tc>
          <w:tcPr>
            <w:tcW w:w="6022" w:type="dxa"/>
            <w:tcBorders>
              <w:top w:val="single" w:sz="12" w:space="0" w:color="000000"/>
            </w:tcBorders>
          </w:tcPr>
          <w:p>
            <w:pPr>
              <w:pStyle w:val="TableParagraph"/>
              <w:spacing w:before="73"/>
              <w:ind w:left="1455"/>
              <w:rPr>
                <w:sz w:val="20"/>
              </w:rPr>
            </w:pPr>
            <w:r>
              <w:rPr>
                <w:sz w:val="20"/>
              </w:rPr>
              <w:t>g(x) = x</w:t>
            </w:r>
          </w:p>
        </w:tc>
      </w:tr>
      <w:tr>
        <w:trPr>
          <w:trHeight w:val="268" w:hRule="atLeast"/>
        </w:trPr>
        <w:tc>
          <w:tcPr>
            <w:tcW w:w="3335" w:type="dxa"/>
            <w:tcBorders>
              <w:bottom w:val="single" w:sz="12" w:space="0" w:color="000000"/>
            </w:tcBorders>
          </w:tcPr>
          <w:p>
            <w:pPr>
              <w:pStyle w:val="TableParagraph"/>
              <w:spacing w:line="214" w:lineRule="exact" w:before="34"/>
              <w:ind w:left="115"/>
              <w:rPr>
                <w:sz w:val="20"/>
              </w:rPr>
            </w:pPr>
            <w:r>
              <w:rPr>
                <w:sz w:val="20"/>
              </w:rPr>
              <w:t>Logistic model</w:t>
            </w:r>
          </w:p>
        </w:tc>
        <w:tc>
          <w:tcPr>
            <w:tcW w:w="6022" w:type="dxa"/>
            <w:tcBorders>
              <w:bottom w:val="single" w:sz="12" w:space="0" w:color="000000"/>
            </w:tcBorders>
          </w:tcPr>
          <w:p>
            <w:pPr>
              <w:pStyle w:val="TableParagraph"/>
              <w:spacing w:line="214" w:lineRule="exact" w:before="34"/>
              <w:ind w:left="1455"/>
              <w:rPr>
                <w:sz w:val="20"/>
              </w:rPr>
            </w:pPr>
            <w:r>
              <w:rPr>
                <w:sz w:val="20"/>
              </w:rPr>
              <w:t>g(x) = log(x/(1-x))</w:t>
            </w:r>
          </w:p>
        </w:tc>
      </w:tr>
    </w:tbl>
    <w:p>
      <w:pPr>
        <w:pStyle w:val="BodyText"/>
        <w:rPr>
          <w:b/>
          <w:sz w:val="22"/>
        </w:rPr>
      </w:pPr>
    </w:p>
    <w:p>
      <w:pPr>
        <w:pStyle w:val="BodyText"/>
        <w:spacing w:before="157"/>
        <w:ind w:left="319" w:right="1491"/>
      </w:pPr>
      <w:r>
        <w:rPr/>
        <w:t>The link function of the standard linear model, in Table 5-1 indicates that the change of the dependent variable has “direct” influence on the mean of the dependent variable by multiplying the corresponding coefficient. Whereas, in a logistic model, there is a relatively complicated link function, indicating that the change of one unit of the dependent variable will change the log odds – g(x) = log(x/(1-x)) – of the dependent variable. More detailed interpretation of logit odds can be found in Section 6.3.</w:t>
      </w:r>
    </w:p>
    <w:p>
      <w:pPr>
        <w:pStyle w:val="BodyText"/>
        <w:spacing w:before="10"/>
        <w:rPr>
          <w:sz w:val="20"/>
        </w:rPr>
      </w:pPr>
    </w:p>
    <w:p>
      <w:pPr>
        <w:pStyle w:val="BodyText"/>
        <w:spacing w:before="1"/>
        <w:ind w:left="319" w:right="1463"/>
      </w:pPr>
      <w:r>
        <w:rPr/>
        <w:t>In the modeling results tables in the following sections, the significance level represents how much evidence we have to reject the null hypothesis. In other words, in this logistic model, it represents how much evidence we have to state the influence on log odds of change in an independent variable which is not equal to zero. The R outputs the p-value and standard error for each coefficient. The p-value is the probability of obtaining a result equal or more extreme than observed situations when the null hypothesis is true (Ramsey and Schafer, 2013). We considered any variables with p-values less or equal than 0.05 as significant variables.</w:t>
      </w:r>
    </w:p>
    <w:p>
      <w:pPr>
        <w:pStyle w:val="BodyText"/>
        <w:spacing w:before="10"/>
        <w:rPr>
          <w:sz w:val="20"/>
        </w:rPr>
      </w:pPr>
    </w:p>
    <w:p>
      <w:pPr>
        <w:pStyle w:val="BodyText"/>
        <w:ind w:left="319" w:right="1463"/>
      </w:pPr>
      <w:r>
        <w:rPr/>
        <w:t>Meaningful interpretation of coefficients in logistic models relies on how to interpret the difference between two odds (Al-Ghamdi, 2002). Equation 5-2 represents the change in the logit for a change of one unit of the independent variable, so the appropriate interpretation of the coefficient in a logistic model depends on the meaning of differences between two logits. The odds ratio, which is shown in Equation 5-3, can provide a foundational interpretation for all logistic models. If the odds ratio is greater than 1, it represents the likelihood of an event indicated in nominator (P in Equation 5-3 is greater than the likelihood of an event indicated in the denominator (1-P); if the odds ratio is less than 1 (from 0 to 1), it represents the opposite.</w:t>
      </w:r>
    </w:p>
    <w:p>
      <w:pPr>
        <w:pStyle w:val="BodyText"/>
        <w:rPr>
          <w:sz w:val="26"/>
        </w:rPr>
      </w:pPr>
    </w:p>
    <w:p>
      <w:pPr>
        <w:pStyle w:val="BodyText"/>
        <w:rPr>
          <w:sz w:val="26"/>
        </w:rPr>
      </w:pPr>
    </w:p>
    <w:p>
      <w:pPr>
        <w:pStyle w:val="Heading4"/>
        <w:spacing w:before="159"/>
        <w:ind w:left="0" w:right="1978"/>
        <w:jc w:val="right"/>
      </w:pPr>
      <w:r>
        <w:rPr/>
        <w:drawing>
          <wp:anchor distT="0" distB="0" distL="0" distR="0" allowOverlap="1" layoutInCell="1" locked="0" behindDoc="0" simplePos="0" relativeHeight="4144">
            <wp:simplePos x="0" y="0"/>
            <wp:positionH relativeFrom="page">
              <wp:posOffset>2114550</wp:posOffset>
            </wp:positionH>
            <wp:positionV relativeFrom="paragraph">
              <wp:posOffset>109260</wp:posOffset>
            </wp:positionV>
            <wp:extent cx="2734944" cy="456564"/>
            <wp:effectExtent l="0" t="0" r="0" b="0"/>
            <wp:wrapNone/>
            <wp:docPr id="47" name="image35.png" descr=""/>
            <wp:cNvGraphicFramePr>
              <a:graphicFrameLocks noChangeAspect="1"/>
            </wp:cNvGraphicFramePr>
            <a:graphic>
              <a:graphicData uri="http://schemas.openxmlformats.org/drawingml/2006/picture">
                <pic:pic>
                  <pic:nvPicPr>
                    <pic:cNvPr id="48" name="image35.png"/>
                    <pic:cNvPicPr/>
                  </pic:nvPicPr>
                  <pic:blipFill>
                    <a:blip r:embed="rId44" cstate="print"/>
                    <a:stretch>
                      <a:fillRect/>
                    </a:stretch>
                  </pic:blipFill>
                  <pic:spPr>
                    <a:xfrm>
                      <a:off x="0" y="0"/>
                      <a:ext cx="2734944" cy="456564"/>
                    </a:xfrm>
                    <a:prstGeom prst="rect">
                      <a:avLst/>
                    </a:prstGeom>
                  </pic:spPr>
                </pic:pic>
              </a:graphicData>
            </a:graphic>
          </wp:anchor>
        </w:drawing>
      </w:r>
      <w:r>
        <w:rPr/>
        <w:t>(5-2)</w:t>
      </w:r>
    </w:p>
    <w:p>
      <w:pPr>
        <w:pStyle w:val="BodyText"/>
        <w:rPr>
          <w:b/>
          <w:sz w:val="20"/>
        </w:rPr>
      </w:pPr>
    </w:p>
    <w:p>
      <w:pPr>
        <w:pStyle w:val="BodyText"/>
        <w:rPr>
          <w:b/>
          <w:sz w:val="20"/>
        </w:rPr>
      </w:pPr>
    </w:p>
    <w:p>
      <w:pPr>
        <w:pStyle w:val="BodyText"/>
        <w:rPr>
          <w:b/>
          <w:sz w:val="20"/>
        </w:rPr>
      </w:pPr>
    </w:p>
    <w:p>
      <w:pPr>
        <w:pStyle w:val="BodyText"/>
        <w:rPr>
          <w:b/>
          <w:sz w:val="19"/>
        </w:rPr>
      </w:pPr>
    </w:p>
    <w:p>
      <w:pPr>
        <w:spacing w:after="0"/>
        <w:rPr>
          <w:sz w:val="19"/>
        </w:rPr>
        <w:sectPr>
          <w:pgSz w:w="12240" w:h="15840"/>
          <w:pgMar w:header="0" w:footer="709" w:top="920" w:bottom="980" w:left="1120" w:right="0"/>
        </w:sectPr>
      </w:pPr>
    </w:p>
    <w:p>
      <w:pPr>
        <w:pStyle w:val="BodyText"/>
        <w:rPr>
          <w:b/>
          <w:sz w:val="26"/>
        </w:rPr>
      </w:pPr>
    </w:p>
    <w:p>
      <w:pPr>
        <w:pStyle w:val="BodyText"/>
        <w:rPr>
          <w:b/>
          <w:sz w:val="26"/>
        </w:rPr>
      </w:pPr>
    </w:p>
    <w:p>
      <w:pPr>
        <w:pStyle w:val="BodyText"/>
        <w:spacing w:before="6"/>
        <w:rPr>
          <w:b/>
          <w:sz w:val="20"/>
        </w:rPr>
      </w:pPr>
    </w:p>
    <w:p>
      <w:pPr>
        <w:pStyle w:val="BodyText"/>
        <w:ind w:left="320"/>
      </w:pPr>
      <w:r>
        <w:rPr/>
        <w:t>Where:</w:t>
      </w:r>
    </w:p>
    <w:p>
      <w:pPr>
        <w:tabs>
          <w:tab w:pos="2773" w:val="left" w:leader="none"/>
        </w:tabs>
        <w:spacing w:line="273" w:lineRule="exact" w:before="189"/>
        <w:ind w:left="320" w:right="0" w:firstLine="0"/>
        <w:jc w:val="left"/>
        <w:rPr>
          <w:rFonts w:ascii="Cambria Math" w:eastAsia="Cambria Math"/>
          <w:sz w:val="28"/>
        </w:rPr>
      </w:pPr>
      <w:r>
        <w:rPr/>
        <w:br w:type="column"/>
      </w:r>
      <w:r>
        <w:rPr>
          <w:rFonts w:ascii="Cambria Math" w:eastAsia="Cambria Math"/>
          <w:w w:val="49"/>
          <w:sz w:val="28"/>
        </w:rPr>
        <w:t>𝑂𝑂</w:t>
      </w:r>
      <w:r>
        <w:rPr>
          <w:rFonts w:ascii="Cambria Math" w:eastAsia="Cambria Math"/>
          <w:w w:val="42"/>
          <w:sz w:val="28"/>
        </w:rPr>
        <w:t>𝑂</w:t>
      </w:r>
      <w:r>
        <w:rPr>
          <w:rFonts w:ascii="Cambria Math" w:eastAsia="Cambria Math"/>
          <w:spacing w:val="-1"/>
          <w:w w:val="42"/>
          <w:sz w:val="28"/>
        </w:rPr>
        <w:t>𝑂</w:t>
      </w:r>
      <w:r>
        <w:rPr>
          <w:rFonts w:ascii="Cambria Math" w:eastAsia="Cambria Math"/>
          <w:w w:val="42"/>
          <w:sz w:val="28"/>
        </w:rPr>
        <w:t>𝑂</w:t>
      </w:r>
      <w:r>
        <w:rPr>
          <w:rFonts w:ascii="Cambria Math" w:eastAsia="Cambria Math"/>
          <w:spacing w:val="-1"/>
          <w:w w:val="42"/>
          <w:sz w:val="28"/>
        </w:rPr>
        <w:t>𝑂</w:t>
      </w:r>
      <w:r>
        <w:rPr>
          <w:rFonts w:ascii="Cambria Math" w:eastAsia="Cambria Math"/>
          <w:w w:val="34"/>
          <w:sz w:val="28"/>
        </w:rPr>
        <w:t>𝑂𝑂</w:t>
      </w:r>
      <w:r>
        <w:rPr>
          <w:rFonts w:ascii="Cambria Math" w:eastAsia="Cambria Math"/>
          <w:spacing w:val="-1"/>
          <w:sz w:val="28"/>
        </w:rPr>
        <w:t> </w:t>
      </w:r>
      <w:r>
        <w:rPr>
          <w:rFonts w:ascii="Cambria Math" w:eastAsia="Cambria Math"/>
          <w:w w:val="49"/>
          <w:sz w:val="28"/>
        </w:rPr>
        <w:t>𝑅</w:t>
      </w:r>
      <w:r>
        <w:rPr>
          <w:rFonts w:ascii="Cambria Math" w:eastAsia="Cambria Math"/>
          <w:spacing w:val="-1"/>
          <w:w w:val="49"/>
          <w:sz w:val="28"/>
        </w:rPr>
        <w:t>𝑅</w:t>
      </w:r>
      <w:r>
        <w:rPr>
          <w:rFonts w:ascii="Cambria Math" w:eastAsia="Cambria Math"/>
          <w:w w:val="37"/>
          <w:sz w:val="28"/>
        </w:rPr>
        <w:t>𝑅𝑅𝑅</w:t>
      </w:r>
      <w:r>
        <w:rPr>
          <w:rFonts w:ascii="Cambria Math" w:eastAsia="Cambria Math"/>
          <w:spacing w:val="1"/>
          <w:w w:val="37"/>
          <w:sz w:val="28"/>
        </w:rPr>
        <w:t>𝑅</w:t>
      </w:r>
      <w:r>
        <w:rPr>
          <w:rFonts w:ascii="Cambria Math" w:eastAsia="Cambria Math"/>
          <w:w w:val="24"/>
          <w:sz w:val="28"/>
        </w:rPr>
        <w:t>𝐵𝐵</w:t>
      </w:r>
      <w:r>
        <w:rPr>
          <w:rFonts w:ascii="Cambria Math" w:eastAsia="Cambria Math"/>
          <w:w w:val="41"/>
          <w:sz w:val="28"/>
        </w:rPr>
        <w:t>𝑅𝑅</w:t>
      </w:r>
      <w:r>
        <w:rPr>
          <w:rFonts w:ascii="Cambria Math" w:eastAsia="Cambria Math"/>
          <w:spacing w:val="23"/>
          <w:sz w:val="28"/>
        </w:rPr>
        <w:t> </w:t>
      </w:r>
      <w:r>
        <w:rPr>
          <w:rFonts w:ascii="Cambria Math" w:eastAsia="Cambria Math"/>
          <w:w w:val="99"/>
          <w:sz w:val="28"/>
        </w:rPr>
        <w:t>=</w:t>
      </w:r>
      <w:r>
        <w:rPr>
          <w:rFonts w:ascii="Cambria Math" w:eastAsia="Cambria Math"/>
          <w:spacing w:val="16"/>
          <w:sz w:val="28"/>
        </w:rPr>
        <w:t> </w:t>
      </w:r>
      <w:r>
        <w:rPr>
          <w:rFonts w:ascii="Cambria Math" w:eastAsia="Cambria Math"/>
          <w:w w:val="49"/>
          <w:sz w:val="28"/>
        </w:rPr>
        <w:t>𝜓𝜓</w:t>
      </w:r>
      <w:r>
        <w:rPr>
          <w:rFonts w:ascii="Cambria Math" w:eastAsia="Cambria Math"/>
          <w:spacing w:val="19"/>
          <w:sz w:val="28"/>
        </w:rPr>
        <w:t> </w:t>
      </w:r>
      <w:r>
        <w:rPr>
          <w:rFonts w:ascii="Cambria Math" w:eastAsia="Cambria Math"/>
          <w:w w:val="99"/>
          <w:sz w:val="28"/>
        </w:rPr>
        <w:t>=</w:t>
      </w:r>
      <w:r>
        <w:rPr>
          <w:rFonts w:ascii="Cambria Math" w:eastAsia="Cambria Math"/>
          <w:sz w:val="28"/>
        </w:rPr>
        <w:tab/>
      </w:r>
      <w:r>
        <w:rPr>
          <w:rFonts w:ascii="Cambria Math" w:eastAsia="Cambria Math"/>
          <w:w w:val="47"/>
          <w:sz w:val="28"/>
          <w:vertAlign w:val="superscript"/>
        </w:rPr>
        <w:t>𝑃𝑃</w:t>
      </w:r>
    </w:p>
    <w:p>
      <w:pPr>
        <w:spacing w:line="179" w:lineRule="exact" w:before="0"/>
        <w:ind w:left="0" w:right="0" w:firstLine="0"/>
        <w:jc w:val="right"/>
        <w:rPr>
          <w:rFonts w:ascii="Cambria Math" w:hAnsi="Cambria Math" w:eastAsia="Cambria Math"/>
          <w:sz w:val="20"/>
        </w:rPr>
      </w:pPr>
      <w:r>
        <w:rPr/>
        <w:pict>
          <v:line style="position:absolute;mso-position-horizontal-relative:page;mso-position-vertical-relative:paragraph;z-index:-254608" from="275.760010pt,-4.334466pt" to="295.500010pt,-4.334466pt" stroked="true" strokeweight=".9pt" strokecolor="#000000">
            <v:stroke dashstyle="solid"/>
            <w10:wrap type="none"/>
          </v:line>
        </w:pict>
      </w:r>
      <w:r>
        <w:rPr>
          <w:rFonts w:ascii="Cambria Math" w:hAnsi="Cambria Math" w:eastAsia="Cambria Math"/>
          <w:w w:val="104"/>
          <w:sz w:val="20"/>
        </w:rPr>
        <w:t>1</w:t>
      </w:r>
      <w:r>
        <w:rPr>
          <w:rFonts w:ascii="Cambria Math" w:hAnsi="Cambria Math" w:eastAsia="Cambria Math"/>
          <w:w w:val="97"/>
          <w:sz w:val="20"/>
        </w:rPr>
        <w:t>−</w:t>
      </w:r>
      <w:r>
        <w:rPr>
          <w:rFonts w:ascii="Cambria Math" w:hAnsi="Cambria Math" w:eastAsia="Cambria Math"/>
          <w:w w:val="52"/>
          <w:sz w:val="20"/>
        </w:rPr>
        <w:t>𝑃𝑃</w:t>
      </w:r>
    </w:p>
    <w:p>
      <w:pPr>
        <w:tabs>
          <w:tab w:pos="3831" w:val="left" w:leader="none"/>
        </w:tabs>
        <w:spacing w:before="161"/>
        <w:ind w:left="41" w:right="0" w:firstLine="0"/>
        <w:jc w:val="left"/>
        <w:rPr>
          <w:b/>
          <w:sz w:val="24"/>
        </w:rPr>
      </w:pPr>
      <w:r>
        <w:rPr/>
        <w:br w:type="column"/>
      </w:r>
      <w:r>
        <w:rPr>
          <w:rFonts w:ascii="Cambria Math" w:hAnsi="Cambria Math" w:eastAsia="Cambria Math"/>
          <w:w w:val="99"/>
          <w:position w:val="-9"/>
          <w:sz w:val="28"/>
        </w:rPr>
        <w:t>=</w:t>
      </w:r>
      <w:r>
        <w:rPr>
          <w:rFonts w:ascii="Cambria Math" w:hAnsi="Cambria Math" w:eastAsia="Cambria Math"/>
          <w:spacing w:val="16"/>
          <w:position w:val="-9"/>
          <w:sz w:val="28"/>
        </w:rPr>
        <w:t> </w:t>
      </w:r>
      <w:r>
        <w:rPr>
          <w:rFonts w:ascii="Cambria Math" w:hAnsi="Cambria Math" w:eastAsia="Cambria Math"/>
          <w:w w:val="37"/>
          <w:position w:val="-9"/>
          <w:sz w:val="28"/>
        </w:rPr>
        <w:t>𝐵</w:t>
      </w:r>
      <w:r>
        <w:rPr>
          <w:rFonts w:ascii="Cambria Math" w:hAnsi="Cambria Math" w:eastAsia="Cambria Math"/>
          <w:spacing w:val="14"/>
          <w:w w:val="37"/>
          <w:position w:val="-9"/>
          <w:sz w:val="28"/>
        </w:rPr>
        <w:t>𝐵</w:t>
      </w:r>
      <w:r>
        <w:rPr>
          <w:rFonts w:ascii="Cambria Math" w:hAnsi="Cambria Math" w:eastAsia="Cambria Math"/>
          <w:w w:val="56"/>
          <w:sz w:val="20"/>
        </w:rPr>
        <w:t>𝛽</w:t>
      </w:r>
      <w:r>
        <w:rPr>
          <w:rFonts w:ascii="Cambria Math" w:hAnsi="Cambria Math" w:eastAsia="Cambria Math"/>
          <w:spacing w:val="-10"/>
          <w:w w:val="56"/>
          <w:sz w:val="20"/>
        </w:rPr>
        <w:t>𝛽</w:t>
      </w:r>
      <w:r>
        <w:rPr>
          <w:rFonts w:ascii="Cambria Math" w:hAnsi="Cambria Math" w:eastAsia="Cambria Math"/>
          <w:spacing w:val="8"/>
          <w:w w:val="107"/>
          <w:position w:val="-3"/>
          <w:sz w:val="16"/>
        </w:rPr>
        <w:t>0</w:t>
      </w:r>
      <w:r>
        <w:rPr>
          <w:rFonts w:ascii="Cambria Math" w:hAnsi="Cambria Math" w:eastAsia="Cambria Math"/>
          <w:w w:val="97"/>
          <w:sz w:val="20"/>
        </w:rPr>
        <w:t>+</w:t>
      </w:r>
      <w:r>
        <w:rPr>
          <w:rFonts w:ascii="Cambria Math" w:hAnsi="Cambria Math" w:eastAsia="Cambria Math"/>
          <w:w w:val="56"/>
          <w:sz w:val="20"/>
        </w:rPr>
        <w:t>𝛽</w:t>
      </w:r>
      <w:r>
        <w:rPr>
          <w:rFonts w:ascii="Cambria Math" w:hAnsi="Cambria Math" w:eastAsia="Cambria Math"/>
          <w:spacing w:val="-11"/>
          <w:w w:val="56"/>
          <w:sz w:val="20"/>
        </w:rPr>
        <w:t>𝛽</w:t>
      </w:r>
      <w:r>
        <w:rPr>
          <w:rFonts w:ascii="Cambria Math" w:hAnsi="Cambria Math" w:eastAsia="Cambria Math"/>
          <w:spacing w:val="8"/>
          <w:w w:val="107"/>
          <w:position w:val="-3"/>
          <w:sz w:val="16"/>
        </w:rPr>
        <w:t>1</w:t>
      </w:r>
      <w:r>
        <w:rPr>
          <w:rFonts w:ascii="Cambria Math" w:hAnsi="Cambria Math" w:eastAsia="Cambria Math"/>
          <w:w w:val="55"/>
          <w:sz w:val="20"/>
        </w:rPr>
        <w:t>𝑥𝑥</w:t>
      </w:r>
      <w:r>
        <w:rPr>
          <w:rFonts w:ascii="Cambria Math" w:hAnsi="Cambria Math" w:eastAsia="Cambria Math"/>
          <w:spacing w:val="8"/>
          <w:w w:val="107"/>
          <w:position w:val="-3"/>
          <w:sz w:val="16"/>
        </w:rPr>
        <w:t>1</w:t>
      </w:r>
      <w:r>
        <w:rPr>
          <w:rFonts w:ascii="Cambria Math" w:hAnsi="Cambria Math" w:eastAsia="Cambria Math"/>
          <w:w w:val="100"/>
          <w:sz w:val="20"/>
        </w:rPr>
        <w:t>…</w:t>
      </w:r>
      <w:r>
        <w:rPr>
          <w:rFonts w:ascii="Cambria Math" w:hAnsi="Cambria Math" w:eastAsia="Cambria Math"/>
          <w:w w:val="56"/>
          <w:sz w:val="20"/>
        </w:rPr>
        <w:t>𝛽</w:t>
      </w:r>
      <w:r>
        <w:rPr>
          <w:rFonts w:ascii="Cambria Math" w:hAnsi="Cambria Math" w:eastAsia="Cambria Math"/>
          <w:spacing w:val="-11"/>
          <w:w w:val="56"/>
          <w:sz w:val="20"/>
        </w:rPr>
        <w:t>𝛽</w:t>
      </w:r>
      <w:r>
        <w:rPr>
          <w:rFonts w:ascii="Cambria Math" w:hAnsi="Cambria Math" w:eastAsia="Cambria Math"/>
          <w:w w:val="58"/>
          <w:position w:val="-3"/>
          <w:sz w:val="16"/>
        </w:rPr>
        <w:t>𝑘</w:t>
      </w:r>
      <w:r>
        <w:rPr>
          <w:rFonts w:ascii="Cambria Math" w:hAnsi="Cambria Math" w:eastAsia="Cambria Math"/>
          <w:spacing w:val="7"/>
          <w:w w:val="58"/>
          <w:position w:val="-3"/>
          <w:sz w:val="16"/>
        </w:rPr>
        <w:t>𝑘</w:t>
      </w:r>
      <w:r>
        <w:rPr>
          <w:rFonts w:ascii="Cambria Math" w:hAnsi="Cambria Math" w:eastAsia="Cambria Math"/>
          <w:w w:val="55"/>
          <w:sz w:val="20"/>
        </w:rPr>
        <w:t>𝑥𝑥</w:t>
      </w:r>
      <w:r>
        <w:rPr>
          <w:rFonts w:ascii="Cambria Math" w:hAnsi="Cambria Math" w:eastAsia="Cambria Math"/>
          <w:w w:val="58"/>
          <w:position w:val="-3"/>
          <w:sz w:val="16"/>
        </w:rPr>
        <w:t>𝑘𝑘</w:t>
      </w:r>
      <w:r>
        <w:rPr>
          <w:rFonts w:ascii="Cambria Math" w:hAnsi="Cambria Math" w:eastAsia="Cambria Math"/>
          <w:position w:val="-3"/>
          <w:sz w:val="16"/>
        </w:rPr>
        <w:tab/>
      </w:r>
      <w:r>
        <w:rPr>
          <w:b/>
          <w:position w:val="-9"/>
          <w:sz w:val="24"/>
        </w:rPr>
        <w:t>(5-3)</w:t>
      </w:r>
    </w:p>
    <w:p>
      <w:pPr>
        <w:spacing w:after="0"/>
        <w:jc w:val="left"/>
        <w:rPr>
          <w:sz w:val="24"/>
        </w:rPr>
        <w:sectPr>
          <w:type w:val="continuous"/>
          <w:pgSz w:w="12240" w:h="15840"/>
          <w:pgMar w:top="1500" w:bottom="280" w:left="1120" w:right="0"/>
          <w:cols w:num="3" w:equalWidth="0">
            <w:col w:w="1067" w:space="684"/>
            <w:col w:w="3037" w:space="39"/>
            <w:col w:w="6293"/>
          </w:cols>
        </w:sectPr>
      </w:pPr>
    </w:p>
    <w:p>
      <w:pPr>
        <w:pStyle w:val="BodyText"/>
        <w:spacing w:before="4"/>
        <w:rPr>
          <w:b/>
          <w:sz w:val="12"/>
        </w:rPr>
      </w:pPr>
    </w:p>
    <w:p>
      <w:pPr>
        <w:pStyle w:val="BodyText"/>
        <w:spacing w:before="100"/>
        <w:ind w:left="320"/>
      </w:pPr>
      <w:r>
        <w:rPr>
          <w:rFonts w:ascii="Cambria Math" w:eastAsia="Cambria Math"/>
          <w:w w:val="90"/>
        </w:rPr>
        <w:t>𝑃𝑃 </w:t>
      </w:r>
      <w:r>
        <w:rPr/>
        <w:t>- probability that Y=1 (crash or severe crash occurs in the model)</w:t>
      </w:r>
    </w:p>
    <w:p>
      <w:pPr>
        <w:pStyle w:val="BodyText"/>
        <w:spacing w:before="241"/>
        <w:ind w:left="320"/>
      </w:pPr>
      <w:r>
        <w:rPr>
          <w:rFonts w:ascii="Cambria Math" w:eastAsia="Cambria Math"/>
          <w:w w:val="50"/>
        </w:rPr>
        <w:t>𝛽</w:t>
      </w:r>
      <w:r>
        <w:rPr>
          <w:rFonts w:ascii="Cambria Math" w:eastAsia="Cambria Math"/>
          <w:spacing w:val="-16"/>
          <w:w w:val="50"/>
        </w:rPr>
        <w:t>𝛽</w:t>
      </w:r>
      <w:r>
        <w:rPr>
          <w:rFonts w:ascii="Cambria Math" w:eastAsia="Cambria Math"/>
          <w:w w:val="24"/>
          <w:vertAlign w:val="subscript"/>
        </w:rPr>
        <w:t>𝐵</w:t>
      </w:r>
      <w:r>
        <w:rPr>
          <w:rFonts w:ascii="Cambria Math" w:eastAsia="Cambria Math"/>
          <w:spacing w:val="15"/>
          <w:w w:val="24"/>
          <w:vertAlign w:val="subscript"/>
        </w:rPr>
        <w:t>𝐵</w:t>
      </w:r>
      <w:r>
        <w:rPr>
          <w:w w:val="99"/>
          <w:vertAlign w:val="baseline"/>
        </w:rPr>
        <w:t>- coe</w:t>
      </w:r>
      <w:r>
        <w:rPr>
          <w:spacing w:val="-1"/>
          <w:w w:val="99"/>
          <w:vertAlign w:val="baseline"/>
        </w:rPr>
        <w:t>ff</w:t>
      </w:r>
      <w:r>
        <w:rPr>
          <w:w w:val="99"/>
          <w:vertAlign w:val="baseline"/>
        </w:rPr>
        <w:t>icient</w:t>
      </w:r>
      <w:r>
        <w:rPr>
          <w:spacing w:val="-1"/>
          <w:w w:val="99"/>
          <w:vertAlign w:val="baseline"/>
        </w:rPr>
        <w:t> </w:t>
      </w:r>
      <w:r>
        <w:rPr>
          <w:w w:val="99"/>
          <w:vertAlign w:val="baseline"/>
        </w:rPr>
        <w:t>of</w:t>
      </w:r>
      <w:r>
        <w:rPr>
          <w:spacing w:val="-1"/>
          <w:w w:val="99"/>
          <w:vertAlign w:val="baseline"/>
        </w:rPr>
        <w:t> </w:t>
      </w:r>
      <w:r>
        <w:rPr>
          <w:w w:val="99"/>
          <w:vertAlign w:val="baseline"/>
        </w:rPr>
        <w:t>the inde</w:t>
      </w:r>
      <w:r>
        <w:rPr>
          <w:spacing w:val="-2"/>
          <w:w w:val="99"/>
          <w:vertAlign w:val="baseline"/>
        </w:rPr>
        <w:t>p</w:t>
      </w:r>
      <w:r>
        <w:rPr>
          <w:w w:val="99"/>
          <w:vertAlign w:val="baseline"/>
        </w:rPr>
        <w:t>endent v</w:t>
      </w:r>
      <w:r>
        <w:rPr>
          <w:spacing w:val="-1"/>
          <w:w w:val="99"/>
          <w:vertAlign w:val="baseline"/>
        </w:rPr>
        <w:t>a</w:t>
      </w:r>
      <w:r>
        <w:rPr>
          <w:w w:val="99"/>
          <w:vertAlign w:val="baseline"/>
        </w:rPr>
        <w:t>ri</w:t>
      </w:r>
      <w:r>
        <w:rPr>
          <w:spacing w:val="-1"/>
          <w:w w:val="99"/>
          <w:vertAlign w:val="baseline"/>
        </w:rPr>
        <w:t>a</w:t>
      </w:r>
      <w:r>
        <w:rPr>
          <w:w w:val="99"/>
          <w:vertAlign w:val="baseline"/>
        </w:rPr>
        <w:t>ble,</w:t>
      </w:r>
    </w:p>
    <w:p>
      <w:pPr>
        <w:pStyle w:val="BodyText"/>
        <w:spacing w:before="239"/>
        <w:ind w:left="320"/>
      </w:pPr>
      <w:r>
        <w:rPr>
          <w:rFonts w:ascii="Cambria Math" w:hAnsi="Cambria Math" w:eastAsia="Cambria Math"/>
          <w:w w:val="50"/>
        </w:rPr>
        <w:t>𝜓𝜓</w:t>
      </w:r>
      <w:r>
        <w:rPr>
          <w:rFonts w:ascii="Cambria Math" w:hAnsi="Cambria Math" w:eastAsia="Cambria Math"/>
          <w:spacing w:val="11"/>
        </w:rPr>
        <w:t> </w:t>
      </w:r>
      <w:r>
        <w:rPr/>
        <w:t>– odd</w:t>
      </w:r>
      <w:r>
        <w:rPr>
          <w:w w:val="99"/>
        </w:rPr>
        <w:t>s</w:t>
      </w:r>
      <w:r>
        <w:rPr/>
        <w:t> ra</w:t>
      </w:r>
      <w:r>
        <w:rPr>
          <w:spacing w:val="-1"/>
        </w:rPr>
        <w:t>t</w:t>
      </w:r>
      <w:r>
        <w:rPr/>
        <w:t>io</w:t>
      </w:r>
      <w:r>
        <w:rPr>
          <w:spacing w:val="-2"/>
        </w:rPr>
        <w:t> </w:t>
      </w:r>
      <w:r>
        <w:rPr>
          <w:spacing w:val="-1"/>
          <w:w w:val="99"/>
        </w:rPr>
        <w:t>w</w:t>
      </w:r>
      <w:r>
        <w:rPr/>
        <w:t>ill be</w:t>
      </w:r>
      <w:r>
        <w:rPr>
          <w:spacing w:val="-1"/>
        </w:rPr>
        <w:t> </w:t>
      </w:r>
      <w:r>
        <w:rPr>
          <w:rFonts w:ascii="Cambria Math" w:hAnsi="Cambria Math" w:eastAsia="Cambria Math"/>
          <w:w w:val="50"/>
        </w:rPr>
        <w:t>𝛽</w:t>
      </w:r>
      <w:r>
        <w:rPr>
          <w:rFonts w:ascii="Cambria Math" w:hAnsi="Cambria Math" w:eastAsia="Cambria Math"/>
          <w:spacing w:val="-16"/>
          <w:w w:val="50"/>
        </w:rPr>
        <w:t>𝛽</w:t>
      </w:r>
      <w:r>
        <w:rPr>
          <w:rFonts w:ascii="Cambria Math" w:hAnsi="Cambria Math" w:eastAsia="Cambria Math"/>
          <w:w w:val="24"/>
          <w:vertAlign w:val="subscript"/>
        </w:rPr>
        <w:t>𝐵𝐵</w:t>
      </w:r>
      <w:r>
        <w:rPr>
          <w:rFonts w:ascii="Cambria Math" w:hAnsi="Cambria Math" w:eastAsia="Cambria Math"/>
          <w:spacing w:val="23"/>
          <w:vertAlign w:val="baseline"/>
        </w:rPr>
        <w:t> </w:t>
      </w:r>
      <w:r>
        <w:rPr>
          <w:vertAlign w:val="baseline"/>
        </w:rPr>
        <w:t>ti</w:t>
      </w:r>
      <w:r>
        <w:rPr>
          <w:spacing w:val="-1"/>
          <w:vertAlign w:val="baseline"/>
        </w:rPr>
        <w:t>m</w:t>
      </w:r>
      <w:r>
        <w:rPr>
          <w:vertAlign w:val="baseline"/>
        </w:rPr>
        <w:t>e</w:t>
      </w:r>
      <w:r>
        <w:rPr>
          <w:w w:val="99"/>
          <w:vertAlign w:val="baseline"/>
        </w:rPr>
        <w:t>s</w:t>
      </w:r>
      <w:r>
        <w:rPr>
          <w:vertAlign w:val="baseline"/>
        </w:rPr>
        <w:t> higher</w:t>
      </w:r>
      <w:r>
        <w:rPr>
          <w:spacing w:val="-1"/>
          <w:vertAlign w:val="baseline"/>
        </w:rPr>
        <w:t> </w:t>
      </w:r>
      <w:r>
        <w:rPr>
          <w:vertAlign w:val="baseline"/>
        </w:rPr>
        <w:t>th</w:t>
      </w:r>
      <w:r>
        <w:rPr>
          <w:spacing w:val="-1"/>
          <w:vertAlign w:val="baseline"/>
        </w:rPr>
        <w:t>a</w:t>
      </w:r>
      <w:r>
        <w:rPr>
          <w:vertAlign w:val="baseline"/>
        </w:rPr>
        <w:t>n be</w:t>
      </w:r>
      <w:r>
        <w:rPr>
          <w:spacing w:val="-1"/>
          <w:vertAlign w:val="baseline"/>
        </w:rPr>
        <w:t>f</w:t>
      </w:r>
      <w:r>
        <w:rPr>
          <w:vertAlign w:val="baseline"/>
        </w:rPr>
        <w:t>ore </w:t>
      </w:r>
      <w:r>
        <w:rPr>
          <w:spacing w:val="-1"/>
          <w:w w:val="99"/>
          <w:vertAlign w:val="baseline"/>
        </w:rPr>
        <w:t>w</w:t>
      </w:r>
      <w:r>
        <w:rPr>
          <w:vertAlign w:val="baseline"/>
        </w:rPr>
        <w:t>hen </w:t>
      </w:r>
      <w:r>
        <w:rPr>
          <w:rFonts w:ascii="Cambria Math" w:hAnsi="Cambria Math" w:eastAsia="Cambria Math"/>
          <w:w w:val="50"/>
          <w:vertAlign w:val="baseline"/>
        </w:rPr>
        <w:t>𝑥</w:t>
      </w:r>
      <w:r>
        <w:rPr>
          <w:rFonts w:ascii="Cambria Math" w:hAnsi="Cambria Math" w:eastAsia="Cambria Math"/>
          <w:spacing w:val="-3"/>
          <w:w w:val="50"/>
          <w:vertAlign w:val="baseline"/>
        </w:rPr>
        <w:t>𝑥</w:t>
      </w:r>
      <w:r>
        <w:rPr>
          <w:rFonts w:ascii="Cambria Math" w:hAnsi="Cambria Math" w:eastAsia="Cambria Math"/>
          <w:w w:val="24"/>
          <w:vertAlign w:val="subscript"/>
        </w:rPr>
        <w:t>𝐵𝐵</w:t>
      </w:r>
      <w:r>
        <w:rPr>
          <w:rFonts w:ascii="Cambria Math" w:hAnsi="Cambria Math" w:eastAsia="Cambria Math"/>
          <w:spacing w:val="23"/>
          <w:vertAlign w:val="baseline"/>
        </w:rPr>
        <w:t> </w:t>
      </w:r>
      <w:r>
        <w:rPr>
          <w:vertAlign w:val="baseline"/>
        </w:rPr>
        <w:t>inc</w:t>
      </w:r>
      <w:r>
        <w:rPr>
          <w:spacing w:val="-1"/>
          <w:vertAlign w:val="baseline"/>
        </w:rPr>
        <w:t>r</w:t>
      </w:r>
      <w:r>
        <w:rPr>
          <w:vertAlign w:val="baseline"/>
        </w:rPr>
        <w:t>ease</w:t>
      </w:r>
      <w:r>
        <w:rPr>
          <w:spacing w:val="-1"/>
          <w:vertAlign w:val="baseline"/>
        </w:rPr>
        <w:t> </w:t>
      </w:r>
      <w:r>
        <w:rPr>
          <w:vertAlign w:val="baseline"/>
        </w:rPr>
        <w:t>1 unit.</w:t>
      </w:r>
    </w:p>
    <w:p>
      <w:pPr>
        <w:spacing w:after="0"/>
        <w:sectPr>
          <w:type w:val="continuous"/>
          <w:pgSz w:w="12240" w:h="15840"/>
          <w:pgMar w:top="1500" w:bottom="280" w:left="1120" w:right="0"/>
        </w:sectPr>
      </w:pPr>
    </w:p>
    <w:p>
      <w:pPr>
        <w:pStyle w:val="BodyText"/>
        <w:spacing w:line="235" w:lineRule="exact" w:before="146"/>
        <w:ind w:left="320"/>
      </w:pPr>
      <w:r>
        <w:rPr/>
        <w:t>The exponent of this change defines the odds ratio as the ratio of the odds (</w:t>
      </w:r>
      <w:r>
        <w:rPr>
          <w:u w:val="single"/>
          <w:vertAlign w:val="baseline"/>
        </w:rPr>
        <w:t> </w:t>
      </w:r>
      <w:r>
        <w:rPr>
          <w:rFonts w:ascii="Cambria Math" w:eastAsia="Cambria Math"/>
          <w:w w:val="90"/>
          <w:u w:val="single"/>
          <w:vertAlign w:val="superscript"/>
        </w:rPr>
        <w:t>𝜋 𝜋</w:t>
      </w:r>
      <w:r>
        <w:rPr>
          <w:rFonts w:ascii="Cambria Math" w:eastAsia="Cambria Math"/>
          <w:w w:val="90"/>
          <w:u w:val="single"/>
          <w:vertAlign w:val="baseline"/>
        </w:rPr>
        <w:t> </w:t>
      </w:r>
      <w:r>
        <w:rPr>
          <w:vertAlign w:val="baseline"/>
        </w:rPr>
        <w:t>) in which the</w:t>
      </w:r>
    </w:p>
    <w:p>
      <w:pPr>
        <w:spacing w:line="133" w:lineRule="exact" w:before="0"/>
        <w:ind w:left="7536" w:right="0" w:firstLine="0"/>
        <w:jc w:val="left"/>
        <w:rPr>
          <w:rFonts w:ascii="Cambria Math" w:hAnsi="Cambria Math" w:eastAsia="Cambria Math"/>
          <w:sz w:val="17"/>
        </w:rPr>
      </w:pPr>
      <w:r>
        <w:rPr>
          <w:rFonts w:ascii="Cambria Math" w:hAnsi="Cambria Math" w:eastAsia="Cambria Math"/>
          <w:w w:val="90"/>
          <w:sz w:val="17"/>
        </w:rPr>
        <w:t>1−𝜋𝜋</w:t>
      </w:r>
    </w:p>
    <w:p>
      <w:pPr>
        <w:pStyle w:val="BodyText"/>
        <w:spacing w:line="256" w:lineRule="exact"/>
        <w:ind w:left="320"/>
      </w:pPr>
      <w:r>
        <w:rPr/>
        <w:t>independent variables will be present to the odds that it will not be present. It should be noted</w:t>
      </w:r>
    </w:p>
    <w:p>
      <w:pPr>
        <w:pStyle w:val="BodyText"/>
        <w:ind w:left="320" w:right="1490"/>
      </w:pPr>
      <w:r>
        <w:rPr/>
        <w:t>that an odds ratio which is greater than 1 indicates that this variable increases the probability of the odds. In this case, the odds ratio represents the probability of the occurrence of crashes  or the severity of crashes Interpreting odds ratio for categorical variables requires additional calculation. As an example, we calculate the odds ratio for the “Presence of TWLTL” variable</w:t>
      </w:r>
      <w:r>
        <w:rPr>
          <w:spacing w:val="-28"/>
        </w:rPr>
        <w:t> </w:t>
      </w:r>
      <w:r>
        <w:rPr/>
        <w:t>in the pedestrian segment crash occurrence model. The base condition of this variable is “No TWLTL” and the coefficients of the other level indicate the odds differences compared to the segment with no TWLTL. According to the results of this model, the differences should be calculated as follows, given other variables are held as</w:t>
      </w:r>
      <w:r>
        <w:rPr>
          <w:spacing w:val="-5"/>
        </w:rPr>
        <w:t> </w:t>
      </w:r>
      <w:r>
        <w:rPr/>
        <w:t>constants:</w:t>
      </w:r>
    </w:p>
    <w:p>
      <w:pPr>
        <w:spacing w:line="323" w:lineRule="exact" w:before="232"/>
        <w:ind w:left="320" w:right="0" w:firstLine="0"/>
        <w:jc w:val="left"/>
        <w:rPr>
          <w:rFonts w:ascii="Cambria Math" w:eastAsia="Cambria Math"/>
          <w:sz w:val="24"/>
        </w:rPr>
      </w:pPr>
      <w:r>
        <w:rPr>
          <w:rFonts w:ascii="Cambria Math" w:eastAsia="Cambria Math"/>
          <w:i/>
          <w:spacing w:val="-1"/>
          <w:w w:val="96"/>
          <w:position w:val="5"/>
          <w:sz w:val="25"/>
        </w:rPr>
        <w:t>Lo</w:t>
      </w:r>
      <w:r>
        <w:rPr>
          <w:rFonts w:ascii="Cambria Math" w:eastAsia="Cambria Math"/>
          <w:i/>
          <w:w w:val="96"/>
          <w:position w:val="5"/>
          <w:sz w:val="25"/>
        </w:rPr>
        <w:t>git</w:t>
      </w:r>
      <w:r>
        <w:rPr>
          <w:rFonts w:ascii="Cambria Math" w:eastAsia="Cambria Math"/>
          <w:i/>
          <w:spacing w:val="-2"/>
          <w:position w:val="5"/>
          <w:sz w:val="25"/>
        </w:rPr>
        <w:t> </w:t>
      </w:r>
      <w:r>
        <w:rPr>
          <w:rFonts w:ascii="Cambria Math" w:eastAsia="Cambria Math"/>
          <w:i/>
          <w:w w:val="96"/>
          <w:position w:val="5"/>
          <w:sz w:val="25"/>
        </w:rPr>
        <w:t>(P</w:t>
      </w:r>
      <w:r>
        <w:rPr>
          <w:rFonts w:ascii="Cambria Math" w:eastAsia="Cambria Math"/>
          <w:i/>
          <w:spacing w:val="-1"/>
          <w:w w:val="96"/>
          <w:position w:val="5"/>
          <w:sz w:val="25"/>
        </w:rPr>
        <w:t>r</w:t>
      </w:r>
      <w:r>
        <w:rPr>
          <w:rFonts w:ascii="Cambria Math" w:eastAsia="Cambria Math"/>
          <w:i/>
          <w:w w:val="96"/>
          <w:position w:val="5"/>
          <w:sz w:val="25"/>
        </w:rPr>
        <w:t>e</w:t>
      </w:r>
      <w:r>
        <w:rPr>
          <w:rFonts w:ascii="Cambria Math" w:eastAsia="Cambria Math"/>
          <w:i/>
          <w:spacing w:val="-2"/>
          <w:w w:val="96"/>
          <w:position w:val="5"/>
          <w:sz w:val="25"/>
        </w:rPr>
        <w:t>s</w:t>
      </w:r>
      <w:r>
        <w:rPr>
          <w:rFonts w:ascii="Cambria Math" w:eastAsia="Cambria Math"/>
          <w:i/>
          <w:w w:val="96"/>
          <w:position w:val="5"/>
          <w:sz w:val="25"/>
        </w:rPr>
        <w:t>en</w:t>
      </w:r>
      <w:r>
        <w:rPr>
          <w:rFonts w:ascii="Cambria Math" w:eastAsia="Cambria Math"/>
          <w:i/>
          <w:spacing w:val="-1"/>
          <w:w w:val="96"/>
          <w:position w:val="5"/>
          <w:sz w:val="25"/>
        </w:rPr>
        <w:t>c</w:t>
      </w:r>
      <w:r>
        <w:rPr>
          <w:rFonts w:ascii="Cambria Math" w:eastAsia="Cambria Math"/>
          <w:i/>
          <w:w w:val="96"/>
          <w:position w:val="5"/>
          <w:sz w:val="25"/>
        </w:rPr>
        <w:t>e</w:t>
      </w:r>
      <w:r>
        <w:rPr>
          <w:rFonts w:ascii="Cambria Math" w:eastAsia="Cambria Math"/>
          <w:i/>
          <w:spacing w:val="-2"/>
          <w:position w:val="5"/>
          <w:sz w:val="25"/>
        </w:rPr>
        <w:t> </w:t>
      </w:r>
      <w:r>
        <w:rPr>
          <w:rFonts w:ascii="Cambria Math" w:eastAsia="Cambria Math"/>
          <w:i/>
          <w:spacing w:val="-1"/>
          <w:w w:val="96"/>
          <w:position w:val="5"/>
          <w:sz w:val="25"/>
        </w:rPr>
        <w:t>o</w:t>
      </w:r>
      <w:r>
        <w:rPr>
          <w:rFonts w:ascii="Cambria Math" w:eastAsia="Cambria Math"/>
          <w:i/>
          <w:w w:val="96"/>
          <w:position w:val="5"/>
          <w:sz w:val="25"/>
        </w:rPr>
        <w:t>f</w:t>
      </w:r>
      <w:r>
        <w:rPr>
          <w:rFonts w:ascii="Cambria Math" w:eastAsia="Cambria Math"/>
          <w:i/>
          <w:spacing w:val="-3"/>
          <w:position w:val="5"/>
          <w:sz w:val="25"/>
        </w:rPr>
        <w:t> </w:t>
      </w:r>
      <w:r>
        <w:rPr>
          <w:rFonts w:ascii="Cambria Math" w:eastAsia="Cambria Math"/>
          <w:i/>
          <w:w w:val="96"/>
          <w:position w:val="5"/>
          <w:sz w:val="25"/>
        </w:rPr>
        <w:t>Cr</w:t>
      </w:r>
      <w:r>
        <w:rPr>
          <w:rFonts w:ascii="Cambria Math" w:eastAsia="Cambria Math"/>
          <w:i/>
          <w:spacing w:val="-1"/>
          <w:w w:val="96"/>
          <w:position w:val="5"/>
          <w:sz w:val="25"/>
        </w:rPr>
        <w:t>a</w:t>
      </w:r>
      <w:r>
        <w:rPr>
          <w:rFonts w:ascii="Cambria Math" w:eastAsia="Cambria Math"/>
          <w:i/>
          <w:w w:val="96"/>
          <w:position w:val="5"/>
          <w:sz w:val="25"/>
        </w:rPr>
        <w:t>s</w:t>
      </w:r>
      <w:r>
        <w:rPr>
          <w:rFonts w:ascii="Cambria Math" w:eastAsia="Cambria Math"/>
          <w:i/>
          <w:spacing w:val="-1"/>
          <w:w w:val="96"/>
          <w:position w:val="5"/>
          <w:sz w:val="25"/>
        </w:rPr>
        <w:t>h</w:t>
      </w:r>
      <w:r>
        <w:rPr>
          <w:rFonts w:ascii="Cambria Math" w:eastAsia="Cambria Math"/>
          <w:i/>
          <w:w w:val="96"/>
          <w:position w:val="5"/>
          <w:sz w:val="25"/>
        </w:rPr>
        <w:t>/</w:t>
      </w:r>
      <w:r>
        <w:rPr>
          <w:rFonts w:ascii="Cambria Math" w:eastAsia="Cambria Math"/>
          <w:i/>
          <w:spacing w:val="-3"/>
          <w:position w:val="5"/>
          <w:sz w:val="25"/>
        </w:rPr>
        <w:t> </w:t>
      </w:r>
      <w:r>
        <w:rPr>
          <w:rFonts w:ascii="Cambria Math" w:eastAsia="Cambria Math"/>
          <w:i/>
          <w:spacing w:val="-1"/>
          <w:w w:val="96"/>
          <w:position w:val="5"/>
          <w:sz w:val="25"/>
        </w:rPr>
        <w:t>N</w:t>
      </w:r>
      <w:r>
        <w:rPr>
          <w:rFonts w:ascii="Cambria Math" w:eastAsia="Cambria Math"/>
          <w:i/>
          <w:w w:val="96"/>
          <w:position w:val="5"/>
          <w:sz w:val="25"/>
        </w:rPr>
        <w:t>o</w:t>
      </w:r>
      <w:r>
        <w:rPr>
          <w:rFonts w:ascii="Cambria Math" w:eastAsia="Cambria Math"/>
          <w:i/>
          <w:spacing w:val="-3"/>
          <w:position w:val="5"/>
          <w:sz w:val="25"/>
        </w:rPr>
        <w:t> </w:t>
      </w:r>
      <w:r>
        <w:rPr>
          <w:rFonts w:ascii="Cambria Math" w:eastAsia="Cambria Math"/>
          <w:i/>
          <w:w w:val="96"/>
          <w:position w:val="5"/>
          <w:sz w:val="25"/>
        </w:rPr>
        <w:t>T</w:t>
      </w:r>
      <w:r>
        <w:rPr>
          <w:rFonts w:ascii="Cambria Math" w:eastAsia="Cambria Math"/>
          <w:i/>
          <w:spacing w:val="1"/>
          <w:w w:val="96"/>
          <w:position w:val="5"/>
          <w:sz w:val="25"/>
        </w:rPr>
        <w:t>W</w:t>
      </w:r>
      <w:r>
        <w:rPr>
          <w:rFonts w:ascii="Cambria Math" w:eastAsia="Cambria Math"/>
          <w:i/>
          <w:spacing w:val="-1"/>
          <w:w w:val="96"/>
          <w:position w:val="5"/>
          <w:sz w:val="25"/>
        </w:rPr>
        <w:t>L</w:t>
      </w:r>
      <w:r>
        <w:rPr>
          <w:rFonts w:ascii="Cambria Math" w:eastAsia="Cambria Math"/>
          <w:i/>
          <w:w w:val="96"/>
          <w:position w:val="5"/>
          <w:sz w:val="25"/>
        </w:rPr>
        <w:t>T</w:t>
      </w:r>
      <w:r>
        <w:rPr>
          <w:rFonts w:ascii="Cambria Math" w:eastAsia="Cambria Math"/>
          <w:i/>
          <w:spacing w:val="-1"/>
          <w:w w:val="96"/>
          <w:position w:val="5"/>
          <w:sz w:val="25"/>
        </w:rPr>
        <w:t>L</w:t>
      </w:r>
      <w:r>
        <w:rPr>
          <w:rFonts w:ascii="Cambria Math" w:eastAsia="Cambria Math"/>
          <w:i/>
          <w:w w:val="96"/>
          <w:position w:val="5"/>
          <w:sz w:val="25"/>
        </w:rPr>
        <w:t>)</w:t>
      </w:r>
      <w:r>
        <w:rPr>
          <w:rFonts w:ascii="Cambria Math" w:eastAsia="Cambria Math"/>
          <w:i/>
          <w:spacing w:val="-3"/>
          <w:position w:val="5"/>
          <w:sz w:val="25"/>
        </w:rPr>
        <w:t> </w:t>
      </w:r>
      <w:r>
        <w:rPr>
          <w:rFonts w:ascii="Cambria Math" w:eastAsia="Cambria Math"/>
          <w:i/>
          <w:w w:val="96"/>
          <w:position w:val="5"/>
          <w:sz w:val="25"/>
        </w:rPr>
        <w:t>=</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104"/>
          <w:sz w:val="17"/>
        </w:rPr>
        <w:t>0</w:t>
      </w:r>
      <w:r>
        <w:rPr>
          <w:rFonts w:ascii="Cambria Math" w:eastAsia="Cambria Math"/>
          <w:sz w:val="17"/>
        </w:rPr>
        <w:t> </w:t>
      </w:r>
      <w:r>
        <w:rPr>
          <w:rFonts w:ascii="Cambria Math" w:eastAsia="Cambria Math"/>
          <w:spacing w:val="-12"/>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spacing w:val="-1"/>
          <w:w w:val="73"/>
          <w:sz w:val="17"/>
        </w:rPr>
        <w:t>𝑡𝑡𝑡</w:t>
      </w:r>
      <w:r>
        <w:rPr>
          <w:rFonts w:ascii="Cambria Math" w:eastAsia="Cambria Math"/>
          <w:w w:val="73"/>
          <w:sz w:val="17"/>
        </w:rPr>
        <w:t>𝑡</w:t>
      </w:r>
      <w:r>
        <w:rPr>
          <w:rFonts w:ascii="Cambria Math" w:eastAsia="Cambria Math"/>
          <w:spacing w:val="-1"/>
          <w:w w:val="76"/>
          <w:sz w:val="17"/>
        </w:rPr>
        <w:t>𝑡𝑡𝑡𝑡</w:t>
      </w:r>
      <w:r>
        <w:rPr>
          <w:rFonts w:ascii="Cambria Math" w:eastAsia="Cambria Math"/>
          <w:w w:val="26"/>
          <w:sz w:val="17"/>
        </w:rPr>
        <w:t>𝐵𝐵</w:t>
      </w:r>
      <w:r>
        <w:rPr>
          <w:rFonts w:ascii="Cambria Math" w:eastAsia="Cambria Math"/>
          <w:w w:val="64"/>
          <w:sz w:val="17"/>
        </w:rPr>
        <w:t>𝑡</w:t>
      </w:r>
      <w:r>
        <w:rPr>
          <w:rFonts w:ascii="Cambria Math" w:eastAsia="Cambria Math"/>
          <w:spacing w:val="3"/>
          <w:w w:val="64"/>
          <w:sz w:val="17"/>
        </w:rPr>
        <w:t>𝑡</w:t>
      </w:r>
      <w:r>
        <w:rPr>
          <w:rFonts w:ascii="Cambria Math" w:eastAsia="Cambria Math"/>
          <w:w w:val="100"/>
          <w:sz w:val="17"/>
        </w:rPr>
        <w:t>_</w:t>
      </w:r>
      <w:r>
        <w:rPr>
          <w:rFonts w:ascii="Cambria Math" w:eastAsia="Cambria Math"/>
          <w:w w:val="55"/>
          <w:sz w:val="17"/>
        </w:rPr>
        <w:t>𝑑𝑑</w:t>
      </w:r>
      <w:r>
        <w:rPr>
          <w:rFonts w:ascii="Cambria Math" w:eastAsia="Cambria Math"/>
          <w:w w:val="26"/>
          <w:sz w:val="17"/>
        </w:rPr>
        <w:t>𝐵𝐵</w:t>
      </w:r>
      <w:r>
        <w:rPr>
          <w:rFonts w:ascii="Cambria Math" w:eastAsia="Cambria Math"/>
          <w:w w:val="67"/>
          <w:sz w:val="17"/>
        </w:rPr>
        <w:t>𝑡</w:t>
      </w:r>
      <w:r>
        <w:rPr>
          <w:rFonts w:ascii="Cambria Math" w:eastAsia="Cambria Math"/>
          <w:spacing w:val="-1"/>
          <w:w w:val="67"/>
          <w:sz w:val="17"/>
        </w:rPr>
        <w:t>𝑡</w:t>
      </w:r>
      <w:r>
        <w:rPr>
          <w:rFonts w:ascii="Cambria Math" w:eastAsia="Cambria Math"/>
          <w:w w:val="41"/>
          <w:sz w:val="17"/>
        </w:rPr>
        <w:t>𝐵</w:t>
      </w:r>
      <w:r>
        <w:rPr>
          <w:rFonts w:ascii="Cambria Math" w:eastAsia="Cambria Math"/>
          <w:spacing w:val="-1"/>
          <w:w w:val="41"/>
          <w:sz w:val="17"/>
        </w:rPr>
        <w:t>𝐵</w:t>
      </w:r>
      <w:r>
        <w:rPr>
          <w:rFonts w:ascii="Cambria Math" w:eastAsia="Cambria Math"/>
          <w:spacing w:val="-1"/>
          <w:w w:val="47"/>
          <w:sz w:val="17"/>
        </w:rPr>
        <w:t>𝑡𝑡𝐶</w:t>
      </w:r>
      <w:r>
        <w:rPr>
          <w:rFonts w:ascii="Cambria Math" w:eastAsia="Cambria Math"/>
          <w:w w:val="47"/>
          <w:sz w:val="17"/>
        </w:rPr>
        <w:t>𝐶</w:t>
      </w:r>
      <w:r>
        <w:rPr>
          <w:rFonts w:ascii="Cambria Math" w:eastAsia="Cambria Math"/>
          <w:w w:val="26"/>
          <w:sz w:val="17"/>
        </w:rPr>
        <w:t>𝐵</w:t>
      </w:r>
      <w:r>
        <w:rPr>
          <w:rFonts w:ascii="Cambria Math" w:eastAsia="Cambria Math"/>
          <w:spacing w:val="-1"/>
          <w:w w:val="26"/>
          <w:sz w:val="17"/>
        </w:rPr>
        <w:t>𝐵</w:t>
      </w:r>
      <w:r>
        <w:rPr>
          <w:rFonts w:ascii="Cambria Math" w:eastAsia="Cambria Math"/>
          <w:w w:val="49"/>
          <w:sz w:val="17"/>
        </w:rPr>
        <w:t>𝐶𝐶</w:t>
      </w:r>
      <w:r>
        <w:rPr>
          <w:rFonts w:ascii="Cambria Math" w:eastAsia="Cambria Math"/>
          <w:w w:val="54"/>
          <w:sz w:val="17"/>
        </w:rPr>
        <w:t>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49"/>
          <w:sz w:val="17"/>
        </w:rPr>
        <w:t>𝐶𝐶</w:t>
      </w:r>
      <w:r>
        <w:rPr>
          <w:rFonts w:ascii="Cambria Math" w:eastAsia="Cambria Math"/>
          <w:w w:val="54"/>
          <w:sz w:val="17"/>
        </w:rPr>
        <w:t>𝐶</w:t>
      </w:r>
      <w:r>
        <w:rPr>
          <w:rFonts w:ascii="Cambria Math" w:eastAsia="Cambria Math"/>
          <w:spacing w:val="2"/>
          <w:w w:val="54"/>
          <w:sz w:val="17"/>
        </w:rPr>
        <w:t>𝐶</w:t>
      </w:r>
      <w:r>
        <w:rPr>
          <w:rFonts w:ascii="Cambria Math" w:eastAsia="Cambria Math"/>
          <w:w w:val="100"/>
          <w:sz w:val="17"/>
        </w:rPr>
        <w:t>_</w:t>
      </w:r>
      <w:r>
        <w:rPr>
          <w:rFonts w:ascii="Cambria Math" w:eastAsia="Cambria Math"/>
          <w:w w:val="52"/>
          <w:sz w:val="17"/>
        </w:rPr>
        <w:t>𝑠𝑠</w:t>
      </w:r>
      <w:r>
        <w:rPr>
          <w:rFonts w:ascii="Cambria Math" w:eastAsia="Cambria Math"/>
          <w:w w:val="36"/>
          <w:sz w:val="17"/>
        </w:rPr>
        <w:t>𝐶𝐶</w:t>
      </w:r>
      <w:r>
        <w:rPr>
          <w:rFonts w:ascii="Cambria Math" w:eastAsia="Cambria Math"/>
          <w:w w:val="67"/>
          <w:sz w:val="17"/>
        </w:rPr>
        <w:t>𝑡</w:t>
      </w:r>
      <w:r>
        <w:rPr>
          <w:rFonts w:ascii="Cambria Math" w:eastAsia="Cambria Math"/>
          <w:spacing w:val="-1"/>
          <w:w w:val="67"/>
          <w:sz w:val="17"/>
        </w:rPr>
        <w:t>𝑡</w:t>
      </w:r>
      <w:r>
        <w:rPr>
          <w:rFonts w:ascii="Cambria Math" w:eastAsia="Cambria Math"/>
          <w:w w:val="41"/>
          <w:sz w:val="17"/>
        </w:rPr>
        <w:t>𝐵</w:t>
      </w:r>
      <w:r>
        <w:rPr>
          <w:rFonts w:ascii="Cambria Math" w:eastAsia="Cambria Math"/>
          <w:spacing w:val="-1"/>
          <w:w w:val="41"/>
          <w:sz w:val="17"/>
        </w:rPr>
        <w:t>𝐵</w:t>
      </w:r>
      <w:r>
        <w:rPr>
          <w:rFonts w:ascii="Cambria Math" w:eastAsia="Cambria Math"/>
          <w:spacing w:val="-2"/>
          <w:w w:val="39"/>
          <w:sz w:val="17"/>
        </w:rPr>
        <w:t>𝐵𝐵𝐶</w:t>
      </w:r>
      <w:r>
        <w:rPr>
          <w:rFonts w:ascii="Cambria Math" w:eastAsia="Cambria Math"/>
          <w:spacing w:val="4"/>
          <w:w w:val="39"/>
          <w:sz w:val="17"/>
        </w:rPr>
        <w:t>𝐶</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79"/>
          <w:sz w:val="17"/>
        </w:rPr>
        <w:t>𝑡𝑡</w:t>
      </w:r>
      <w:r>
        <w:rPr>
          <w:rFonts w:ascii="Cambria Math" w:eastAsia="Cambria Math"/>
          <w:spacing w:val="-1"/>
          <w:w w:val="54"/>
          <w:sz w:val="17"/>
        </w:rPr>
        <w:t>𝑡𝑡𝐵</w:t>
      </w:r>
      <w:r>
        <w:rPr>
          <w:rFonts w:ascii="Cambria Math" w:eastAsia="Cambria Math"/>
          <w:spacing w:val="-2"/>
          <w:w w:val="54"/>
          <w:sz w:val="17"/>
        </w:rPr>
        <w:t>𝐵</w:t>
      </w:r>
      <w:r>
        <w:rPr>
          <w:rFonts w:ascii="Cambria Math" w:eastAsia="Cambria Math"/>
          <w:w w:val="26"/>
          <w:sz w:val="17"/>
        </w:rPr>
        <w:t>𝐵𝐵</w:t>
      </w:r>
      <w:r>
        <w:rPr>
          <w:rFonts w:ascii="Cambria Math" w:eastAsia="Cambria Math"/>
          <w:w w:val="54"/>
          <w:sz w:val="17"/>
        </w:rPr>
        <w:t>𝐶</w:t>
      </w:r>
      <w:r>
        <w:rPr>
          <w:rFonts w:ascii="Cambria Math" w:eastAsia="Cambria Math"/>
          <w:spacing w:val="-1"/>
          <w:w w:val="54"/>
          <w:sz w:val="17"/>
        </w:rPr>
        <w:t>𝐶</w:t>
      </w:r>
      <w:r>
        <w:rPr>
          <w:rFonts w:ascii="Cambria Math" w:eastAsia="Cambria Math"/>
          <w:w w:val="59"/>
          <w:sz w:val="17"/>
        </w:rPr>
        <w:t>𝑝𝑝</w:t>
      </w:r>
      <w:r>
        <w:rPr>
          <w:rFonts w:ascii="Cambria Math" w:eastAsia="Cambria Math"/>
          <w:sz w:val="17"/>
        </w:rPr>
        <w:t> </w:t>
      </w:r>
      <w:r>
        <w:rPr>
          <w:rFonts w:ascii="Cambria Math" w:eastAsia="Cambria Math"/>
          <w:spacing w:val="-10"/>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52"/>
          <w:sz w:val="17"/>
        </w:rPr>
        <w:t>𝑠𝑠</w:t>
      </w:r>
      <w:r>
        <w:rPr>
          <w:rFonts w:ascii="Cambria Math" w:eastAsia="Cambria Math"/>
          <w:w w:val="56"/>
          <w:sz w:val="17"/>
        </w:rPr>
        <w:t>𝑝</w:t>
      </w:r>
      <w:r>
        <w:rPr>
          <w:rFonts w:ascii="Cambria Math" w:eastAsia="Cambria Math"/>
          <w:spacing w:val="-1"/>
          <w:w w:val="56"/>
          <w:sz w:val="17"/>
        </w:rPr>
        <w:t>𝑝</w:t>
      </w:r>
      <w:r>
        <w:rPr>
          <w:rFonts w:ascii="Cambria Math" w:eastAsia="Cambria Math"/>
          <w:spacing w:val="-1"/>
          <w:w w:val="45"/>
          <w:sz w:val="17"/>
        </w:rPr>
        <w:t>𝐵𝐵𝐵𝐵𝑑</w:t>
      </w:r>
      <w:r>
        <w:rPr>
          <w:rFonts w:ascii="Cambria Math" w:eastAsia="Cambria Math"/>
          <w:w w:val="45"/>
          <w:sz w:val="17"/>
        </w:rPr>
        <w:t>𝑑</w:t>
      </w:r>
      <w:r>
        <w:rPr>
          <w:rFonts w:ascii="Cambria Math" w:eastAsia="Cambria Math"/>
          <w:sz w:val="17"/>
        </w:rPr>
        <w:t> </w:t>
      </w:r>
      <w:r>
        <w:rPr>
          <w:rFonts w:ascii="Cambria Math" w:eastAsia="Cambria Math"/>
          <w:spacing w:val="-8"/>
          <w:sz w:val="17"/>
        </w:rPr>
        <w:t> </w:t>
      </w:r>
      <w:r>
        <w:rPr>
          <w:rFonts w:ascii="Cambria Math" w:eastAsia="Cambria Math"/>
          <w:position w:val="5"/>
          <w:sz w:val="24"/>
        </w:rPr>
        <w:t>+</w:t>
      </w:r>
    </w:p>
    <w:p>
      <w:pPr>
        <w:spacing w:line="313" w:lineRule="exact" w:before="0"/>
        <w:ind w:left="320" w:right="0" w:firstLine="0"/>
        <w:jc w:val="left"/>
        <w:rPr>
          <w:rFonts w:ascii="Cambria Math" w:eastAsia="Cambria Math"/>
          <w:sz w:val="17"/>
        </w:rPr>
      </w:pP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𝐶𝐶𝐶𝐶</w:t>
      </w:r>
      <w:r>
        <w:rPr>
          <w:rFonts w:ascii="Cambria Math" w:eastAsia="Cambria Math"/>
          <w:w w:val="79"/>
          <w:sz w:val="17"/>
        </w:rPr>
        <w:t>𝑡</w:t>
      </w:r>
      <w:r>
        <w:rPr>
          <w:rFonts w:ascii="Cambria Math" w:eastAsia="Cambria Math"/>
          <w:spacing w:val="-1"/>
          <w:w w:val="79"/>
          <w:sz w:val="17"/>
        </w:rPr>
        <w:t>𝑡</w:t>
      </w:r>
      <w:r>
        <w:rPr>
          <w:rFonts w:ascii="Cambria Math" w:eastAsia="Cambria Math"/>
          <w:w w:val="44"/>
          <w:sz w:val="17"/>
        </w:rPr>
        <w:t>𝑡</w:t>
      </w:r>
      <w:r>
        <w:rPr>
          <w:rFonts w:ascii="Cambria Math" w:eastAsia="Cambria Math"/>
          <w:spacing w:val="4"/>
          <w:w w:val="44"/>
          <w:sz w:val="17"/>
        </w:rPr>
        <w:t>𝑡</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49"/>
          <w:sz w:val="17"/>
        </w:rPr>
        <w:t>𝐶𝐶</w:t>
      </w:r>
      <w:r>
        <w:rPr>
          <w:rFonts w:ascii="Cambria Math" w:eastAsia="Cambria Math"/>
          <w:w w:val="56"/>
          <w:sz w:val="17"/>
        </w:rPr>
        <w:t>𝑝</w:t>
      </w:r>
      <w:r>
        <w:rPr>
          <w:rFonts w:ascii="Cambria Math" w:eastAsia="Cambria Math"/>
          <w:spacing w:val="-1"/>
          <w:w w:val="56"/>
          <w:sz w:val="17"/>
        </w:rPr>
        <w:t>𝑝</w:t>
      </w:r>
      <w:r>
        <w:rPr>
          <w:rFonts w:ascii="Cambria Math" w:eastAsia="Cambria Math"/>
          <w:w w:val="54"/>
          <w:sz w:val="17"/>
        </w:rPr>
        <w:t>𝐶</w:t>
      </w:r>
      <w:r>
        <w:rPr>
          <w:rFonts w:ascii="Cambria Math" w:eastAsia="Cambria Math"/>
          <w:spacing w:val="-1"/>
          <w:w w:val="54"/>
          <w:sz w:val="17"/>
        </w:rPr>
        <w:t>𝐶</w:t>
      </w:r>
      <w:r>
        <w:rPr>
          <w:rFonts w:ascii="Cambria Math" w:eastAsia="Cambria Math"/>
          <w:w w:val="44"/>
          <w:sz w:val="17"/>
        </w:rPr>
        <w:t>𝑡</w:t>
      </w:r>
      <w:r>
        <w:rPr>
          <w:rFonts w:ascii="Cambria Math" w:eastAsia="Cambria Math"/>
          <w:spacing w:val="-1"/>
          <w:w w:val="44"/>
          <w:sz w:val="17"/>
        </w:rPr>
        <w:t>𝑡</w:t>
      </w:r>
      <w:r>
        <w:rPr>
          <w:rFonts w:ascii="Cambria Math" w:eastAsia="Cambria Math"/>
          <w:w w:val="79"/>
          <w:sz w:val="17"/>
        </w:rPr>
        <w:t>𝑡𝑡</w:t>
      </w:r>
      <w:r>
        <w:rPr>
          <w:rFonts w:ascii="Cambria Math" w:eastAsia="Cambria Math"/>
          <w:w w:val="36"/>
          <w:sz w:val="17"/>
        </w:rPr>
        <w:t>𝐶</w:t>
      </w:r>
      <w:r>
        <w:rPr>
          <w:rFonts w:ascii="Cambria Math" w:eastAsia="Cambria Math"/>
          <w:spacing w:val="-1"/>
          <w:w w:val="36"/>
          <w:sz w:val="17"/>
        </w:rPr>
        <w:t>𝐶</w:t>
      </w:r>
      <w:r>
        <w:rPr>
          <w:rFonts w:ascii="Cambria Math" w:eastAsia="Cambria Math"/>
          <w:w w:val="26"/>
          <w:sz w:val="17"/>
        </w:rPr>
        <w:t>𝐵𝐵</w:t>
      </w:r>
      <w:r>
        <w:rPr>
          <w:rFonts w:ascii="Cambria Math" w:eastAsia="Cambria Math"/>
          <w:w w:val="49"/>
          <w:sz w:val="17"/>
        </w:rPr>
        <w:t>𝐶</w:t>
      </w:r>
      <w:r>
        <w:rPr>
          <w:rFonts w:ascii="Cambria Math" w:eastAsia="Cambria Math"/>
          <w:spacing w:val="-1"/>
          <w:w w:val="49"/>
          <w:sz w:val="17"/>
        </w:rPr>
        <w:t>𝐶</w:t>
      </w:r>
      <w:r>
        <w:rPr>
          <w:rFonts w:ascii="Cambria Math" w:eastAsia="Cambria Math"/>
          <w:w w:val="54"/>
          <w:sz w:val="17"/>
        </w:rPr>
        <w:t>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𝐶𝐶𝐶𝐶</w:t>
      </w:r>
      <w:r>
        <w:rPr>
          <w:rFonts w:ascii="Cambria Math" w:eastAsia="Cambria Math"/>
          <w:w w:val="79"/>
          <w:sz w:val="17"/>
        </w:rPr>
        <w:t>𝑡</w:t>
      </w:r>
      <w:r>
        <w:rPr>
          <w:rFonts w:ascii="Cambria Math" w:eastAsia="Cambria Math"/>
          <w:spacing w:val="-1"/>
          <w:w w:val="79"/>
          <w:sz w:val="17"/>
        </w:rPr>
        <w:t>𝑡</w:t>
      </w:r>
      <w:r>
        <w:rPr>
          <w:rFonts w:ascii="Cambria Math" w:eastAsia="Cambria Math"/>
          <w:w w:val="44"/>
          <w:sz w:val="17"/>
        </w:rPr>
        <w:t>𝑡</w:t>
      </w:r>
      <w:r>
        <w:rPr>
          <w:rFonts w:ascii="Cambria Math" w:eastAsia="Cambria Math"/>
          <w:spacing w:val="4"/>
          <w:w w:val="44"/>
          <w:sz w:val="17"/>
        </w:rPr>
        <w:t>𝑡</w:t>
      </w:r>
      <w:r>
        <w:rPr>
          <w:rFonts w:ascii="Cambria Math" w:eastAsia="Cambria Math"/>
          <w:w w:val="100"/>
          <w:sz w:val="17"/>
        </w:rPr>
        <w:t>_</w:t>
      </w:r>
      <w:r>
        <w:rPr>
          <w:rFonts w:ascii="Cambria Math" w:eastAsia="Cambria Math"/>
          <w:w w:val="36"/>
          <w:sz w:val="17"/>
        </w:rPr>
        <w:t>𝐶𝐶</w:t>
      </w:r>
      <w:r>
        <w:rPr>
          <w:rFonts w:ascii="Cambria Math" w:eastAsia="Cambria Math"/>
          <w:spacing w:val="-1"/>
          <w:w w:val="73"/>
          <w:sz w:val="17"/>
        </w:rPr>
        <w:t>𝑡𝑡𝑡𝑡</w:t>
      </w:r>
      <w:r>
        <w:rPr>
          <w:rFonts w:ascii="Cambria Math" w:eastAsia="Cambria Math"/>
          <w:spacing w:val="-1"/>
          <w:w w:val="76"/>
          <w:sz w:val="17"/>
        </w:rPr>
        <w:t>𝑡𝑡𝑡𝑡</w:t>
      </w:r>
      <w:r>
        <w:rPr>
          <w:rFonts w:ascii="Cambria Math" w:eastAsia="Cambria Math"/>
          <w:w w:val="26"/>
          <w:sz w:val="17"/>
        </w:rPr>
        <w:t>𝐵𝐵</w:t>
      </w:r>
      <w:r>
        <w:rPr>
          <w:rFonts w:ascii="Cambria Math" w:eastAsia="Cambria Math"/>
          <w:w w:val="64"/>
          <w:sz w:val="17"/>
        </w:rPr>
        <w:t>𝑡</w:t>
      </w:r>
      <w:r>
        <w:rPr>
          <w:rFonts w:ascii="Cambria Math" w:eastAsia="Cambria Math"/>
          <w:spacing w:val="3"/>
          <w:w w:val="64"/>
          <w:sz w:val="17"/>
        </w:rPr>
        <w:t>𝑡</w:t>
      </w:r>
      <w:r>
        <w:rPr>
          <w:rFonts w:ascii="Cambria Math" w:eastAsia="Cambria Math"/>
          <w:w w:val="100"/>
          <w:sz w:val="17"/>
        </w:rPr>
        <w:t>_</w:t>
      </w:r>
      <w:r>
        <w:rPr>
          <w:rFonts w:ascii="Cambria Math" w:eastAsia="Cambria Math"/>
          <w:spacing w:val="-1"/>
          <w:w w:val="62"/>
          <w:sz w:val="17"/>
        </w:rPr>
        <w:t>𝑡𝑡𝑡</w:t>
      </w:r>
      <w:r>
        <w:rPr>
          <w:rFonts w:ascii="Cambria Math" w:eastAsia="Cambria Math"/>
          <w:w w:val="62"/>
          <w:sz w:val="17"/>
        </w:rPr>
        <w:t>𝑡</w:t>
      </w:r>
      <w:r>
        <w:rPr>
          <w:rFonts w:ascii="Cambria Math" w:eastAsia="Cambria Math"/>
          <w:spacing w:val="-1"/>
          <w:w w:val="47"/>
          <w:sz w:val="17"/>
        </w:rPr>
        <w:t>𝐶𝐶𝐵𝐵</w:t>
      </w:r>
    </w:p>
    <w:p>
      <w:pPr>
        <w:pStyle w:val="BodyText"/>
        <w:rPr>
          <w:rFonts w:ascii="Cambria Math"/>
          <w:sz w:val="32"/>
        </w:rPr>
      </w:pPr>
    </w:p>
    <w:p>
      <w:pPr>
        <w:pStyle w:val="BodyText"/>
        <w:spacing w:before="8"/>
        <w:rPr>
          <w:rFonts w:ascii="Cambria Math"/>
          <w:sz w:val="31"/>
        </w:rPr>
      </w:pPr>
    </w:p>
    <w:p>
      <w:pPr>
        <w:spacing w:line="322" w:lineRule="exact" w:before="0"/>
        <w:ind w:left="319" w:right="0" w:firstLine="0"/>
        <w:jc w:val="left"/>
        <w:rPr>
          <w:rFonts w:ascii="Cambria Math" w:eastAsia="Cambria Math"/>
          <w:sz w:val="24"/>
        </w:rPr>
      </w:pPr>
      <w:r>
        <w:rPr>
          <w:rFonts w:ascii="Cambria Math" w:eastAsia="Cambria Math"/>
          <w:i/>
          <w:spacing w:val="-1"/>
          <w:w w:val="96"/>
          <w:sz w:val="25"/>
        </w:rPr>
        <w:t>Lo</w:t>
      </w:r>
      <w:r>
        <w:rPr>
          <w:rFonts w:ascii="Cambria Math" w:eastAsia="Cambria Math"/>
          <w:i/>
          <w:w w:val="96"/>
          <w:sz w:val="25"/>
        </w:rPr>
        <w:t>git</w:t>
      </w:r>
      <w:r>
        <w:rPr>
          <w:rFonts w:ascii="Cambria Math" w:eastAsia="Cambria Math"/>
          <w:i/>
          <w:spacing w:val="-2"/>
          <w:sz w:val="25"/>
        </w:rPr>
        <w:t> </w:t>
      </w:r>
      <w:r>
        <w:rPr>
          <w:rFonts w:ascii="Cambria Math" w:eastAsia="Cambria Math"/>
          <w:i/>
          <w:w w:val="96"/>
          <w:sz w:val="25"/>
        </w:rPr>
        <w:t>(P</w:t>
      </w:r>
      <w:r>
        <w:rPr>
          <w:rFonts w:ascii="Cambria Math" w:eastAsia="Cambria Math"/>
          <w:i/>
          <w:spacing w:val="-1"/>
          <w:w w:val="96"/>
          <w:sz w:val="25"/>
        </w:rPr>
        <w:t>r</w:t>
      </w:r>
      <w:r>
        <w:rPr>
          <w:rFonts w:ascii="Cambria Math" w:eastAsia="Cambria Math"/>
          <w:i/>
          <w:w w:val="96"/>
          <w:sz w:val="25"/>
        </w:rPr>
        <w:t>e</w:t>
      </w:r>
      <w:r>
        <w:rPr>
          <w:rFonts w:ascii="Cambria Math" w:eastAsia="Cambria Math"/>
          <w:i/>
          <w:spacing w:val="-2"/>
          <w:w w:val="96"/>
          <w:sz w:val="25"/>
        </w:rPr>
        <w:t>s</w:t>
      </w:r>
      <w:r>
        <w:rPr>
          <w:rFonts w:ascii="Cambria Math" w:eastAsia="Cambria Math"/>
          <w:i/>
          <w:w w:val="96"/>
          <w:sz w:val="25"/>
        </w:rPr>
        <w:t>en</w:t>
      </w:r>
      <w:r>
        <w:rPr>
          <w:rFonts w:ascii="Cambria Math" w:eastAsia="Cambria Math"/>
          <w:i/>
          <w:spacing w:val="-1"/>
          <w:w w:val="96"/>
          <w:sz w:val="25"/>
        </w:rPr>
        <w:t>c</w:t>
      </w:r>
      <w:r>
        <w:rPr>
          <w:rFonts w:ascii="Cambria Math" w:eastAsia="Cambria Math"/>
          <w:i/>
          <w:w w:val="96"/>
          <w:sz w:val="25"/>
        </w:rPr>
        <w:t>e</w:t>
      </w:r>
      <w:r>
        <w:rPr>
          <w:rFonts w:ascii="Cambria Math" w:eastAsia="Cambria Math"/>
          <w:i/>
          <w:spacing w:val="-2"/>
          <w:sz w:val="25"/>
        </w:rPr>
        <w:t> </w:t>
      </w:r>
      <w:r>
        <w:rPr>
          <w:rFonts w:ascii="Cambria Math" w:eastAsia="Cambria Math"/>
          <w:i/>
          <w:spacing w:val="-1"/>
          <w:w w:val="96"/>
          <w:sz w:val="25"/>
        </w:rPr>
        <w:t>o</w:t>
      </w:r>
      <w:r>
        <w:rPr>
          <w:rFonts w:ascii="Cambria Math" w:eastAsia="Cambria Math"/>
          <w:i/>
          <w:w w:val="96"/>
          <w:sz w:val="25"/>
        </w:rPr>
        <w:t>f</w:t>
      </w:r>
      <w:r>
        <w:rPr>
          <w:rFonts w:ascii="Cambria Math" w:eastAsia="Cambria Math"/>
          <w:i/>
          <w:spacing w:val="-3"/>
          <w:sz w:val="25"/>
        </w:rPr>
        <w:t> </w:t>
      </w:r>
      <w:r>
        <w:rPr>
          <w:rFonts w:ascii="Cambria Math" w:eastAsia="Cambria Math"/>
          <w:i/>
          <w:w w:val="96"/>
          <w:sz w:val="25"/>
        </w:rPr>
        <w:t>Cr</w:t>
      </w:r>
      <w:r>
        <w:rPr>
          <w:rFonts w:ascii="Cambria Math" w:eastAsia="Cambria Math"/>
          <w:i/>
          <w:spacing w:val="-1"/>
          <w:w w:val="96"/>
          <w:sz w:val="25"/>
        </w:rPr>
        <w:t>a</w:t>
      </w:r>
      <w:r>
        <w:rPr>
          <w:rFonts w:ascii="Cambria Math" w:eastAsia="Cambria Math"/>
          <w:i/>
          <w:w w:val="96"/>
          <w:sz w:val="25"/>
        </w:rPr>
        <w:t>s</w:t>
      </w:r>
      <w:r>
        <w:rPr>
          <w:rFonts w:ascii="Cambria Math" w:eastAsia="Cambria Math"/>
          <w:i/>
          <w:spacing w:val="-1"/>
          <w:w w:val="96"/>
          <w:sz w:val="25"/>
        </w:rPr>
        <w:t>h</w:t>
      </w:r>
      <w:r>
        <w:rPr>
          <w:rFonts w:ascii="Cambria Math" w:eastAsia="Cambria Math"/>
          <w:i/>
          <w:w w:val="96"/>
          <w:sz w:val="25"/>
        </w:rPr>
        <w:t>/</w:t>
      </w:r>
      <w:r>
        <w:rPr>
          <w:rFonts w:ascii="Cambria Math" w:eastAsia="Cambria Math"/>
          <w:i/>
          <w:spacing w:val="-3"/>
          <w:sz w:val="25"/>
        </w:rPr>
        <w:t> </w:t>
      </w:r>
      <w:r>
        <w:rPr>
          <w:rFonts w:ascii="Cambria Math" w:eastAsia="Cambria Math"/>
          <w:i/>
          <w:w w:val="96"/>
          <w:sz w:val="25"/>
        </w:rPr>
        <w:t>Pre</w:t>
      </w:r>
      <w:r>
        <w:rPr>
          <w:rFonts w:ascii="Cambria Math" w:eastAsia="Cambria Math"/>
          <w:i/>
          <w:spacing w:val="-1"/>
          <w:w w:val="96"/>
          <w:sz w:val="25"/>
        </w:rPr>
        <w:t>se</w:t>
      </w:r>
      <w:r>
        <w:rPr>
          <w:rFonts w:ascii="Cambria Math" w:eastAsia="Cambria Math"/>
          <w:i/>
          <w:w w:val="96"/>
          <w:sz w:val="25"/>
        </w:rPr>
        <w:t>n</w:t>
      </w:r>
      <w:r>
        <w:rPr>
          <w:rFonts w:ascii="Cambria Math" w:eastAsia="Cambria Math"/>
          <w:i/>
          <w:spacing w:val="-2"/>
          <w:w w:val="96"/>
          <w:sz w:val="25"/>
        </w:rPr>
        <w:t>c</w:t>
      </w:r>
      <w:r>
        <w:rPr>
          <w:rFonts w:ascii="Cambria Math" w:eastAsia="Cambria Math"/>
          <w:i/>
          <w:w w:val="96"/>
          <w:sz w:val="25"/>
        </w:rPr>
        <w:t>e</w:t>
      </w:r>
      <w:r>
        <w:rPr>
          <w:rFonts w:ascii="Cambria Math" w:eastAsia="Cambria Math"/>
          <w:i/>
          <w:spacing w:val="-2"/>
          <w:sz w:val="25"/>
        </w:rPr>
        <w:t> </w:t>
      </w:r>
      <w:r>
        <w:rPr>
          <w:rFonts w:ascii="Cambria Math" w:eastAsia="Cambria Math"/>
          <w:i/>
          <w:spacing w:val="-1"/>
          <w:w w:val="96"/>
          <w:sz w:val="25"/>
        </w:rPr>
        <w:t>o</w:t>
      </w:r>
      <w:r>
        <w:rPr>
          <w:rFonts w:ascii="Cambria Math" w:eastAsia="Cambria Math"/>
          <w:i/>
          <w:w w:val="96"/>
          <w:sz w:val="25"/>
        </w:rPr>
        <w:t>f</w:t>
      </w:r>
      <w:r>
        <w:rPr>
          <w:rFonts w:ascii="Cambria Math" w:eastAsia="Cambria Math"/>
          <w:i/>
          <w:spacing w:val="-2"/>
          <w:sz w:val="25"/>
        </w:rPr>
        <w:t> </w:t>
      </w:r>
      <w:r>
        <w:rPr>
          <w:rFonts w:ascii="Cambria Math" w:eastAsia="Cambria Math"/>
          <w:i/>
          <w:w w:val="96"/>
          <w:sz w:val="25"/>
        </w:rPr>
        <w:t>T</w:t>
      </w:r>
      <w:r>
        <w:rPr>
          <w:rFonts w:ascii="Cambria Math" w:eastAsia="Cambria Math"/>
          <w:i/>
          <w:spacing w:val="-1"/>
          <w:w w:val="96"/>
          <w:sz w:val="25"/>
        </w:rPr>
        <w:t>WL</w:t>
      </w:r>
      <w:r>
        <w:rPr>
          <w:rFonts w:ascii="Cambria Math" w:eastAsia="Cambria Math"/>
          <w:i/>
          <w:w w:val="96"/>
          <w:sz w:val="25"/>
        </w:rPr>
        <w:t>T</w:t>
      </w:r>
      <w:r>
        <w:rPr>
          <w:rFonts w:ascii="Cambria Math" w:eastAsia="Cambria Math"/>
          <w:i/>
          <w:spacing w:val="-2"/>
          <w:w w:val="96"/>
          <w:sz w:val="25"/>
        </w:rPr>
        <w:t>L</w:t>
      </w:r>
      <w:r>
        <w:rPr>
          <w:rFonts w:ascii="Cambria Math" w:eastAsia="Cambria Math"/>
          <w:i/>
          <w:w w:val="96"/>
          <w:sz w:val="25"/>
        </w:rPr>
        <w:t>)</w:t>
      </w:r>
      <w:r>
        <w:rPr>
          <w:rFonts w:ascii="Cambria Math" w:eastAsia="Cambria Math"/>
          <w:i/>
          <w:spacing w:val="-3"/>
          <w:sz w:val="25"/>
        </w:rPr>
        <w:t> </w:t>
      </w:r>
      <w:r>
        <w:rPr>
          <w:rFonts w:ascii="Cambria Math" w:eastAsia="Cambria Math"/>
          <w:i/>
          <w:spacing w:val="-1"/>
          <w:w w:val="96"/>
          <w:sz w:val="25"/>
        </w:rPr>
        <w:t>=</w:t>
      </w:r>
      <w:r>
        <w:rPr>
          <w:rFonts w:ascii="Cambria Math" w:eastAsia="Cambria Math"/>
          <w:w w:val="50"/>
          <w:sz w:val="24"/>
        </w:rPr>
        <w:t>𝛽</w:t>
      </w:r>
      <w:r>
        <w:rPr>
          <w:rFonts w:ascii="Cambria Math" w:eastAsia="Cambria Math"/>
          <w:spacing w:val="-16"/>
          <w:w w:val="50"/>
          <w:sz w:val="24"/>
        </w:rPr>
        <w:t>𝛽</w:t>
      </w:r>
      <w:r>
        <w:rPr>
          <w:rFonts w:ascii="Cambria Math" w:eastAsia="Cambria Math"/>
          <w:w w:val="104"/>
          <w:position w:val="-4"/>
          <w:sz w:val="17"/>
        </w:rPr>
        <w:t>0</w:t>
      </w:r>
      <w:r>
        <w:rPr>
          <w:rFonts w:ascii="Cambria Math" w:eastAsia="Cambria Math"/>
          <w:position w:val="-4"/>
          <w:sz w:val="17"/>
        </w:rPr>
        <w:t> </w:t>
      </w:r>
      <w:r>
        <w:rPr>
          <w:rFonts w:ascii="Cambria Math" w:eastAsia="Cambria Math"/>
          <w:spacing w:val="-11"/>
          <w:position w:val="-4"/>
          <w:sz w:val="17"/>
        </w:rPr>
        <w:t> </w:t>
      </w:r>
      <w:r>
        <w:rPr>
          <w:rFonts w:ascii="Cambria Math" w:eastAsia="Cambria Math"/>
          <w:sz w:val="24"/>
        </w:rPr>
        <w:t>+</w:t>
      </w:r>
      <w:r>
        <w:rPr>
          <w:rFonts w:ascii="Cambria Math" w:eastAsia="Cambria Math"/>
          <w:spacing w:val="-1"/>
          <w:sz w:val="24"/>
        </w:rPr>
        <w:t> </w:t>
      </w:r>
      <w:r>
        <w:rPr>
          <w:rFonts w:ascii="Cambria Math" w:eastAsia="Cambria Math"/>
          <w:w w:val="50"/>
          <w:sz w:val="24"/>
        </w:rPr>
        <w:t>𝛽</w:t>
      </w:r>
      <w:r>
        <w:rPr>
          <w:rFonts w:ascii="Cambria Math" w:eastAsia="Cambria Math"/>
          <w:spacing w:val="-16"/>
          <w:w w:val="50"/>
          <w:sz w:val="24"/>
        </w:rPr>
        <w:t>𝛽</w:t>
      </w:r>
      <w:r>
        <w:rPr>
          <w:rFonts w:ascii="Cambria Math" w:eastAsia="Cambria Math"/>
          <w:w w:val="36"/>
          <w:position w:val="-4"/>
          <w:sz w:val="17"/>
        </w:rPr>
        <w:t>𝐶𝐶</w:t>
      </w:r>
      <w:r>
        <w:rPr>
          <w:rFonts w:ascii="Cambria Math" w:eastAsia="Cambria Math"/>
          <w:spacing w:val="-1"/>
          <w:w w:val="73"/>
          <w:position w:val="-4"/>
          <w:sz w:val="17"/>
        </w:rPr>
        <w:t>𝑡𝑡𝑡</w:t>
      </w:r>
      <w:r>
        <w:rPr>
          <w:rFonts w:ascii="Cambria Math" w:eastAsia="Cambria Math"/>
          <w:w w:val="73"/>
          <w:position w:val="-4"/>
          <w:sz w:val="17"/>
        </w:rPr>
        <w:t>𝑡</w:t>
      </w:r>
      <w:r>
        <w:rPr>
          <w:rFonts w:ascii="Cambria Math" w:eastAsia="Cambria Math"/>
          <w:spacing w:val="-1"/>
          <w:w w:val="76"/>
          <w:position w:val="-4"/>
          <w:sz w:val="17"/>
        </w:rPr>
        <w:t>𝑡𝑡𝑡𝑡</w:t>
      </w:r>
      <w:r>
        <w:rPr>
          <w:rFonts w:ascii="Cambria Math" w:eastAsia="Cambria Math"/>
          <w:w w:val="26"/>
          <w:position w:val="-4"/>
          <w:sz w:val="17"/>
        </w:rPr>
        <w:t>𝐵𝐵</w:t>
      </w:r>
      <w:r>
        <w:rPr>
          <w:rFonts w:ascii="Cambria Math" w:eastAsia="Cambria Math"/>
          <w:w w:val="64"/>
          <w:position w:val="-4"/>
          <w:sz w:val="17"/>
        </w:rPr>
        <w:t>𝑡</w:t>
      </w:r>
      <w:r>
        <w:rPr>
          <w:rFonts w:ascii="Cambria Math" w:eastAsia="Cambria Math"/>
          <w:spacing w:val="3"/>
          <w:w w:val="64"/>
          <w:position w:val="-4"/>
          <w:sz w:val="17"/>
        </w:rPr>
        <w:t>𝑡</w:t>
      </w:r>
      <w:r>
        <w:rPr>
          <w:rFonts w:ascii="Cambria Math" w:eastAsia="Cambria Math"/>
          <w:w w:val="100"/>
          <w:position w:val="-4"/>
          <w:sz w:val="17"/>
        </w:rPr>
        <w:t>_</w:t>
      </w:r>
      <w:r>
        <w:rPr>
          <w:rFonts w:ascii="Cambria Math" w:eastAsia="Cambria Math"/>
          <w:w w:val="55"/>
          <w:position w:val="-4"/>
          <w:sz w:val="17"/>
        </w:rPr>
        <w:t>𝑑𝑑</w:t>
      </w:r>
      <w:r>
        <w:rPr>
          <w:rFonts w:ascii="Cambria Math" w:eastAsia="Cambria Math"/>
          <w:w w:val="26"/>
          <w:position w:val="-4"/>
          <w:sz w:val="17"/>
        </w:rPr>
        <w:t>𝐵𝐵</w:t>
      </w:r>
      <w:r>
        <w:rPr>
          <w:rFonts w:ascii="Cambria Math" w:eastAsia="Cambria Math"/>
          <w:w w:val="67"/>
          <w:position w:val="-4"/>
          <w:sz w:val="17"/>
        </w:rPr>
        <w:t>𝑡</w:t>
      </w:r>
      <w:r>
        <w:rPr>
          <w:rFonts w:ascii="Cambria Math" w:eastAsia="Cambria Math"/>
          <w:spacing w:val="-1"/>
          <w:w w:val="67"/>
          <w:position w:val="-4"/>
          <w:sz w:val="17"/>
        </w:rPr>
        <w:t>𝑡</w:t>
      </w:r>
      <w:r>
        <w:rPr>
          <w:rFonts w:ascii="Cambria Math" w:eastAsia="Cambria Math"/>
          <w:w w:val="41"/>
          <w:position w:val="-4"/>
          <w:sz w:val="17"/>
        </w:rPr>
        <w:t>𝐵</w:t>
      </w:r>
      <w:r>
        <w:rPr>
          <w:rFonts w:ascii="Cambria Math" w:eastAsia="Cambria Math"/>
          <w:spacing w:val="-1"/>
          <w:w w:val="41"/>
          <w:position w:val="-4"/>
          <w:sz w:val="17"/>
        </w:rPr>
        <w:t>𝐵</w:t>
      </w:r>
      <w:r>
        <w:rPr>
          <w:rFonts w:ascii="Cambria Math" w:eastAsia="Cambria Math"/>
          <w:w w:val="47"/>
          <w:position w:val="-4"/>
          <w:sz w:val="17"/>
        </w:rPr>
        <w:t>𝑡𝑡𝐶</w:t>
      </w:r>
      <w:r>
        <w:rPr>
          <w:rFonts w:ascii="Cambria Math" w:eastAsia="Cambria Math"/>
          <w:spacing w:val="-1"/>
          <w:w w:val="47"/>
          <w:position w:val="-4"/>
          <w:sz w:val="17"/>
        </w:rPr>
        <w:t>𝐶</w:t>
      </w:r>
      <w:r>
        <w:rPr>
          <w:rFonts w:ascii="Cambria Math" w:eastAsia="Cambria Math"/>
          <w:w w:val="26"/>
          <w:position w:val="-4"/>
          <w:sz w:val="17"/>
        </w:rPr>
        <w:t>𝐵𝐵</w:t>
      </w:r>
      <w:r>
        <w:rPr>
          <w:rFonts w:ascii="Cambria Math" w:eastAsia="Cambria Math"/>
          <w:w w:val="49"/>
          <w:position w:val="-4"/>
          <w:sz w:val="17"/>
        </w:rPr>
        <w:t>𝐶</w:t>
      </w:r>
      <w:r>
        <w:rPr>
          <w:rFonts w:ascii="Cambria Math" w:eastAsia="Cambria Math"/>
          <w:spacing w:val="-1"/>
          <w:w w:val="49"/>
          <w:position w:val="-4"/>
          <w:sz w:val="17"/>
        </w:rPr>
        <w:t>𝐶</w:t>
      </w:r>
      <w:r>
        <w:rPr>
          <w:rFonts w:ascii="Cambria Math" w:eastAsia="Cambria Math"/>
          <w:w w:val="54"/>
          <w:position w:val="-4"/>
          <w:sz w:val="17"/>
        </w:rPr>
        <w:t>𝐶𝐶</w:t>
      </w:r>
      <w:r>
        <w:rPr>
          <w:rFonts w:ascii="Cambria Math" w:eastAsia="Cambria Math"/>
          <w:position w:val="-4"/>
          <w:sz w:val="17"/>
        </w:rPr>
        <w:t> </w:t>
      </w:r>
      <w:r>
        <w:rPr>
          <w:rFonts w:ascii="Cambria Math" w:eastAsia="Cambria Math"/>
          <w:spacing w:val="-11"/>
          <w:position w:val="-4"/>
          <w:sz w:val="17"/>
        </w:rPr>
        <w:t> </w:t>
      </w:r>
      <w:r>
        <w:rPr>
          <w:rFonts w:ascii="Cambria Math" w:eastAsia="Cambria Math"/>
          <w:sz w:val="24"/>
        </w:rPr>
        <w:t>+ </w:t>
      </w:r>
      <w:r>
        <w:rPr>
          <w:rFonts w:ascii="Cambria Math" w:eastAsia="Cambria Math"/>
          <w:w w:val="50"/>
          <w:sz w:val="24"/>
        </w:rPr>
        <w:t>𝛽</w:t>
      </w:r>
      <w:r>
        <w:rPr>
          <w:rFonts w:ascii="Cambria Math" w:eastAsia="Cambria Math"/>
          <w:spacing w:val="-16"/>
          <w:w w:val="50"/>
          <w:sz w:val="24"/>
        </w:rPr>
        <w:t>𝛽</w:t>
      </w:r>
      <w:r>
        <w:rPr>
          <w:rFonts w:ascii="Cambria Math" w:eastAsia="Cambria Math"/>
          <w:w w:val="49"/>
          <w:position w:val="-4"/>
          <w:sz w:val="17"/>
        </w:rPr>
        <w:t>𝐶𝐶</w:t>
      </w:r>
      <w:r>
        <w:rPr>
          <w:rFonts w:ascii="Cambria Math" w:eastAsia="Cambria Math"/>
          <w:w w:val="54"/>
          <w:position w:val="-4"/>
          <w:sz w:val="17"/>
        </w:rPr>
        <w:t>𝐶</w:t>
      </w:r>
      <w:r>
        <w:rPr>
          <w:rFonts w:ascii="Cambria Math" w:eastAsia="Cambria Math"/>
          <w:spacing w:val="2"/>
          <w:w w:val="54"/>
          <w:position w:val="-4"/>
          <w:sz w:val="17"/>
        </w:rPr>
        <w:t>𝐶</w:t>
      </w:r>
      <w:r>
        <w:rPr>
          <w:rFonts w:ascii="Cambria Math" w:eastAsia="Cambria Math"/>
          <w:w w:val="100"/>
          <w:position w:val="-4"/>
          <w:sz w:val="17"/>
        </w:rPr>
        <w:t>_</w:t>
      </w:r>
      <w:r>
        <w:rPr>
          <w:rFonts w:ascii="Cambria Math" w:eastAsia="Cambria Math"/>
          <w:w w:val="52"/>
          <w:position w:val="-4"/>
          <w:sz w:val="17"/>
        </w:rPr>
        <w:t>𝑠𝑠</w:t>
      </w:r>
      <w:r>
        <w:rPr>
          <w:rFonts w:ascii="Cambria Math" w:eastAsia="Cambria Math"/>
          <w:w w:val="36"/>
          <w:position w:val="-4"/>
          <w:sz w:val="17"/>
        </w:rPr>
        <w:t>𝐶𝐶</w:t>
      </w:r>
      <w:r>
        <w:rPr>
          <w:rFonts w:ascii="Cambria Math" w:eastAsia="Cambria Math"/>
          <w:w w:val="67"/>
          <w:position w:val="-4"/>
          <w:sz w:val="17"/>
        </w:rPr>
        <w:t>𝑡</w:t>
      </w:r>
      <w:r>
        <w:rPr>
          <w:rFonts w:ascii="Cambria Math" w:eastAsia="Cambria Math"/>
          <w:spacing w:val="-1"/>
          <w:w w:val="67"/>
          <w:position w:val="-4"/>
          <w:sz w:val="17"/>
        </w:rPr>
        <w:t>𝑡</w:t>
      </w:r>
      <w:r>
        <w:rPr>
          <w:rFonts w:ascii="Cambria Math" w:eastAsia="Cambria Math"/>
          <w:spacing w:val="-1"/>
          <w:w w:val="40"/>
          <w:position w:val="-4"/>
          <w:sz w:val="17"/>
        </w:rPr>
        <w:t>𝐵𝐵𝐵𝐵𝐶</w:t>
      </w:r>
      <w:r>
        <w:rPr>
          <w:rFonts w:ascii="Cambria Math" w:eastAsia="Cambria Math"/>
          <w:spacing w:val="3"/>
          <w:w w:val="40"/>
          <w:position w:val="-4"/>
          <w:sz w:val="17"/>
        </w:rPr>
        <w:t>𝐶</w:t>
      </w:r>
      <w:r>
        <w:rPr>
          <w:rFonts w:ascii="Cambria Math" w:eastAsia="Cambria Math"/>
          <w:w w:val="100"/>
          <w:position w:val="-4"/>
          <w:sz w:val="17"/>
        </w:rPr>
        <w:t>_</w:t>
      </w:r>
      <w:r>
        <w:rPr>
          <w:rFonts w:ascii="Cambria Math" w:eastAsia="Cambria Math"/>
          <w:w w:val="56"/>
          <w:position w:val="-4"/>
          <w:sz w:val="17"/>
        </w:rPr>
        <w:t>𝑝</w:t>
      </w:r>
      <w:r>
        <w:rPr>
          <w:rFonts w:ascii="Cambria Math" w:eastAsia="Cambria Math"/>
          <w:spacing w:val="-1"/>
          <w:w w:val="56"/>
          <w:position w:val="-4"/>
          <w:sz w:val="17"/>
        </w:rPr>
        <w:t>𝑝</w:t>
      </w:r>
      <w:r>
        <w:rPr>
          <w:rFonts w:ascii="Cambria Math" w:eastAsia="Cambria Math"/>
          <w:w w:val="79"/>
          <w:position w:val="-4"/>
          <w:sz w:val="17"/>
        </w:rPr>
        <w:t>𝑡𝑡</w:t>
      </w:r>
      <w:r>
        <w:rPr>
          <w:rFonts w:ascii="Cambria Math" w:eastAsia="Cambria Math"/>
          <w:spacing w:val="-1"/>
          <w:w w:val="54"/>
          <w:position w:val="-4"/>
          <w:sz w:val="17"/>
        </w:rPr>
        <w:t>𝑡𝑡𝐵</w:t>
      </w:r>
      <w:r>
        <w:rPr>
          <w:rFonts w:ascii="Cambria Math" w:eastAsia="Cambria Math"/>
          <w:w w:val="54"/>
          <w:position w:val="-4"/>
          <w:sz w:val="17"/>
        </w:rPr>
        <w:t>𝐵</w:t>
      </w:r>
      <w:r>
        <w:rPr>
          <w:rFonts w:ascii="Cambria Math" w:eastAsia="Cambria Math"/>
          <w:w w:val="26"/>
          <w:position w:val="-4"/>
          <w:sz w:val="17"/>
        </w:rPr>
        <w:t>𝐵</w:t>
      </w:r>
      <w:r>
        <w:rPr>
          <w:rFonts w:ascii="Cambria Math" w:eastAsia="Cambria Math"/>
          <w:spacing w:val="-1"/>
          <w:w w:val="26"/>
          <w:position w:val="-4"/>
          <w:sz w:val="17"/>
        </w:rPr>
        <w:t>𝐵</w:t>
      </w:r>
      <w:r>
        <w:rPr>
          <w:rFonts w:ascii="Cambria Math" w:eastAsia="Cambria Math"/>
          <w:w w:val="54"/>
          <w:position w:val="-4"/>
          <w:sz w:val="17"/>
        </w:rPr>
        <w:t>𝐶</w:t>
      </w:r>
      <w:r>
        <w:rPr>
          <w:rFonts w:ascii="Cambria Math" w:eastAsia="Cambria Math"/>
          <w:spacing w:val="-1"/>
          <w:w w:val="54"/>
          <w:position w:val="-4"/>
          <w:sz w:val="17"/>
        </w:rPr>
        <w:t>𝐶</w:t>
      </w:r>
      <w:r>
        <w:rPr>
          <w:rFonts w:ascii="Cambria Math" w:eastAsia="Cambria Math"/>
          <w:w w:val="59"/>
          <w:position w:val="-4"/>
          <w:sz w:val="17"/>
        </w:rPr>
        <w:t>𝑝𝑝</w:t>
      </w:r>
      <w:r>
        <w:rPr>
          <w:rFonts w:ascii="Cambria Math" w:eastAsia="Cambria Math"/>
          <w:position w:val="-4"/>
          <w:sz w:val="17"/>
        </w:rPr>
        <w:t> </w:t>
      </w:r>
      <w:r>
        <w:rPr>
          <w:rFonts w:ascii="Cambria Math" w:eastAsia="Cambria Math"/>
          <w:spacing w:val="-10"/>
          <w:position w:val="-4"/>
          <w:sz w:val="17"/>
        </w:rPr>
        <w:t> </w:t>
      </w:r>
      <w:r>
        <w:rPr>
          <w:rFonts w:ascii="Cambria Math" w:eastAsia="Cambria Math"/>
          <w:sz w:val="24"/>
        </w:rPr>
        <w:t>+</w:t>
      </w:r>
    </w:p>
    <w:p>
      <w:pPr>
        <w:spacing w:line="386" w:lineRule="exact" w:before="0"/>
        <w:ind w:left="320" w:right="0" w:firstLine="0"/>
        <w:jc w:val="left"/>
        <w:rPr>
          <w:rFonts w:ascii="Cambria Math" w:eastAsia="Cambria Math"/>
          <w:sz w:val="17"/>
        </w:rPr>
      </w:pP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52"/>
          <w:sz w:val="17"/>
        </w:rPr>
        <w:t>𝑠𝑠</w:t>
      </w:r>
      <w:r>
        <w:rPr>
          <w:rFonts w:ascii="Cambria Math" w:eastAsia="Cambria Math"/>
          <w:w w:val="56"/>
          <w:sz w:val="17"/>
        </w:rPr>
        <w:t>𝑝</w:t>
      </w:r>
      <w:r>
        <w:rPr>
          <w:rFonts w:ascii="Cambria Math" w:eastAsia="Cambria Math"/>
          <w:spacing w:val="-1"/>
          <w:w w:val="56"/>
          <w:sz w:val="17"/>
        </w:rPr>
        <w:t>𝑝</w:t>
      </w:r>
      <w:r>
        <w:rPr>
          <w:rFonts w:ascii="Cambria Math" w:eastAsia="Cambria Math"/>
          <w:spacing w:val="-1"/>
          <w:w w:val="45"/>
          <w:sz w:val="17"/>
        </w:rPr>
        <w:t>𝐵𝐵𝐵𝐵𝑑</w:t>
      </w:r>
      <w:r>
        <w:rPr>
          <w:rFonts w:ascii="Cambria Math" w:eastAsia="Cambria Math"/>
          <w:w w:val="45"/>
          <w:sz w:val="17"/>
        </w:rPr>
        <w:t>𝑑</w:t>
      </w:r>
      <w:r>
        <w:rPr>
          <w:rFonts w:ascii="Cambria Math" w:eastAsia="Cambria Math"/>
          <w:sz w:val="17"/>
        </w:rPr>
        <w:t> </w:t>
      </w:r>
      <w:r>
        <w:rPr>
          <w:rFonts w:ascii="Cambria Math" w:eastAsia="Cambria Math"/>
          <w:spacing w:val="-7"/>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w:t>
      </w:r>
      <w:r>
        <w:rPr>
          <w:rFonts w:ascii="Cambria Math" w:eastAsia="Cambria Math"/>
          <w:spacing w:val="-1"/>
          <w:w w:val="43"/>
          <w:sz w:val="17"/>
        </w:rPr>
        <w:t>𝐶</w:t>
      </w:r>
      <w:r>
        <w:rPr>
          <w:rFonts w:ascii="Cambria Math" w:eastAsia="Cambria Math"/>
          <w:w w:val="79"/>
          <w:sz w:val="17"/>
        </w:rPr>
        <w:t>𝑡𝑡</w:t>
      </w:r>
      <w:r>
        <w:rPr>
          <w:rFonts w:ascii="Cambria Math" w:eastAsia="Cambria Math"/>
          <w:w w:val="44"/>
          <w:sz w:val="17"/>
        </w:rPr>
        <w:t>𝑡</w:t>
      </w:r>
      <w:r>
        <w:rPr>
          <w:rFonts w:ascii="Cambria Math" w:eastAsia="Cambria Math"/>
          <w:spacing w:val="4"/>
          <w:w w:val="44"/>
          <w:sz w:val="17"/>
        </w:rPr>
        <w:t>𝑡</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49"/>
          <w:sz w:val="17"/>
        </w:rPr>
        <w:t>𝐶𝐶</w:t>
      </w:r>
      <w:r>
        <w:rPr>
          <w:rFonts w:ascii="Cambria Math" w:eastAsia="Cambria Math"/>
          <w:w w:val="56"/>
          <w:sz w:val="17"/>
        </w:rPr>
        <w:t>𝑝</w:t>
      </w:r>
      <w:r>
        <w:rPr>
          <w:rFonts w:ascii="Cambria Math" w:eastAsia="Cambria Math"/>
          <w:spacing w:val="-1"/>
          <w:w w:val="56"/>
          <w:sz w:val="17"/>
        </w:rPr>
        <w:t>𝑝</w:t>
      </w:r>
      <w:r>
        <w:rPr>
          <w:rFonts w:ascii="Cambria Math" w:eastAsia="Cambria Math"/>
          <w:w w:val="54"/>
          <w:sz w:val="17"/>
        </w:rPr>
        <w:t>𝐶</w:t>
      </w:r>
      <w:r>
        <w:rPr>
          <w:rFonts w:ascii="Cambria Math" w:eastAsia="Cambria Math"/>
          <w:spacing w:val="-1"/>
          <w:w w:val="54"/>
          <w:sz w:val="17"/>
        </w:rPr>
        <w:t>𝐶</w:t>
      </w:r>
      <w:r>
        <w:rPr>
          <w:rFonts w:ascii="Cambria Math" w:eastAsia="Cambria Math"/>
          <w:w w:val="44"/>
          <w:sz w:val="17"/>
        </w:rPr>
        <w:t>𝑡</w:t>
      </w:r>
      <w:r>
        <w:rPr>
          <w:rFonts w:ascii="Cambria Math" w:eastAsia="Cambria Math"/>
          <w:spacing w:val="-1"/>
          <w:w w:val="44"/>
          <w:sz w:val="17"/>
        </w:rPr>
        <w:t>𝑡</w:t>
      </w:r>
      <w:r>
        <w:rPr>
          <w:rFonts w:ascii="Cambria Math" w:eastAsia="Cambria Math"/>
          <w:w w:val="79"/>
          <w:sz w:val="17"/>
        </w:rPr>
        <w:t>𝑡</w:t>
      </w:r>
      <w:r>
        <w:rPr>
          <w:rFonts w:ascii="Cambria Math" w:eastAsia="Cambria Math"/>
          <w:spacing w:val="-1"/>
          <w:w w:val="79"/>
          <w:sz w:val="17"/>
        </w:rPr>
        <w:t>𝑡</w:t>
      </w:r>
      <w:r>
        <w:rPr>
          <w:rFonts w:ascii="Cambria Math" w:eastAsia="Cambria Math"/>
          <w:w w:val="36"/>
          <w:sz w:val="17"/>
        </w:rPr>
        <w:t>𝐶𝐶</w:t>
      </w:r>
      <w:r>
        <w:rPr>
          <w:rFonts w:ascii="Cambria Math" w:eastAsia="Cambria Math"/>
          <w:w w:val="26"/>
          <w:sz w:val="17"/>
        </w:rPr>
        <w:t>𝐵</w:t>
      </w:r>
      <w:r>
        <w:rPr>
          <w:rFonts w:ascii="Cambria Math" w:eastAsia="Cambria Math"/>
          <w:spacing w:val="-1"/>
          <w:w w:val="26"/>
          <w:sz w:val="17"/>
        </w:rPr>
        <w:t>𝐵</w:t>
      </w:r>
      <w:r>
        <w:rPr>
          <w:rFonts w:ascii="Cambria Math" w:eastAsia="Cambria Math"/>
          <w:w w:val="52"/>
          <w:sz w:val="17"/>
        </w:rPr>
        <w:t>𝐶𝐶𝐶𝐶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w:t>
      </w:r>
      <w:r>
        <w:rPr>
          <w:rFonts w:ascii="Cambria Math" w:eastAsia="Cambria Math"/>
          <w:spacing w:val="-1"/>
          <w:w w:val="43"/>
          <w:sz w:val="17"/>
        </w:rPr>
        <w:t>𝐶</w:t>
      </w:r>
      <w:r>
        <w:rPr>
          <w:rFonts w:ascii="Cambria Math" w:eastAsia="Cambria Math"/>
          <w:w w:val="79"/>
          <w:sz w:val="17"/>
        </w:rPr>
        <w:t>𝑡</w:t>
      </w:r>
      <w:r>
        <w:rPr>
          <w:rFonts w:ascii="Cambria Math" w:eastAsia="Cambria Math"/>
          <w:spacing w:val="2"/>
          <w:w w:val="79"/>
          <w:sz w:val="17"/>
        </w:rPr>
        <w:t>𝑡</w:t>
      </w:r>
      <w:r>
        <w:rPr>
          <w:rFonts w:ascii="Cambria Math" w:eastAsia="Cambria Math"/>
          <w:w w:val="44"/>
          <w:sz w:val="17"/>
        </w:rPr>
        <w:t>𝑡</w:t>
      </w:r>
      <w:r>
        <w:rPr>
          <w:rFonts w:ascii="Cambria Math" w:eastAsia="Cambria Math"/>
          <w:spacing w:val="-1"/>
          <w:w w:val="44"/>
          <w:sz w:val="17"/>
        </w:rPr>
        <w:t>𝑡</w:t>
      </w:r>
      <w:r>
        <w:rPr>
          <w:rFonts w:ascii="Cambria Math" w:eastAsia="Cambria Math"/>
          <w:spacing w:val="-1"/>
          <w:w w:val="66"/>
          <w:position w:val="-3"/>
          <w:sz w:val="14"/>
        </w:rPr>
        <w:t>𝑡𝑡𝑡𝑡</w:t>
      </w:r>
      <w:r>
        <w:rPr>
          <w:rFonts w:ascii="Cambria Math" w:eastAsia="Cambria Math"/>
          <w:w w:val="85"/>
          <w:position w:val="-3"/>
          <w:sz w:val="14"/>
        </w:rPr>
        <w:t>𝑡</w:t>
      </w:r>
      <w:r>
        <w:rPr>
          <w:rFonts w:ascii="Cambria Math" w:eastAsia="Cambria Math"/>
          <w:spacing w:val="-1"/>
          <w:w w:val="85"/>
          <w:position w:val="-3"/>
          <w:sz w:val="14"/>
        </w:rPr>
        <w:t>𝑡</w:t>
      </w:r>
      <w:r>
        <w:rPr>
          <w:rFonts w:ascii="Cambria Math" w:eastAsia="Cambria Math"/>
          <w:spacing w:val="-1"/>
          <w:w w:val="69"/>
          <w:position w:val="-3"/>
          <w:sz w:val="14"/>
        </w:rPr>
        <w:t>𝑡𝑡𝑡𝑡𝑡</w:t>
      </w:r>
      <w:r>
        <w:rPr>
          <w:rFonts w:ascii="Cambria Math" w:eastAsia="Cambria Math"/>
          <w:spacing w:val="1"/>
          <w:w w:val="69"/>
          <w:position w:val="-3"/>
          <w:sz w:val="14"/>
        </w:rPr>
        <w:t>𝑡</w:t>
      </w:r>
      <w:r>
        <w:rPr>
          <w:rFonts w:ascii="Cambria Math" w:eastAsia="Cambria Math"/>
          <w:w w:val="58"/>
          <w:position w:val="-3"/>
          <w:sz w:val="14"/>
        </w:rPr>
        <w:t>𝑐𝑐</w:t>
      </w:r>
      <w:r>
        <w:rPr>
          <w:rFonts w:ascii="Cambria Math" w:eastAsia="Cambria Math"/>
          <w:w w:val="60"/>
          <w:position w:val="-7"/>
          <w:sz w:val="14"/>
        </w:rPr>
        <w:t>𝑙</w:t>
      </w:r>
      <w:r>
        <w:rPr>
          <w:rFonts w:ascii="Cambria Math" w:eastAsia="Cambria Math"/>
          <w:spacing w:val="-1"/>
          <w:w w:val="60"/>
          <w:position w:val="-7"/>
          <w:sz w:val="14"/>
        </w:rPr>
        <w:t>𝑙</w:t>
      </w:r>
      <w:r>
        <w:rPr>
          <w:rFonts w:ascii="Cambria Math" w:eastAsia="Cambria Math"/>
          <w:w w:val="85"/>
          <w:position w:val="-7"/>
          <w:sz w:val="14"/>
        </w:rPr>
        <w:t>𝑡</w:t>
      </w:r>
      <w:r>
        <w:rPr>
          <w:rFonts w:ascii="Cambria Math" w:eastAsia="Cambria Math"/>
          <w:spacing w:val="-1"/>
          <w:w w:val="85"/>
          <w:position w:val="-7"/>
          <w:sz w:val="14"/>
        </w:rPr>
        <w:t>𝑡</w:t>
      </w:r>
      <w:r>
        <w:rPr>
          <w:rFonts w:ascii="Cambria Math" w:eastAsia="Cambria Math"/>
          <w:w w:val="112"/>
          <w:position w:val="-7"/>
          <w:sz w:val="14"/>
        </w:rPr>
        <w:t>𝑙𝑙</w:t>
      </w:r>
      <w:r>
        <w:rPr>
          <w:rFonts w:ascii="Cambria Math" w:eastAsia="Cambria Math"/>
          <w:w w:val="91"/>
          <w:position w:val="-7"/>
          <w:sz w:val="14"/>
        </w:rPr>
        <w:t>𝑙𝑙</w:t>
      </w:r>
      <w:r>
        <w:rPr>
          <w:rFonts w:ascii="Cambria Math" w:eastAsia="Cambria Math"/>
          <w:position w:val="-7"/>
          <w:sz w:val="14"/>
        </w:rPr>
        <w:t> </w:t>
      </w:r>
      <w:r>
        <w:rPr>
          <w:rFonts w:ascii="Cambria Math" w:eastAsia="Cambria Math"/>
          <w:spacing w:val="12"/>
          <w:position w:val="-7"/>
          <w:sz w:val="14"/>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8"/>
          <w:w w:val="50"/>
          <w:position w:val="5"/>
          <w:sz w:val="24"/>
        </w:rPr>
        <w:t>𝛽</w:t>
      </w:r>
      <w:r>
        <w:rPr>
          <w:rFonts w:ascii="Cambria Math" w:eastAsia="Cambria Math"/>
          <w:w w:val="58"/>
          <w:sz w:val="17"/>
        </w:rPr>
        <w:t>𝑆</w:t>
      </w:r>
      <w:r>
        <w:rPr>
          <w:rFonts w:ascii="Cambria Math" w:eastAsia="Cambria Math"/>
          <w:spacing w:val="-1"/>
          <w:w w:val="58"/>
          <w:sz w:val="17"/>
        </w:rPr>
        <w:t>𝑆</w:t>
      </w:r>
      <w:r>
        <w:rPr>
          <w:rFonts w:ascii="Cambria Math" w:eastAsia="Cambria Math"/>
          <w:w w:val="82"/>
          <w:sz w:val="17"/>
        </w:rPr>
        <w:t>𝑇</w:t>
      </w:r>
      <w:r>
        <w:rPr>
          <w:rFonts w:ascii="Cambria Math" w:eastAsia="Cambria Math"/>
          <w:spacing w:val="-1"/>
          <w:w w:val="82"/>
          <w:sz w:val="17"/>
        </w:rPr>
        <w:t>𝑇</w:t>
      </w:r>
      <w:r>
        <w:rPr>
          <w:rFonts w:ascii="Cambria Math" w:eastAsia="Cambria Math"/>
          <w:w w:val="51"/>
          <w:sz w:val="17"/>
        </w:rPr>
        <w:t>𝐿𝐿</w:t>
      </w:r>
      <w:r>
        <w:rPr>
          <w:rFonts w:ascii="Cambria Math" w:eastAsia="Cambria Math"/>
          <w:w w:val="58"/>
          <w:sz w:val="17"/>
        </w:rPr>
        <w:t>𝑆</w:t>
      </w:r>
      <w:r>
        <w:rPr>
          <w:rFonts w:ascii="Cambria Math" w:eastAsia="Cambria Math"/>
          <w:spacing w:val="-1"/>
          <w:w w:val="58"/>
          <w:sz w:val="17"/>
        </w:rPr>
        <w:t>𝑆</w:t>
      </w:r>
      <w:r>
        <w:rPr>
          <w:rFonts w:ascii="Cambria Math" w:eastAsia="Cambria Math"/>
          <w:w w:val="51"/>
          <w:sz w:val="17"/>
        </w:rPr>
        <w:t>𝐿𝐿</w:t>
      </w:r>
    </w:p>
    <w:p>
      <w:pPr>
        <w:pStyle w:val="BodyText"/>
        <w:rPr>
          <w:rFonts w:ascii="Cambria Math"/>
          <w:sz w:val="38"/>
        </w:rPr>
      </w:pPr>
    </w:p>
    <w:p>
      <w:pPr>
        <w:spacing w:line="309" w:lineRule="exact" w:before="279"/>
        <w:ind w:left="320" w:right="0" w:firstLine="0"/>
        <w:jc w:val="left"/>
        <w:rPr>
          <w:rFonts w:ascii="Cambria Math" w:eastAsia="Cambria Math"/>
          <w:sz w:val="24"/>
        </w:rPr>
      </w:pPr>
      <w:r>
        <w:rPr>
          <w:rFonts w:ascii="Cambria Math" w:eastAsia="Cambria Math"/>
          <w:i/>
          <w:spacing w:val="-1"/>
          <w:w w:val="96"/>
          <w:position w:val="5"/>
          <w:sz w:val="25"/>
        </w:rPr>
        <w:t>Lo</w:t>
      </w:r>
      <w:r>
        <w:rPr>
          <w:rFonts w:ascii="Cambria Math" w:eastAsia="Cambria Math"/>
          <w:i/>
          <w:w w:val="96"/>
          <w:position w:val="5"/>
          <w:sz w:val="25"/>
        </w:rPr>
        <w:t>git</w:t>
      </w:r>
      <w:r>
        <w:rPr>
          <w:rFonts w:ascii="Cambria Math" w:eastAsia="Cambria Math"/>
          <w:i/>
          <w:spacing w:val="-2"/>
          <w:position w:val="5"/>
          <w:sz w:val="25"/>
        </w:rPr>
        <w:t> </w:t>
      </w:r>
      <w:r>
        <w:rPr>
          <w:rFonts w:ascii="Cambria Math" w:eastAsia="Cambria Math"/>
          <w:i/>
          <w:w w:val="96"/>
          <w:position w:val="5"/>
          <w:sz w:val="25"/>
        </w:rPr>
        <w:t>di</w:t>
      </w:r>
      <w:r>
        <w:rPr>
          <w:rFonts w:ascii="Cambria Math" w:eastAsia="Cambria Math"/>
          <w:i/>
          <w:spacing w:val="-1"/>
          <w:w w:val="96"/>
          <w:position w:val="5"/>
          <w:sz w:val="25"/>
        </w:rPr>
        <w:t>f</w:t>
      </w:r>
      <w:r>
        <w:rPr>
          <w:rFonts w:ascii="Cambria Math" w:eastAsia="Cambria Math"/>
          <w:i/>
          <w:w w:val="96"/>
          <w:position w:val="5"/>
          <w:sz w:val="25"/>
        </w:rPr>
        <w:t>f</w:t>
      </w:r>
      <w:r>
        <w:rPr>
          <w:rFonts w:ascii="Cambria Math" w:eastAsia="Cambria Math"/>
          <w:i/>
          <w:spacing w:val="-1"/>
          <w:w w:val="96"/>
          <w:position w:val="5"/>
          <w:sz w:val="25"/>
        </w:rPr>
        <w:t>er</w:t>
      </w:r>
      <w:r>
        <w:rPr>
          <w:rFonts w:ascii="Cambria Math" w:eastAsia="Cambria Math"/>
          <w:i/>
          <w:w w:val="96"/>
          <w:position w:val="5"/>
          <w:sz w:val="25"/>
        </w:rPr>
        <w:t>en</w:t>
      </w:r>
      <w:r>
        <w:rPr>
          <w:rFonts w:ascii="Cambria Math" w:eastAsia="Cambria Math"/>
          <w:i/>
          <w:spacing w:val="-1"/>
          <w:w w:val="96"/>
          <w:position w:val="5"/>
          <w:sz w:val="25"/>
        </w:rPr>
        <w:t>c</w:t>
      </w:r>
      <w:r>
        <w:rPr>
          <w:rFonts w:ascii="Cambria Math" w:eastAsia="Cambria Math"/>
          <w:i/>
          <w:w w:val="96"/>
          <w:position w:val="5"/>
          <w:sz w:val="25"/>
        </w:rPr>
        <w:t>es</w:t>
      </w:r>
      <w:r>
        <w:rPr>
          <w:rFonts w:ascii="Cambria Math" w:eastAsia="Cambria Math"/>
          <w:i/>
          <w:spacing w:val="-3"/>
          <w:position w:val="5"/>
          <w:sz w:val="25"/>
        </w:rPr>
        <w:t> </w:t>
      </w:r>
      <w:r>
        <w:rPr>
          <w:rFonts w:ascii="Cambria Math" w:eastAsia="Cambria Math"/>
          <w:i/>
          <w:spacing w:val="-2"/>
          <w:w w:val="96"/>
          <w:position w:val="5"/>
          <w:sz w:val="25"/>
        </w:rPr>
        <w:t>=</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104"/>
          <w:sz w:val="17"/>
        </w:rPr>
        <w:t>0</w:t>
      </w:r>
      <w:r>
        <w:rPr>
          <w:rFonts w:ascii="Cambria Math" w:eastAsia="Cambria Math"/>
          <w:sz w:val="17"/>
        </w:rPr>
        <w:t> </w:t>
      </w:r>
      <w:r>
        <w:rPr>
          <w:rFonts w:ascii="Cambria Math" w:eastAsia="Cambria Math"/>
          <w:spacing w:val="-12"/>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spacing w:val="-1"/>
          <w:w w:val="73"/>
          <w:sz w:val="17"/>
        </w:rPr>
        <w:t>𝑡𝑡𝑡</w:t>
      </w:r>
      <w:r>
        <w:rPr>
          <w:rFonts w:ascii="Cambria Math" w:eastAsia="Cambria Math"/>
          <w:w w:val="73"/>
          <w:sz w:val="17"/>
        </w:rPr>
        <w:t>𝑡</w:t>
      </w:r>
      <w:r>
        <w:rPr>
          <w:rFonts w:ascii="Cambria Math" w:eastAsia="Cambria Math"/>
          <w:spacing w:val="-1"/>
          <w:w w:val="76"/>
          <w:sz w:val="17"/>
        </w:rPr>
        <w:t>𝑡𝑡𝑡𝑡</w:t>
      </w:r>
      <w:r>
        <w:rPr>
          <w:rFonts w:ascii="Cambria Math" w:eastAsia="Cambria Math"/>
          <w:w w:val="26"/>
          <w:sz w:val="17"/>
        </w:rPr>
        <w:t>𝐵𝐵</w:t>
      </w:r>
      <w:r>
        <w:rPr>
          <w:rFonts w:ascii="Cambria Math" w:eastAsia="Cambria Math"/>
          <w:w w:val="64"/>
          <w:sz w:val="17"/>
        </w:rPr>
        <w:t>𝑡</w:t>
      </w:r>
      <w:r>
        <w:rPr>
          <w:rFonts w:ascii="Cambria Math" w:eastAsia="Cambria Math"/>
          <w:spacing w:val="3"/>
          <w:w w:val="64"/>
          <w:sz w:val="17"/>
        </w:rPr>
        <w:t>𝑡</w:t>
      </w:r>
      <w:r>
        <w:rPr>
          <w:rFonts w:ascii="Cambria Math" w:eastAsia="Cambria Math"/>
          <w:w w:val="100"/>
          <w:sz w:val="17"/>
        </w:rPr>
        <w:t>_</w:t>
      </w:r>
      <w:r>
        <w:rPr>
          <w:rFonts w:ascii="Cambria Math" w:eastAsia="Cambria Math"/>
          <w:w w:val="55"/>
          <w:sz w:val="17"/>
        </w:rPr>
        <w:t>𝑑𝑑</w:t>
      </w:r>
      <w:r>
        <w:rPr>
          <w:rFonts w:ascii="Cambria Math" w:eastAsia="Cambria Math"/>
          <w:w w:val="26"/>
          <w:sz w:val="17"/>
        </w:rPr>
        <w:t>𝐵𝐵</w:t>
      </w:r>
      <w:r>
        <w:rPr>
          <w:rFonts w:ascii="Cambria Math" w:eastAsia="Cambria Math"/>
          <w:w w:val="67"/>
          <w:sz w:val="17"/>
        </w:rPr>
        <w:t>𝑡</w:t>
      </w:r>
      <w:r>
        <w:rPr>
          <w:rFonts w:ascii="Cambria Math" w:eastAsia="Cambria Math"/>
          <w:spacing w:val="-1"/>
          <w:w w:val="67"/>
          <w:sz w:val="17"/>
        </w:rPr>
        <w:t>𝑡</w:t>
      </w:r>
      <w:r>
        <w:rPr>
          <w:rFonts w:ascii="Cambria Math" w:eastAsia="Cambria Math"/>
          <w:w w:val="41"/>
          <w:sz w:val="17"/>
        </w:rPr>
        <w:t>𝐵</w:t>
      </w:r>
      <w:r>
        <w:rPr>
          <w:rFonts w:ascii="Cambria Math" w:eastAsia="Cambria Math"/>
          <w:spacing w:val="-2"/>
          <w:w w:val="41"/>
          <w:sz w:val="17"/>
        </w:rPr>
        <w:t>𝐵</w:t>
      </w:r>
      <w:r>
        <w:rPr>
          <w:rFonts w:ascii="Cambria Math" w:eastAsia="Cambria Math"/>
          <w:w w:val="47"/>
          <w:sz w:val="17"/>
        </w:rPr>
        <w:t>𝑡𝑡𝐶</w:t>
      </w:r>
      <w:r>
        <w:rPr>
          <w:rFonts w:ascii="Cambria Math" w:eastAsia="Cambria Math"/>
          <w:spacing w:val="-1"/>
          <w:w w:val="47"/>
          <w:sz w:val="17"/>
        </w:rPr>
        <w:t>𝐶</w:t>
      </w:r>
      <w:r>
        <w:rPr>
          <w:rFonts w:ascii="Cambria Math" w:eastAsia="Cambria Math"/>
          <w:w w:val="26"/>
          <w:sz w:val="17"/>
        </w:rPr>
        <w:t>𝐵𝐵</w:t>
      </w:r>
      <w:r>
        <w:rPr>
          <w:rFonts w:ascii="Cambria Math" w:eastAsia="Cambria Math"/>
          <w:w w:val="49"/>
          <w:sz w:val="17"/>
        </w:rPr>
        <w:t>𝐶</w:t>
      </w:r>
      <w:r>
        <w:rPr>
          <w:rFonts w:ascii="Cambria Math" w:eastAsia="Cambria Math"/>
          <w:spacing w:val="-1"/>
          <w:w w:val="49"/>
          <w:sz w:val="17"/>
        </w:rPr>
        <w:t>𝐶</w:t>
      </w:r>
      <w:r>
        <w:rPr>
          <w:rFonts w:ascii="Cambria Math" w:eastAsia="Cambria Math"/>
          <w:w w:val="54"/>
          <w:sz w:val="17"/>
        </w:rPr>
        <w:t>𝐶𝐶</w:t>
      </w:r>
      <w:r>
        <w:rPr>
          <w:rFonts w:ascii="Cambria Math" w:eastAsia="Cambria Math"/>
          <w:sz w:val="17"/>
        </w:rPr>
        <w:t> </w:t>
      </w:r>
      <w:r>
        <w:rPr>
          <w:rFonts w:ascii="Cambria Math" w:eastAsia="Cambria Math"/>
          <w:spacing w:val="-10"/>
          <w:sz w:val="17"/>
        </w:rPr>
        <w:t> </w:t>
      </w:r>
      <w:r>
        <w:rPr>
          <w:rFonts w:ascii="Cambria Math" w:eastAsia="Cambria Math"/>
          <w:position w:val="5"/>
          <w:sz w:val="24"/>
        </w:rPr>
        <w:t>+</w:t>
      </w:r>
      <w:r>
        <w:rPr>
          <w:rFonts w:ascii="Cambria Math" w:eastAsia="Cambria Math"/>
          <w:spacing w:val="-1"/>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49"/>
          <w:sz w:val="17"/>
        </w:rPr>
        <w:t>𝐶𝐶</w:t>
      </w:r>
      <w:r>
        <w:rPr>
          <w:rFonts w:ascii="Cambria Math" w:eastAsia="Cambria Math"/>
          <w:w w:val="54"/>
          <w:sz w:val="17"/>
        </w:rPr>
        <w:t>𝐶</w:t>
      </w:r>
      <w:r>
        <w:rPr>
          <w:rFonts w:ascii="Cambria Math" w:eastAsia="Cambria Math"/>
          <w:spacing w:val="3"/>
          <w:w w:val="54"/>
          <w:sz w:val="17"/>
        </w:rPr>
        <w:t>𝐶</w:t>
      </w:r>
      <w:r>
        <w:rPr>
          <w:rFonts w:ascii="Cambria Math" w:eastAsia="Cambria Math"/>
          <w:w w:val="100"/>
          <w:sz w:val="17"/>
        </w:rPr>
        <w:t>_</w:t>
      </w:r>
      <w:r>
        <w:rPr>
          <w:rFonts w:ascii="Cambria Math" w:eastAsia="Cambria Math"/>
          <w:w w:val="52"/>
          <w:sz w:val="17"/>
        </w:rPr>
        <w:t>𝑠𝑠</w:t>
      </w:r>
      <w:r>
        <w:rPr>
          <w:rFonts w:ascii="Cambria Math" w:eastAsia="Cambria Math"/>
          <w:w w:val="36"/>
          <w:sz w:val="17"/>
        </w:rPr>
        <w:t>𝐶</w:t>
      </w:r>
      <w:r>
        <w:rPr>
          <w:rFonts w:ascii="Cambria Math" w:eastAsia="Cambria Math"/>
          <w:spacing w:val="-1"/>
          <w:w w:val="36"/>
          <w:sz w:val="17"/>
        </w:rPr>
        <w:t>𝐶</w:t>
      </w:r>
      <w:r>
        <w:rPr>
          <w:rFonts w:ascii="Cambria Math" w:eastAsia="Cambria Math"/>
          <w:w w:val="67"/>
          <w:sz w:val="17"/>
        </w:rPr>
        <w:t>𝑡</w:t>
      </w:r>
      <w:r>
        <w:rPr>
          <w:rFonts w:ascii="Cambria Math" w:eastAsia="Cambria Math"/>
          <w:spacing w:val="-1"/>
          <w:w w:val="67"/>
          <w:sz w:val="17"/>
        </w:rPr>
        <w:t>𝑡</w:t>
      </w:r>
      <w:r>
        <w:rPr>
          <w:rFonts w:ascii="Cambria Math" w:eastAsia="Cambria Math"/>
          <w:spacing w:val="-1"/>
          <w:w w:val="40"/>
          <w:sz w:val="17"/>
        </w:rPr>
        <w:t>𝐵𝐵𝐵𝐵𝐶</w:t>
      </w:r>
      <w:r>
        <w:rPr>
          <w:rFonts w:ascii="Cambria Math" w:eastAsia="Cambria Math"/>
          <w:spacing w:val="2"/>
          <w:w w:val="40"/>
          <w:sz w:val="17"/>
        </w:rPr>
        <w:t>𝐶</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79"/>
          <w:sz w:val="17"/>
        </w:rPr>
        <w:t>𝑡𝑡</w:t>
      </w:r>
      <w:r>
        <w:rPr>
          <w:rFonts w:ascii="Cambria Math" w:eastAsia="Cambria Math"/>
          <w:spacing w:val="-1"/>
          <w:w w:val="54"/>
          <w:sz w:val="17"/>
        </w:rPr>
        <w:t>𝑡𝑡𝐵</w:t>
      </w:r>
      <w:r>
        <w:rPr>
          <w:rFonts w:ascii="Cambria Math" w:eastAsia="Cambria Math"/>
          <w:w w:val="54"/>
          <w:sz w:val="17"/>
        </w:rPr>
        <w:t>𝐵</w:t>
      </w:r>
      <w:r>
        <w:rPr>
          <w:rFonts w:ascii="Cambria Math" w:eastAsia="Cambria Math"/>
          <w:w w:val="26"/>
          <w:sz w:val="17"/>
        </w:rPr>
        <w:t>𝐵𝐵</w:t>
      </w:r>
      <w:r>
        <w:rPr>
          <w:rFonts w:ascii="Cambria Math" w:eastAsia="Cambria Math"/>
          <w:w w:val="54"/>
          <w:sz w:val="17"/>
        </w:rPr>
        <w:t>𝐶</w:t>
      </w:r>
      <w:r>
        <w:rPr>
          <w:rFonts w:ascii="Cambria Math" w:eastAsia="Cambria Math"/>
          <w:spacing w:val="-1"/>
          <w:w w:val="54"/>
          <w:sz w:val="17"/>
        </w:rPr>
        <w:t>𝐶</w:t>
      </w:r>
      <w:r>
        <w:rPr>
          <w:rFonts w:ascii="Cambria Math" w:eastAsia="Cambria Math"/>
          <w:w w:val="59"/>
          <w:sz w:val="17"/>
        </w:rPr>
        <w:t>𝑝𝑝</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52"/>
          <w:sz w:val="17"/>
        </w:rPr>
        <w:t>𝑠𝑠</w:t>
      </w:r>
      <w:r>
        <w:rPr>
          <w:rFonts w:ascii="Cambria Math" w:eastAsia="Cambria Math"/>
          <w:w w:val="56"/>
          <w:sz w:val="17"/>
        </w:rPr>
        <w:t>𝑝</w:t>
      </w:r>
      <w:r>
        <w:rPr>
          <w:rFonts w:ascii="Cambria Math" w:eastAsia="Cambria Math"/>
          <w:spacing w:val="-1"/>
          <w:w w:val="56"/>
          <w:sz w:val="17"/>
        </w:rPr>
        <w:t>𝑝</w:t>
      </w:r>
      <w:r>
        <w:rPr>
          <w:rFonts w:ascii="Cambria Math" w:eastAsia="Cambria Math"/>
          <w:spacing w:val="-1"/>
          <w:w w:val="45"/>
          <w:sz w:val="17"/>
        </w:rPr>
        <w:t>𝐵𝐵𝐵𝐵𝑑</w:t>
      </w:r>
      <w:r>
        <w:rPr>
          <w:rFonts w:ascii="Cambria Math" w:eastAsia="Cambria Math"/>
          <w:w w:val="45"/>
          <w:sz w:val="17"/>
        </w:rPr>
        <w:t>𝑑</w:t>
      </w:r>
      <w:r>
        <w:rPr>
          <w:rFonts w:ascii="Cambria Math" w:eastAsia="Cambria Math"/>
          <w:sz w:val="17"/>
        </w:rPr>
        <w:t> </w:t>
      </w:r>
      <w:r>
        <w:rPr>
          <w:rFonts w:ascii="Cambria Math" w:eastAsia="Cambria Math"/>
          <w:spacing w:val="-7"/>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w:t>
      </w:r>
      <w:r>
        <w:rPr>
          <w:rFonts w:ascii="Cambria Math" w:eastAsia="Cambria Math"/>
          <w:spacing w:val="-1"/>
          <w:w w:val="43"/>
          <w:sz w:val="17"/>
        </w:rPr>
        <w:t>𝐶</w:t>
      </w:r>
      <w:r>
        <w:rPr>
          <w:rFonts w:ascii="Cambria Math" w:eastAsia="Cambria Math"/>
          <w:w w:val="79"/>
          <w:sz w:val="17"/>
        </w:rPr>
        <w:t>𝑡𝑡</w:t>
      </w:r>
      <w:r>
        <w:rPr>
          <w:rFonts w:ascii="Cambria Math" w:eastAsia="Cambria Math"/>
          <w:w w:val="44"/>
          <w:sz w:val="17"/>
        </w:rPr>
        <w:t>𝑡</w:t>
      </w:r>
      <w:r>
        <w:rPr>
          <w:rFonts w:ascii="Cambria Math" w:eastAsia="Cambria Math"/>
          <w:spacing w:val="4"/>
          <w:w w:val="44"/>
          <w:sz w:val="17"/>
        </w:rPr>
        <w:t>𝑡</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49"/>
          <w:sz w:val="17"/>
        </w:rPr>
        <w:t>𝐶𝐶</w:t>
      </w:r>
      <w:r>
        <w:rPr>
          <w:rFonts w:ascii="Cambria Math" w:eastAsia="Cambria Math"/>
          <w:w w:val="56"/>
          <w:sz w:val="17"/>
        </w:rPr>
        <w:t>𝑝</w:t>
      </w:r>
      <w:r>
        <w:rPr>
          <w:rFonts w:ascii="Cambria Math" w:eastAsia="Cambria Math"/>
          <w:spacing w:val="-1"/>
          <w:w w:val="56"/>
          <w:sz w:val="17"/>
        </w:rPr>
        <w:t>𝑝</w:t>
      </w:r>
      <w:r>
        <w:rPr>
          <w:rFonts w:ascii="Cambria Math" w:eastAsia="Cambria Math"/>
          <w:w w:val="54"/>
          <w:sz w:val="17"/>
        </w:rPr>
        <w:t>𝐶</w:t>
      </w:r>
      <w:r>
        <w:rPr>
          <w:rFonts w:ascii="Cambria Math" w:eastAsia="Cambria Math"/>
          <w:spacing w:val="-1"/>
          <w:w w:val="54"/>
          <w:sz w:val="17"/>
        </w:rPr>
        <w:t>𝐶</w:t>
      </w:r>
      <w:r>
        <w:rPr>
          <w:rFonts w:ascii="Cambria Math" w:eastAsia="Cambria Math"/>
          <w:w w:val="44"/>
          <w:sz w:val="17"/>
        </w:rPr>
        <w:t>𝑡</w:t>
      </w:r>
      <w:r>
        <w:rPr>
          <w:rFonts w:ascii="Cambria Math" w:eastAsia="Cambria Math"/>
          <w:spacing w:val="-1"/>
          <w:w w:val="44"/>
          <w:sz w:val="17"/>
        </w:rPr>
        <w:t>𝑡</w:t>
      </w:r>
      <w:r>
        <w:rPr>
          <w:rFonts w:ascii="Cambria Math" w:eastAsia="Cambria Math"/>
          <w:w w:val="79"/>
          <w:sz w:val="17"/>
        </w:rPr>
        <w:t>𝑡</w:t>
      </w:r>
      <w:r>
        <w:rPr>
          <w:rFonts w:ascii="Cambria Math" w:eastAsia="Cambria Math"/>
          <w:spacing w:val="-1"/>
          <w:w w:val="79"/>
          <w:sz w:val="17"/>
        </w:rPr>
        <w:t>𝑡</w:t>
      </w:r>
      <w:r>
        <w:rPr>
          <w:rFonts w:ascii="Cambria Math" w:eastAsia="Cambria Math"/>
          <w:w w:val="36"/>
          <w:sz w:val="17"/>
        </w:rPr>
        <w:t>𝐶𝐶</w:t>
      </w:r>
      <w:r>
        <w:rPr>
          <w:rFonts w:ascii="Cambria Math" w:eastAsia="Cambria Math"/>
          <w:w w:val="26"/>
          <w:sz w:val="17"/>
        </w:rPr>
        <w:t>𝐵</w:t>
      </w:r>
      <w:r>
        <w:rPr>
          <w:rFonts w:ascii="Cambria Math" w:eastAsia="Cambria Math"/>
          <w:spacing w:val="-1"/>
          <w:w w:val="26"/>
          <w:sz w:val="17"/>
        </w:rPr>
        <w:t>𝐵</w:t>
      </w:r>
      <w:r>
        <w:rPr>
          <w:rFonts w:ascii="Cambria Math" w:eastAsia="Cambria Math"/>
          <w:w w:val="52"/>
          <w:sz w:val="17"/>
        </w:rPr>
        <w:t>𝐶𝐶𝐶𝐶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w:t>
      </w:r>
    </w:p>
    <w:p>
      <w:pPr>
        <w:spacing w:after="0" w:line="309" w:lineRule="exact"/>
        <w:jc w:val="left"/>
        <w:rPr>
          <w:rFonts w:ascii="Cambria Math" w:eastAsia="Cambria Math"/>
          <w:sz w:val="24"/>
        </w:rPr>
        <w:sectPr>
          <w:pgSz w:w="12240" w:h="15840"/>
          <w:pgMar w:header="0" w:footer="709" w:top="880" w:bottom="980" w:left="1120" w:right="0"/>
        </w:sectPr>
      </w:pPr>
    </w:p>
    <w:p>
      <w:pPr>
        <w:spacing w:before="8"/>
        <w:ind w:left="320" w:right="0" w:firstLine="0"/>
        <w:jc w:val="left"/>
        <w:rPr>
          <w:rFonts w:ascii="Cambria Math" w:eastAsia="Cambria Math"/>
          <w:sz w:val="14"/>
        </w:rPr>
      </w:pPr>
      <w:r>
        <w:rPr>
          <w:rFonts w:ascii="Cambria Math" w:eastAsia="Cambria Math"/>
          <w:w w:val="50"/>
          <w:position w:val="9"/>
          <w:sz w:val="24"/>
        </w:rPr>
        <w:t>𝛽</w:t>
      </w:r>
      <w:r>
        <w:rPr>
          <w:rFonts w:ascii="Cambria Math" w:eastAsia="Cambria Math"/>
          <w:spacing w:val="-16"/>
          <w:w w:val="50"/>
          <w:position w:val="9"/>
          <w:sz w:val="24"/>
        </w:rPr>
        <w:t>𝛽</w:t>
      </w:r>
      <w:r>
        <w:rPr>
          <w:rFonts w:ascii="Cambria Math" w:eastAsia="Cambria Math"/>
          <w:w w:val="36"/>
          <w:position w:val="4"/>
          <w:sz w:val="17"/>
        </w:rPr>
        <w:t>𝐶𝐶</w:t>
      </w:r>
      <w:r>
        <w:rPr>
          <w:rFonts w:ascii="Cambria Math" w:eastAsia="Cambria Math"/>
          <w:w w:val="43"/>
          <w:position w:val="4"/>
          <w:sz w:val="17"/>
        </w:rPr>
        <w:t>𝐶𝐶𝐶𝐶</w:t>
      </w:r>
      <w:r>
        <w:rPr>
          <w:rFonts w:ascii="Cambria Math" w:eastAsia="Cambria Math"/>
          <w:w w:val="79"/>
          <w:position w:val="4"/>
          <w:sz w:val="17"/>
        </w:rPr>
        <w:t>𝑡</w:t>
      </w:r>
      <w:r>
        <w:rPr>
          <w:rFonts w:ascii="Cambria Math" w:eastAsia="Cambria Math"/>
          <w:spacing w:val="2"/>
          <w:w w:val="79"/>
          <w:position w:val="4"/>
          <w:sz w:val="17"/>
        </w:rPr>
        <w:t>𝑡</w:t>
      </w:r>
      <w:r>
        <w:rPr>
          <w:rFonts w:ascii="Cambria Math" w:eastAsia="Cambria Math"/>
          <w:w w:val="44"/>
          <w:position w:val="4"/>
          <w:sz w:val="17"/>
        </w:rPr>
        <w:t>𝑡</w:t>
      </w:r>
      <w:r>
        <w:rPr>
          <w:rFonts w:ascii="Cambria Math" w:eastAsia="Cambria Math"/>
          <w:spacing w:val="-1"/>
          <w:w w:val="44"/>
          <w:position w:val="4"/>
          <w:sz w:val="17"/>
        </w:rPr>
        <w:t>𝑡</w:t>
      </w:r>
      <w:r>
        <w:rPr>
          <w:rFonts w:ascii="Cambria Math" w:eastAsia="Cambria Math"/>
          <w:spacing w:val="-1"/>
          <w:w w:val="66"/>
          <w:sz w:val="14"/>
        </w:rPr>
        <w:t>𝑡𝑡𝑡𝑡</w:t>
      </w:r>
      <w:r>
        <w:rPr>
          <w:rFonts w:ascii="Cambria Math" w:eastAsia="Cambria Math"/>
          <w:w w:val="85"/>
          <w:sz w:val="14"/>
        </w:rPr>
        <w:t>𝑡</w:t>
      </w:r>
      <w:r>
        <w:rPr>
          <w:rFonts w:ascii="Cambria Math" w:eastAsia="Cambria Math"/>
          <w:spacing w:val="-1"/>
          <w:w w:val="85"/>
          <w:sz w:val="14"/>
        </w:rPr>
        <w:t>𝑡</w:t>
      </w:r>
      <w:r>
        <w:rPr>
          <w:rFonts w:ascii="Cambria Math" w:eastAsia="Cambria Math"/>
          <w:spacing w:val="-1"/>
          <w:w w:val="69"/>
          <w:sz w:val="14"/>
        </w:rPr>
        <w:t>𝑡𝑡𝑡𝑡𝑡</w:t>
      </w:r>
      <w:r>
        <w:rPr>
          <w:rFonts w:ascii="Cambria Math" w:eastAsia="Cambria Math"/>
          <w:w w:val="69"/>
          <w:sz w:val="14"/>
        </w:rPr>
        <w:t>𝑡</w:t>
      </w:r>
      <w:r>
        <w:rPr>
          <w:rFonts w:ascii="Cambria Math" w:eastAsia="Cambria Math"/>
          <w:w w:val="58"/>
          <w:sz w:val="14"/>
        </w:rPr>
        <w:t>𝑐𝑐</w:t>
      </w:r>
    </w:p>
    <w:p>
      <w:pPr>
        <w:pStyle w:val="BodyText"/>
        <w:spacing w:before="5"/>
        <w:rPr>
          <w:rFonts w:ascii="Cambria Math"/>
          <w:sz w:val="20"/>
        </w:rPr>
      </w:pPr>
      <w:r>
        <w:rPr/>
        <w:br w:type="column"/>
      </w:r>
      <w:r>
        <w:rPr>
          <w:rFonts w:ascii="Cambria Math"/>
          <w:sz w:val="20"/>
        </w:rPr>
      </w:r>
    </w:p>
    <w:p>
      <w:pPr>
        <w:spacing w:line="122" w:lineRule="exact" w:before="0"/>
        <w:ind w:left="-40" w:right="0" w:firstLine="0"/>
        <w:jc w:val="left"/>
        <w:rPr>
          <w:rFonts w:ascii="Cambria Math" w:eastAsia="Cambria Math"/>
          <w:sz w:val="14"/>
        </w:rPr>
      </w:pPr>
      <w:r>
        <w:rPr>
          <w:rFonts w:ascii="Cambria Math" w:eastAsia="Cambria Math"/>
          <w:w w:val="85"/>
          <w:sz w:val="14"/>
        </w:rPr>
        <w:t>𝑙𝑙𝑡𝑡𝑙𝑙𝑙𝑙</w:t>
      </w:r>
    </w:p>
    <w:p>
      <w:pPr>
        <w:spacing w:before="2"/>
        <w:ind w:left="34" w:right="0" w:firstLine="0"/>
        <w:jc w:val="left"/>
        <w:rPr>
          <w:rFonts w:ascii="Cambria Math" w:eastAsia="Cambria Math"/>
          <w:sz w:val="24"/>
        </w:rPr>
      </w:pPr>
      <w:r>
        <w:rPr/>
        <w:br w:type="column"/>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8"/>
          <w:w w:val="50"/>
          <w:position w:val="5"/>
          <w:sz w:val="24"/>
        </w:rPr>
        <w:t>𝛽</w:t>
      </w:r>
      <w:r>
        <w:rPr>
          <w:rFonts w:ascii="Cambria Math" w:eastAsia="Cambria Math"/>
          <w:w w:val="58"/>
          <w:sz w:val="17"/>
        </w:rPr>
        <w:t>𝑆</w:t>
      </w:r>
      <w:r>
        <w:rPr>
          <w:rFonts w:ascii="Cambria Math" w:eastAsia="Cambria Math"/>
          <w:spacing w:val="-1"/>
          <w:w w:val="58"/>
          <w:sz w:val="17"/>
        </w:rPr>
        <w:t>𝑆</w:t>
      </w:r>
      <w:r>
        <w:rPr>
          <w:rFonts w:ascii="Cambria Math" w:eastAsia="Cambria Math"/>
          <w:w w:val="82"/>
          <w:sz w:val="17"/>
        </w:rPr>
        <w:t>𝑇</w:t>
      </w:r>
      <w:r>
        <w:rPr>
          <w:rFonts w:ascii="Cambria Math" w:eastAsia="Cambria Math"/>
          <w:spacing w:val="-1"/>
          <w:w w:val="82"/>
          <w:sz w:val="17"/>
        </w:rPr>
        <w:t>𝑇</w:t>
      </w:r>
      <w:r>
        <w:rPr>
          <w:rFonts w:ascii="Cambria Math" w:eastAsia="Cambria Math"/>
          <w:w w:val="51"/>
          <w:sz w:val="17"/>
        </w:rPr>
        <w:t>𝐿𝐿</w:t>
      </w:r>
      <w:r>
        <w:rPr>
          <w:rFonts w:ascii="Cambria Math" w:eastAsia="Cambria Math"/>
          <w:w w:val="58"/>
          <w:sz w:val="17"/>
        </w:rPr>
        <w:t>𝑆</w:t>
      </w:r>
      <w:r>
        <w:rPr>
          <w:rFonts w:ascii="Cambria Math" w:eastAsia="Cambria Math"/>
          <w:spacing w:val="-1"/>
          <w:w w:val="58"/>
          <w:sz w:val="17"/>
        </w:rPr>
        <w:t>𝑆</w:t>
      </w:r>
      <w:r>
        <w:rPr>
          <w:rFonts w:ascii="Cambria Math" w:eastAsia="Cambria Math"/>
          <w:w w:val="51"/>
          <w:sz w:val="17"/>
        </w:rPr>
        <w:t>𝐿𝐿</w:t>
      </w:r>
      <w:r>
        <w:rPr>
          <w:rFonts w:ascii="Cambria Math" w:eastAsia="Cambria Math"/>
          <w:sz w:val="17"/>
        </w:rPr>
        <w:t> </w:t>
      </w:r>
      <w:r>
        <w:rPr>
          <w:rFonts w:ascii="Cambria Math" w:eastAsia="Cambria Math"/>
          <w:spacing w:val="-8"/>
          <w:sz w:val="17"/>
        </w:rPr>
        <w:t> </w:t>
      </w:r>
      <w:r>
        <w:rPr>
          <w:rFonts w:ascii="Cambria Math" w:eastAsia="Cambria Math"/>
          <w:i/>
          <w:w w:val="96"/>
          <w:position w:val="5"/>
          <w:sz w:val="25"/>
        </w:rPr>
        <w:t>-</w:t>
      </w:r>
      <w:r>
        <w:rPr>
          <w:rFonts w:ascii="Cambria Math" w:eastAsia="Cambria Math"/>
          <w:i/>
          <w:spacing w:val="-3"/>
          <w:position w:val="5"/>
          <w:sz w:val="25"/>
        </w:rPr>
        <w:t> </w:t>
      </w:r>
      <w:r>
        <w:rPr>
          <w:rFonts w:ascii="Cambria Math" w:eastAsia="Cambria Math"/>
          <w:i/>
          <w:w w:val="96"/>
          <w:position w:val="5"/>
          <w:sz w:val="25"/>
        </w:rPr>
        <w:t>(</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104"/>
          <w:sz w:val="17"/>
        </w:rPr>
        <w:t>0</w:t>
      </w:r>
      <w:r>
        <w:rPr>
          <w:rFonts w:ascii="Cambria Math" w:eastAsia="Cambria Math"/>
          <w:sz w:val="17"/>
        </w:rPr>
        <w:t> </w:t>
      </w:r>
      <w:r>
        <w:rPr>
          <w:rFonts w:ascii="Cambria Math" w:eastAsia="Cambria Math"/>
          <w:spacing w:val="-12"/>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spacing w:val="-1"/>
          <w:w w:val="73"/>
          <w:sz w:val="17"/>
        </w:rPr>
        <w:t>𝑡𝑡𝑡</w:t>
      </w:r>
      <w:r>
        <w:rPr>
          <w:rFonts w:ascii="Cambria Math" w:eastAsia="Cambria Math"/>
          <w:w w:val="73"/>
          <w:sz w:val="17"/>
        </w:rPr>
        <w:t>𝑡</w:t>
      </w:r>
      <w:r>
        <w:rPr>
          <w:rFonts w:ascii="Cambria Math" w:eastAsia="Cambria Math"/>
          <w:spacing w:val="-1"/>
          <w:w w:val="76"/>
          <w:sz w:val="17"/>
        </w:rPr>
        <w:t>𝑡𝑡𝑡𝑡</w:t>
      </w:r>
      <w:r>
        <w:rPr>
          <w:rFonts w:ascii="Cambria Math" w:eastAsia="Cambria Math"/>
          <w:w w:val="26"/>
          <w:sz w:val="17"/>
        </w:rPr>
        <w:t>𝐵𝐵</w:t>
      </w:r>
      <w:r>
        <w:rPr>
          <w:rFonts w:ascii="Cambria Math" w:eastAsia="Cambria Math"/>
          <w:w w:val="64"/>
          <w:sz w:val="17"/>
        </w:rPr>
        <w:t>𝑡</w:t>
      </w:r>
      <w:r>
        <w:rPr>
          <w:rFonts w:ascii="Cambria Math" w:eastAsia="Cambria Math"/>
          <w:spacing w:val="3"/>
          <w:w w:val="64"/>
          <w:sz w:val="17"/>
        </w:rPr>
        <w:t>𝑡</w:t>
      </w:r>
      <w:r>
        <w:rPr>
          <w:rFonts w:ascii="Cambria Math" w:eastAsia="Cambria Math"/>
          <w:w w:val="100"/>
          <w:sz w:val="17"/>
        </w:rPr>
        <w:t>_</w:t>
      </w:r>
      <w:r>
        <w:rPr>
          <w:rFonts w:ascii="Cambria Math" w:eastAsia="Cambria Math"/>
          <w:w w:val="55"/>
          <w:sz w:val="17"/>
        </w:rPr>
        <w:t>𝑑𝑑</w:t>
      </w:r>
      <w:r>
        <w:rPr>
          <w:rFonts w:ascii="Cambria Math" w:eastAsia="Cambria Math"/>
          <w:w w:val="26"/>
          <w:sz w:val="17"/>
        </w:rPr>
        <w:t>𝐵𝐵</w:t>
      </w:r>
      <w:r>
        <w:rPr>
          <w:rFonts w:ascii="Cambria Math" w:eastAsia="Cambria Math"/>
          <w:w w:val="67"/>
          <w:sz w:val="17"/>
        </w:rPr>
        <w:t>𝑡</w:t>
      </w:r>
      <w:r>
        <w:rPr>
          <w:rFonts w:ascii="Cambria Math" w:eastAsia="Cambria Math"/>
          <w:spacing w:val="-1"/>
          <w:w w:val="67"/>
          <w:sz w:val="17"/>
        </w:rPr>
        <w:t>𝑡</w:t>
      </w:r>
      <w:r>
        <w:rPr>
          <w:rFonts w:ascii="Cambria Math" w:eastAsia="Cambria Math"/>
          <w:w w:val="41"/>
          <w:sz w:val="17"/>
        </w:rPr>
        <w:t>𝐵</w:t>
      </w:r>
      <w:r>
        <w:rPr>
          <w:rFonts w:ascii="Cambria Math" w:eastAsia="Cambria Math"/>
          <w:spacing w:val="-1"/>
          <w:w w:val="41"/>
          <w:sz w:val="17"/>
        </w:rPr>
        <w:t>𝐵</w:t>
      </w:r>
      <w:r>
        <w:rPr>
          <w:rFonts w:ascii="Cambria Math" w:eastAsia="Cambria Math"/>
          <w:spacing w:val="-1"/>
          <w:w w:val="47"/>
          <w:sz w:val="17"/>
        </w:rPr>
        <w:t>𝑡𝑡𝐶</w:t>
      </w:r>
      <w:r>
        <w:rPr>
          <w:rFonts w:ascii="Cambria Math" w:eastAsia="Cambria Math"/>
          <w:w w:val="47"/>
          <w:sz w:val="17"/>
        </w:rPr>
        <w:t>𝐶</w:t>
      </w:r>
      <w:r>
        <w:rPr>
          <w:rFonts w:ascii="Cambria Math" w:eastAsia="Cambria Math"/>
          <w:w w:val="26"/>
          <w:sz w:val="17"/>
        </w:rPr>
        <w:t>𝐵</w:t>
      </w:r>
      <w:r>
        <w:rPr>
          <w:rFonts w:ascii="Cambria Math" w:eastAsia="Cambria Math"/>
          <w:spacing w:val="-1"/>
          <w:w w:val="26"/>
          <w:sz w:val="17"/>
        </w:rPr>
        <w:t>𝐵</w:t>
      </w:r>
      <w:r>
        <w:rPr>
          <w:rFonts w:ascii="Cambria Math" w:eastAsia="Cambria Math"/>
          <w:w w:val="49"/>
          <w:sz w:val="17"/>
        </w:rPr>
        <w:t>𝐶𝐶</w:t>
      </w:r>
      <w:r>
        <w:rPr>
          <w:rFonts w:ascii="Cambria Math" w:eastAsia="Cambria Math"/>
          <w:w w:val="54"/>
          <w:sz w:val="17"/>
        </w:rPr>
        <w:t>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49"/>
          <w:sz w:val="17"/>
        </w:rPr>
        <w:t>𝐶𝐶</w:t>
      </w:r>
      <w:r>
        <w:rPr>
          <w:rFonts w:ascii="Cambria Math" w:eastAsia="Cambria Math"/>
          <w:w w:val="54"/>
          <w:sz w:val="17"/>
        </w:rPr>
        <w:t>𝐶</w:t>
      </w:r>
      <w:r>
        <w:rPr>
          <w:rFonts w:ascii="Cambria Math" w:eastAsia="Cambria Math"/>
          <w:spacing w:val="2"/>
          <w:w w:val="54"/>
          <w:sz w:val="17"/>
        </w:rPr>
        <w:t>𝐶</w:t>
      </w:r>
      <w:r>
        <w:rPr>
          <w:rFonts w:ascii="Cambria Math" w:eastAsia="Cambria Math"/>
          <w:w w:val="100"/>
          <w:sz w:val="17"/>
        </w:rPr>
        <w:t>_</w:t>
      </w:r>
      <w:r>
        <w:rPr>
          <w:rFonts w:ascii="Cambria Math" w:eastAsia="Cambria Math"/>
          <w:w w:val="52"/>
          <w:sz w:val="17"/>
        </w:rPr>
        <w:t>𝑠𝑠</w:t>
      </w:r>
      <w:r>
        <w:rPr>
          <w:rFonts w:ascii="Cambria Math" w:eastAsia="Cambria Math"/>
          <w:w w:val="36"/>
          <w:sz w:val="17"/>
        </w:rPr>
        <w:t>𝐶𝐶</w:t>
      </w:r>
      <w:r>
        <w:rPr>
          <w:rFonts w:ascii="Cambria Math" w:eastAsia="Cambria Math"/>
          <w:w w:val="67"/>
          <w:sz w:val="17"/>
        </w:rPr>
        <w:t>𝑡</w:t>
      </w:r>
      <w:r>
        <w:rPr>
          <w:rFonts w:ascii="Cambria Math" w:eastAsia="Cambria Math"/>
          <w:spacing w:val="-1"/>
          <w:w w:val="67"/>
          <w:sz w:val="17"/>
        </w:rPr>
        <w:t>𝑡</w:t>
      </w:r>
      <w:r>
        <w:rPr>
          <w:rFonts w:ascii="Cambria Math" w:eastAsia="Cambria Math"/>
          <w:spacing w:val="-2"/>
          <w:w w:val="41"/>
          <w:sz w:val="17"/>
        </w:rPr>
        <w:t>𝐵𝐵𝐵</w:t>
      </w:r>
      <w:r>
        <w:rPr>
          <w:rFonts w:ascii="Cambria Math" w:eastAsia="Cambria Math"/>
          <w:spacing w:val="-1"/>
          <w:w w:val="41"/>
          <w:sz w:val="17"/>
        </w:rPr>
        <w:t>𝐵</w:t>
      </w:r>
      <w:r>
        <w:rPr>
          <w:rFonts w:ascii="Cambria Math" w:eastAsia="Cambria Math"/>
          <w:w w:val="36"/>
          <w:sz w:val="17"/>
        </w:rPr>
        <w:t>𝐶</w:t>
      </w:r>
      <w:r>
        <w:rPr>
          <w:rFonts w:ascii="Cambria Math" w:eastAsia="Cambria Math"/>
          <w:spacing w:val="2"/>
          <w:w w:val="36"/>
          <w:sz w:val="17"/>
        </w:rPr>
        <w:t>𝐶</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79"/>
          <w:sz w:val="17"/>
        </w:rPr>
        <w:t>𝑡𝑡</w:t>
      </w:r>
      <w:r>
        <w:rPr>
          <w:rFonts w:ascii="Cambria Math" w:eastAsia="Cambria Math"/>
          <w:spacing w:val="-1"/>
          <w:w w:val="54"/>
          <w:sz w:val="17"/>
        </w:rPr>
        <w:t>𝑡𝑡𝐵</w:t>
      </w:r>
      <w:r>
        <w:rPr>
          <w:rFonts w:ascii="Cambria Math" w:eastAsia="Cambria Math"/>
          <w:w w:val="54"/>
          <w:sz w:val="17"/>
        </w:rPr>
        <w:t>𝐵</w:t>
      </w:r>
      <w:r>
        <w:rPr>
          <w:rFonts w:ascii="Cambria Math" w:eastAsia="Cambria Math"/>
          <w:w w:val="26"/>
          <w:sz w:val="17"/>
        </w:rPr>
        <w:t>𝐵𝐵</w:t>
      </w:r>
      <w:r>
        <w:rPr>
          <w:rFonts w:ascii="Cambria Math" w:eastAsia="Cambria Math"/>
          <w:w w:val="54"/>
          <w:sz w:val="17"/>
        </w:rPr>
        <w:t>𝐶</w:t>
      </w:r>
      <w:r>
        <w:rPr>
          <w:rFonts w:ascii="Cambria Math" w:eastAsia="Cambria Math"/>
          <w:spacing w:val="-1"/>
          <w:w w:val="54"/>
          <w:sz w:val="17"/>
        </w:rPr>
        <w:t>𝐶</w:t>
      </w:r>
      <w:r>
        <w:rPr>
          <w:rFonts w:ascii="Cambria Math" w:eastAsia="Cambria Math"/>
          <w:w w:val="59"/>
          <w:sz w:val="17"/>
        </w:rPr>
        <w:t>𝑝𝑝</w:t>
      </w:r>
      <w:r>
        <w:rPr>
          <w:rFonts w:ascii="Cambria Math" w:eastAsia="Cambria Math"/>
          <w:sz w:val="17"/>
        </w:rPr>
        <w:t> </w:t>
      </w:r>
      <w:r>
        <w:rPr>
          <w:rFonts w:ascii="Cambria Math" w:eastAsia="Cambria Math"/>
          <w:spacing w:val="-10"/>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52"/>
          <w:sz w:val="17"/>
        </w:rPr>
        <w:t>𝑠𝑠</w:t>
      </w:r>
      <w:r>
        <w:rPr>
          <w:rFonts w:ascii="Cambria Math" w:eastAsia="Cambria Math"/>
          <w:w w:val="56"/>
          <w:sz w:val="17"/>
        </w:rPr>
        <w:t>𝑝</w:t>
      </w:r>
      <w:r>
        <w:rPr>
          <w:rFonts w:ascii="Cambria Math" w:eastAsia="Cambria Math"/>
          <w:spacing w:val="-1"/>
          <w:w w:val="56"/>
          <w:sz w:val="17"/>
        </w:rPr>
        <w:t>𝑝</w:t>
      </w:r>
      <w:r>
        <w:rPr>
          <w:rFonts w:ascii="Cambria Math" w:eastAsia="Cambria Math"/>
          <w:spacing w:val="-1"/>
          <w:w w:val="45"/>
          <w:sz w:val="17"/>
        </w:rPr>
        <w:t>𝐵𝐵𝐵𝐵𝑑</w:t>
      </w:r>
      <w:r>
        <w:rPr>
          <w:rFonts w:ascii="Cambria Math" w:eastAsia="Cambria Math"/>
          <w:w w:val="45"/>
          <w:sz w:val="17"/>
        </w:rPr>
        <w:t>𝑑</w:t>
      </w:r>
      <w:r>
        <w:rPr>
          <w:rFonts w:ascii="Cambria Math" w:eastAsia="Cambria Math"/>
          <w:sz w:val="17"/>
        </w:rPr>
        <w:t> </w:t>
      </w:r>
      <w:r>
        <w:rPr>
          <w:rFonts w:ascii="Cambria Math" w:eastAsia="Cambria Math"/>
          <w:spacing w:val="-8"/>
          <w:sz w:val="17"/>
        </w:rPr>
        <w:t> </w:t>
      </w:r>
      <w:r>
        <w:rPr>
          <w:rFonts w:ascii="Cambria Math" w:eastAsia="Cambria Math"/>
          <w:position w:val="5"/>
          <w:sz w:val="24"/>
        </w:rPr>
        <w:t>+</w:t>
      </w:r>
    </w:p>
    <w:p>
      <w:pPr>
        <w:spacing w:after="0"/>
        <w:jc w:val="left"/>
        <w:rPr>
          <w:rFonts w:ascii="Cambria Math" w:eastAsia="Cambria Math"/>
          <w:sz w:val="24"/>
        </w:rPr>
        <w:sectPr>
          <w:type w:val="continuous"/>
          <w:pgSz w:w="12240" w:h="15840"/>
          <w:pgMar w:top="1500" w:bottom="280" w:left="1120" w:right="0"/>
          <w:cols w:num="3" w:equalWidth="0">
            <w:col w:w="1417" w:space="40"/>
            <w:col w:w="288" w:space="39"/>
            <w:col w:w="9336"/>
          </w:cols>
        </w:sectPr>
      </w:pPr>
    </w:p>
    <w:p>
      <w:pPr>
        <w:spacing w:before="2"/>
        <w:ind w:left="320" w:right="0" w:firstLine="0"/>
        <w:jc w:val="left"/>
        <w:rPr>
          <w:rFonts w:ascii="Cambria Math" w:eastAsia="Cambria Math"/>
          <w:sz w:val="17"/>
        </w:rPr>
      </w:pP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𝐶𝐶𝐶𝐶</w:t>
      </w:r>
      <w:r>
        <w:rPr>
          <w:rFonts w:ascii="Cambria Math" w:eastAsia="Cambria Math"/>
          <w:w w:val="79"/>
          <w:sz w:val="17"/>
        </w:rPr>
        <w:t>𝑡</w:t>
      </w:r>
      <w:r>
        <w:rPr>
          <w:rFonts w:ascii="Cambria Math" w:eastAsia="Cambria Math"/>
          <w:spacing w:val="-1"/>
          <w:w w:val="79"/>
          <w:sz w:val="17"/>
        </w:rPr>
        <w:t>𝑡</w:t>
      </w:r>
      <w:r>
        <w:rPr>
          <w:rFonts w:ascii="Cambria Math" w:eastAsia="Cambria Math"/>
          <w:w w:val="44"/>
          <w:sz w:val="17"/>
        </w:rPr>
        <w:t>𝑡</w:t>
      </w:r>
      <w:r>
        <w:rPr>
          <w:rFonts w:ascii="Cambria Math" w:eastAsia="Cambria Math"/>
          <w:spacing w:val="4"/>
          <w:w w:val="44"/>
          <w:sz w:val="17"/>
        </w:rPr>
        <w:t>𝑡</w:t>
      </w:r>
      <w:r>
        <w:rPr>
          <w:rFonts w:ascii="Cambria Math" w:eastAsia="Cambria Math"/>
          <w:w w:val="100"/>
          <w:sz w:val="17"/>
        </w:rPr>
        <w:t>_</w:t>
      </w:r>
      <w:r>
        <w:rPr>
          <w:rFonts w:ascii="Cambria Math" w:eastAsia="Cambria Math"/>
          <w:w w:val="56"/>
          <w:sz w:val="17"/>
        </w:rPr>
        <w:t>𝑝</w:t>
      </w:r>
      <w:r>
        <w:rPr>
          <w:rFonts w:ascii="Cambria Math" w:eastAsia="Cambria Math"/>
          <w:spacing w:val="-1"/>
          <w:w w:val="56"/>
          <w:sz w:val="17"/>
        </w:rPr>
        <w:t>𝑝</w:t>
      </w:r>
      <w:r>
        <w:rPr>
          <w:rFonts w:ascii="Cambria Math" w:eastAsia="Cambria Math"/>
          <w:w w:val="49"/>
          <w:sz w:val="17"/>
        </w:rPr>
        <w:t>𝐶𝐶</w:t>
      </w:r>
      <w:r>
        <w:rPr>
          <w:rFonts w:ascii="Cambria Math" w:eastAsia="Cambria Math"/>
          <w:w w:val="56"/>
          <w:sz w:val="17"/>
        </w:rPr>
        <w:t>𝑝</w:t>
      </w:r>
      <w:r>
        <w:rPr>
          <w:rFonts w:ascii="Cambria Math" w:eastAsia="Cambria Math"/>
          <w:spacing w:val="-1"/>
          <w:w w:val="56"/>
          <w:sz w:val="17"/>
        </w:rPr>
        <w:t>𝑝</w:t>
      </w:r>
      <w:r>
        <w:rPr>
          <w:rFonts w:ascii="Cambria Math" w:eastAsia="Cambria Math"/>
          <w:w w:val="54"/>
          <w:sz w:val="17"/>
        </w:rPr>
        <w:t>𝐶</w:t>
      </w:r>
      <w:r>
        <w:rPr>
          <w:rFonts w:ascii="Cambria Math" w:eastAsia="Cambria Math"/>
          <w:spacing w:val="-1"/>
          <w:w w:val="54"/>
          <w:sz w:val="17"/>
        </w:rPr>
        <w:t>𝐶</w:t>
      </w:r>
      <w:r>
        <w:rPr>
          <w:rFonts w:ascii="Cambria Math" w:eastAsia="Cambria Math"/>
          <w:w w:val="44"/>
          <w:sz w:val="17"/>
        </w:rPr>
        <w:t>𝑡</w:t>
      </w:r>
      <w:r>
        <w:rPr>
          <w:rFonts w:ascii="Cambria Math" w:eastAsia="Cambria Math"/>
          <w:spacing w:val="-1"/>
          <w:w w:val="44"/>
          <w:sz w:val="17"/>
        </w:rPr>
        <w:t>𝑡</w:t>
      </w:r>
      <w:r>
        <w:rPr>
          <w:rFonts w:ascii="Cambria Math" w:eastAsia="Cambria Math"/>
          <w:w w:val="79"/>
          <w:sz w:val="17"/>
        </w:rPr>
        <w:t>𝑡𝑡</w:t>
      </w:r>
      <w:r>
        <w:rPr>
          <w:rFonts w:ascii="Cambria Math" w:eastAsia="Cambria Math"/>
          <w:w w:val="36"/>
          <w:sz w:val="17"/>
        </w:rPr>
        <w:t>𝐶</w:t>
      </w:r>
      <w:r>
        <w:rPr>
          <w:rFonts w:ascii="Cambria Math" w:eastAsia="Cambria Math"/>
          <w:spacing w:val="-1"/>
          <w:w w:val="36"/>
          <w:sz w:val="17"/>
        </w:rPr>
        <w:t>𝐶</w:t>
      </w:r>
      <w:r>
        <w:rPr>
          <w:rFonts w:ascii="Cambria Math" w:eastAsia="Cambria Math"/>
          <w:w w:val="26"/>
          <w:sz w:val="17"/>
        </w:rPr>
        <w:t>𝐵𝐵</w:t>
      </w:r>
      <w:r>
        <w:rPr>
          <w:rFonts w:ascii="Cambria Math" w:eastAsia="Cambria Math"/>
          <w:w w:val="49"/>
          <w:sz w:val="17"/>
        </w:rPr>
        <w:t>𝐶</w:t>
      </w:r>
      <w:r>
        <w:rPr>
          <w:rFonts w:ascii="Cambria Math" w:eastAsia="Cambria Math"/>
          <w:spacing w:val="-1"/>
          <w:w w:val="49"/>
          <w:sz w:val="17"/>
        </w:rPr>
        <w:t>𝐶</w:t>
      </w:r>
      <w:r>
        <w:rPr>
          <w:rFonts w:ascii="Cambria Math" w:eastAsia="Cambria Math"/>
          <w:w w:val="54"/>
          <w:sz w:val="17"/>
        </w:rPr>
        <w:t>𝐶𝐶</w:t>
      </w:r>
      <w:r>
        <w:rPr>
          <w:rFonts w:ascii="Cambria Math" w:eastAsia="Cambria Math"/>
          <w:sz w:val="17"/>
        </w:rPr>
        <w:t> </w:t>
      </w:r>
      <w:r>
        <w:rPr>
          <w:rFonts w:ascii="Cambria Math" w:eastAsia="Cambria Math"/>
          <w:spacing w:val="-11"/>
          <w:sz w:val="17"/>
        </w:rPr>
        <w:t> </w:t>
      </w:r>
      <w:r>
        <w:rPr>
          <w:rFonts w:ascii="Cambria Math" w:eastAsia="Cambria Math"/>
          <w:position w:val="5"/>
          <w:sz w:val="24"/>
        </w:rPr>
        <w:t>+ </w:t>
      </w:r>
      <w:r>
        <w:rPr>
          <w:rFonts w:ascii="Cambria Math" w:eastAsia="Cambria Math"/>
          <w:w w:val="50"/>
          <w:position w:val="5"/>
          <w:sz w:val="24"/>
        </w:rPr>
        <w:t>𝛽</w:t>
      </w:r>
      <w:r>
        <w:rPr>
          <w:rFonts w:ascii="Cambria Math" w:eastAsia="Cambria Math"/>
          <w:spacing w:val="-16"/>
          <w:w w:val="50"/>
          <w:position w:val="5"/>
          <w:sz w:val="24"/>
        </w:rPr>
        <w:t>𝛽</w:t>
      </w:r>
      <w:r>
        <w:rPr>
          <w:rFonts w:ascii="Cambria Math" w:eastAsia="Cambria Math"/>
          <w:w w:val="36"/>
          <w:sz w:val="17"/>
        </w:rPr>
        <w:t>𝐶𝐶</w:t>
      </w:r>
      <w:r>
        <w:rPr>
          <w:rFonts w:ascii="Cambria Math" w:eastAsia="Cambria Math"/>
          <w:w w:val="43"/>
          <w:sz w:val="17"/>
        </w:rPr>
        <w:t>𝐶𝐶𝐶𝐶</w:t>
      </w:r>
      <w:r>
        <w:rPr>
          <w:rFonts w:ascii="Cambria Math" w:eastAsia="Cambria Math"/>
          <w:w w:val="79"/>
          <w:sz w:val="17"/>
        </w:rPr>
        <w:t>𝑡</w:t>
      </w:r>
      <w:r>
        <w:rPr>
          <w:rFonts w:ascii="Cambria Math" w:eastAsia="Cambria Math"/>
          <w:spacing w:val="-1"/>
          <w:w w:val="79"/>
          <w:sz w:val="17"/>
        </w:rPr>
        <w:t>𝑡</w:t>
      </w:r>
      <w:r>
        <w:rPr>
          <w:rFonts w:ascii="Cambria Math" w:eastAsia="Cambria Math"/>
          <w:w w:val="44"/>
          <w:sz w:val="17"/>
        </w:rPr>
        <w:t>𝑡</w:t>
      </w:r>
      <w:r>
        <w:rPr>
          <w:rFonts w:ascii="Cambria Math" w:eastAsia="Cambria Math"/>
          <w:spacing w:val="-1"/>
          <w:w w:val="44"/>
          <w:sz w:val="17"/>
        </w:rPr>
        <w:t>𝑡</w:t>
      </w:r>
      <w:r>
        <w:rPr>
          <w:rFonts w:ascii="Cambria Math" w:eastAsia="Cambria Math"/>
          <w:w w:val="100"/>
          <w:sz w:val="17"/>
        </w:rPr>
        <w:t>_</w:t>
      </w:r>
      <w:r>
        <w:rPr>
          <w:rFonts w:ascii="Cambria Math" w:eastAsia="Cambria Math"/>
          <w:w w:val="36"/>
          <w:sz w:val="17"/>
        </w:rPr>
        <w:t>𝐶</w:t>
      </w:r>
      <w:r>
        <w:rPr>
          <w:rFonts w:ascii="Cambria Math" w:eastAsia="Cambria Math"/>
          <w:spacing w:val="-1"/>
          <w:w w:val="36"/>
          <w:sz w:val="17"/>
        </w:rPr>
        <w:t>𝐶</w:t>
      </w:r>
      <w:r>
        <w:rPr>
          <w:rFonts w:ascii="Cambria Math" w:eastAsia="Cambria Math"/>
          <w:spacing w:val="-1"/>
          <w:w w:val="73"/>
          <w:sz w:val="17"/>
        </w:rPr>
        <w:t>𝑡𝑡𝑡</w:t>
      </w:r>
      <w:r>
        <w:rPr>
          <w:rFonts w:ascii="Cambria Math" w:eastAsia="Cambria Math"/>
          <w:w w:val="73"/>
          <w:sz w:val="17"/>
        </w:rPr>
        <w:t>𝑡</w:t>
      </w:r>
      <w:r>
        <w:rPr>
          <w:rFonts w:ascii="Cambria Math" w:eastAsia="Cambria Math"/>
          <w:spacing w:val="-1"/>
          <w:w w:val="76"/>
          <w:sz w:val="17"/>
        </w:rPr>
        <w:t>𝑡𝑡𝑡𝑡</w:t>
      </w:r>
      <w:r>
        <w:rPr>
          <w:rFonts w:ascii="Cambria Math" w:eastAsia="Cambria Math"/>
          <w:w w:val="26"/>
          <w:sz w:val="17"/>
        </w:rPr>
        <w:t>𝐵</w:t>
      </w:r>
      <w:r>
        <w:rPr>
          <w:rFonts w:ascii="Cambria Math" w:eastAsia="Cambria Math"/>
          <w:spacing w:val="-1"/>
          <w:w w:val="26"/>
          <w:sz w:val="17"/>
        </w:rPr>
        <w:t>𝐵</w:t>
      </w:r>
      <w:r>
        <w:rPr>
          <w:rFonts w:ascii="Cambria Math" w:eastAsia="Cambria Math"/>
          <w:w w:val="64"/>
          <w:sz w:val="17"/>
        </w:rPr>
        <w:t>𝑡</w:t>
      </w:r>
      <w:r>
        <w:rPr>
          <w:rFonts w:ascii="Cambria Math" w:eastAsia="Cambria Math"/>
          <w:spacing w:val="3"/>
          <w:w w:val="64"/>
          <w:sz w:val="17"/>
        </w:rPr>
        <w:t>𝑡</w:t>
      </w:r>
      <w:r>
        <w:rPr>
          <w:rFonts w:ascii="Cambria Math" w:eastAsia="Cambria Math"/>
          <w:w w:val="100"/>
          <w:sz w:val="17"/>
        </w:rPr>
        <w:t>_</w:t>
      </w:r>
      <w:r>
        <w:rPr>
          <w:rFonts w:ascii="Cambria Math" w:eastAsia="Cambria Math"/>
          <w:spacing w:val="-1"/>
          <w:w w:val="62"/>
          <w:sz w:val="17"/>
        </w:rPr>
        <w:t>𝑡𝑡𝑡</w:t>
      </w:r>
      <w:r>
        <w:rPr>
          <w:rFonts w:ascii="Cambria Math" w:eastAsia="Cambria Math"/>
          <w:w w:val="62"/>
          <w:sz w:val="17"/>
        </w:rPr>
        <w:t>𝑡</w:t>
      </w:r>
      <w:r>
        <w:rPr>
          <w:rFonts w:ascii="Cambria Math" w:eastAsia="Cambria Math"/>
          <w:spacing w:val="-1"/>
          <w:w w:val="47"/>
          <w:sz w:val="17"/>
        </w:rPr>
        <w:t>𝐶𝐶𝐵</w:t>
      </w:r>
      <w:r>
        <w:rPr>
          <w:rFonts w:ascii="Cambria Math" w:eastAsia="Cambria Math"/>
          <w:spacing w:val="14"/>
          <w:w w:val="47"/>
          <w:sz w:val="17"/>
        </w:rPr>
        <w:t>𝐵</w:t>
      </w:r>
      <w:r>
        <w:rPr>
          <w:rFonts w:ascii="Cambria Math" w:eastAsia="Cambria Math"/>
          <w:i/>
          <w:w w:val="96"/>
          <w:position w:val="5"/>
          <w:sz w:val="25"/>
        </w:rPr>
        <w:t>)</w:t>
      </w:r>
      <w:r>
        <w:rPr>
          <w:rFonts w:ascii="Cambria Math" w:eastAsia="Cambria Math"/>
          <w:i/>
          <w:spacing w:val="-3"/>
          <w:position w:val="5"/>
          <w:sz w:val="25"/>
        </w:rPr>
        <w:t> </w:t>
      </w:r>
      <w:r>
        <w:rPr>
          <w:rFonts w:ascii="Cambria Math" w:eastAsia="Cambria Math"/>
          <w:i/>
          <w:spacing w:val="-1"/>
          <w:w w:val="96"/>
          <w:position w:val="5"/>
          <w:sz w:val="25"/>
        </w:rPr>
        <w:t>=</w:t>
      </w:r>
      <w:r>
        <w:rPr>
          <w:rFonts w:ascii="Cambria Math" w:eastAsia="Cambria Math"/>
          <w:w w:val="50"/>
          <w:position w:val="5"/>
          <w:sz w:val="24"/>
        </w:rPr>
        <w:t>𝛽</w:t>
      </w:r>
      <w:r>
        <w:rPr>
          <w:rFonts w:ascii="Cambria Math" w:eastAsia="Cambria Math"/>
          <w:spacing w:val="-8"/>
          <w:w w:val="50"/>
          <w:position w:val="5"/>
          <w:sz w:val="24"/>
        </w:rPr>
        <w:t>𝛽</w:t>
      </w:r>
      <w:r>
        <w:rPr>
          <w:rFonts w:ascii="Cambria Math" w:eastAsia="Cambria Math"/>
          <w:w w:val="58"/>
          <w:sz w:val="17"/>
        </w:rPr>
        <w:t>𝑆</w:t>
      </w:r>
      <w:r>
        <w:rPr>
          <w:rFonts w:ascii="Cambria Math" w:eastAsia="Cambria Math"/>
          <w:spacing w:val="-1"/>
          <w:w w:val="58"/>
          <w:sz w:val="17"/>
        </w:rPr>
        <w:t>𝑆</w:t>
      </w:r>
      <w:r>
        <w:rPr>
          <w:rFonts w:ascii="Cambria Math" w:eastAsia="Cambria Math"/>
          <w:w w:val="82"/>
          <w:sz w:val="17"/>
        </w:rPr>
        <w:t>𝑇</w:t>
      </w:r>
      <w:r>
        <w:rPr>
          <w:rFonts w:ascii="Cambria Math" w:eastAsia="Cambria Math"/>
          <w:spacing w:val="-1"/>
          <w:w w:val="82"/>
          <w:sz w:val="17"/>
        </w:rPr>
        <w:t>𝑇</w:t>
      </w:r>
      <w:r>
        <w:rPr>
          <w:rFonts w:ascii="Cambria Math" w:eastAsia="Cambria Math"/>
          <w:w w:val="51"/>
          <w:sz w:val="17"/>
        </w:rPr>
        <w:t>𝐿𝐿</w:t>
      </w:r>
      <w:r>
        <w:rPr>
          <w:rFonts w:ascii="Cambria Math" w:eastAsia="Cambria Math"/>
          <w:w w:val="58"/>
          <w:sz w:val="17"/>
        </w:rPr>
        <w:t>𝑆</w:t>
      </w:r>
      <w:r>
        <w:rPr>
          <w:rFonts w:ascii="Cambria Math" w:eastAsia="Cambria Math"/>
          <w:spacing w:val="-1"/>
          <w:w w:val="58"/>
          <w:sz w:val="17"/>
        </w:rPr>
        <w:t>𝑆</w:t>
      </w:r>
      <w:r>
        <w:rPr>
          <w:rFonts w:ascii="Cambria Math" w:eastAsia="Cambria Math"/>
          <w:w w:val="51"/>
          <w:sz w:val="17"/>
        </w:rPr>
        <w:t>𝐿𝐿</w:t>
      </w:r>
    </w:p>
    <w:p>
      <w:pPr>
        <w:pStyle w:val="BodyText"/>
        <w:rPr>
          <w:rFonts w:ascii="Cambria Math"/>
          <w:sz w:val="32"/>
        </w:rPr>
      </w:pPr>
    </w:p>
    <w:p>
      <w:pPr>
        <w:pStyle w:val="BodyText"/>
        <w:spacing w:before="6"/>
        <w:rPr>
          <w:rFonts w:ascii="Cambria Math"/>
          <w:sz w:val="31"/>
        </w:rPr>
      </w:pPr>
    </w:p>
    <w:p>
      <w:pPr>
        <w:pStyle w:val="BodyText"/>
        <w:spacing w:before="1"/>
        <w:ind w:left="320" w:right="1471"/>
      </w:pPr>
      <w:r>
        <w:rPr>
          <w:spacing w:val="-1"/>
        </w:rPr>
        <w:t>T</w:t>
      </w:r>
      <w:r>
        <w:rPr>
          <w:w w:val="99"/>
        </w:rPr>
        <w:t>hus</w:t>
      </w:r>
      <w:r>
        <w:rPr/>
        <w:t>, the o</w:t>
      </w:r>
      <w:r>
        <w:rPr>
          <w:spacing w:val="-2"/>
        </w:rPr>
        <w:t>d</w:t>
      </w:r>
      <w:r>
        <w:rPr>
          <w:w w:val="99"/>
        </w:rPr>
        <w:t>ds</w:t>
      </w:r>
      <w:r>
        <w:rPr/>
        <w:t> ra</w:t>
      </w:r>
      <w:r>
        <w:rPr>
          <w:spacing w:val="-1"/>
        </w:rPr>
        <w:t>t</w:t>
      </w:r>
      <w:r>
        <w:rPr/>
        <w:t>io</w:t>
      </w:r>
      <w:r>
        <w:rPr>
          <w:spacing w:val="-2"/>
        </w:rPr>
        <w:t> </w:t>
      </w:r>
      <w:r>
        <w:rPr>
          <w:rFonts w:ascii="Cambria Math" w:hAnsi="Cambria Math" w:eastAsia="Cambria Math"/>
        </w:rPr>
        <w:t>ψ</w:t>
      </w:r>
      <w:r>
        <w:rPr>
          <w:rFonts w:ascii="Cambria Math" w:hAnsi="Cambria Math" w:eastAsia="Cambria Math"/>
          <w:spacing w:val="13"/>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w w:val="37"/>
        </w:rPr>
        <w:t>𝐵</w:t>
      </w:r>
      <w:r>
        <w:rPr>
          <w:rFonts w:ascii="Cambria Math" w:hAnsi="Cambria Math" w:eastAsia="Cambria Math"/>
          <w:spacing w:val="12"/>
          <w:w w:val="37"/>
        </w:rPr>
        <w:t>𝐵</w:t>
      </w:r>
      <w:r>
        <w:rPr>
          <w:rFonts w:ascii="Cambria Math" w:hAnsi="Cambria Math" w:eastAsia="Cambria Math"/>
          <w:w w:val="56"/>
          <w:position w:val="9"/>
          <w:sz w:val="17"/>
        </w:rPr>
        <w:t>𝛽</w:t>
      </w:r>
      <w:r>
        <w:rPr>
          <w:rFonts w:ascii="Cambria Math" w:hAnsi="Cambria Math" w:eastAsia="Cambria Math"/>
          <w:spacing w:val="-9"/>
          <w:w w:val="56"/>
          <w:position w:val="9"/>
          <w:sz w:val="17"/>
        </w:rPr>
        <w:t>𝛽</w:t>
      </w:r>
      <w:r>
        <w:rPr>
          <w:rFonts w:ascii="Cambria Math" w:hAnsi="Cambria Math" w:eastAsia="Cambria Math"/>
          <w:w w:val="74"/>
          <w:position w:val="5"/>
          <w:sz w:val="14"/>
        </w:rPr>
        <w:t>𝑇𝑇𝑇</w:t>
      </w:r>
      <w:r>
        <w:rPr>
          <w:rFonts w:ascii="Cambria Math" w:hAnsi="Cambria Math" w:eastAsia="Cambria Math"/>
          <w:spacing w:val="-1"/>
          <w:w w:val="74"/>
          <w:position w:val="5"/>
          <w:sz w:val="14"/>
        </w:rPr>
        <w:t>𝑇</w:t>
      </w:r>
      <w:r>
        <w:rPr>
          <w:rFonts w:ascii="Cambria Math" w:hAnsi="Cambria Math" w:eastAsia="Cambria Math"/>
          <w:w w:val="51"/>
          <w:position w:val="5"/>
          <w:sz w:val="14"/>
        </w:rPr>
        <w:t>𝑇𝑇</w:t>
      </w:r>
      <w:r>
        <w:rPr>
          <w:rFonts w:ascii="Cambria Math" w:hAnsi="Cambria Math" w:eastAsia="Cambria Math"/>
          <w:w w:val="54"/>
          <w:position w:val="5"/>
          <w:sz w:val="14"/>
        </w:rPr>
        <w:t>𝑇𝑇𝑇𝑇</w:t>
      </w:r>
      <w:r>
        <w:rPr>
          <w:rFonts w:ascii="Cambria Math" w:hAnsi="Cambria Math" w:eastAsia="Cambria Math"/>
          <w:position w:val="5"/>
          <w:sz w:val="14"/>
        </w:rPr>
        <w:t>  </w:t>
      </w:r>
      <w:r>
        <w:rPr>
          <w:rFonts w:ascii="Cambria Math" w:hAnsi="Cambria Math" w:eastAsia="Cambria Math"/>
          <w:spacing w:val="-10"/>
          <w:position w:val="5"/>
          <w:sz w:val="14"/>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w w:val="37"/>
        </w:rPr>
        <w:t>𝐵</w:t>
      </w:r>
      <w:r>
        <w:rPr>
          <w:rFonts w:ascii="Cambria Math" w:hAnsi="Cambria Math" w:eastAsia="Cambria Math"/>
          <w:spacing w:val="6"/>
          <w:w w:val="37"/>
        </w:rPr>
        <w:t>𝐵</w:t>
      </w:r>
      <w:r>
        <w:rPr>
          <w:rFonts w:ascii="Cambria Math" w:hAnsi="Cambria Math" w:eastAsia="Cambria Math"/>
          <w:spacing w:val="1"/>
          <w:w w:val="104"/>
          <w:position w:val="9"/>
          <w:sz w:val="17"/>
        </w:rPr>
        <w:t>1</w:t>
      </w:r>
      <w:r>
        <w:rPr>
          <w:rFonts w:ascii="Cambria Math" w:hAnsi="Cambria Math" w:eastAsia="Cambria Math"/>
          <w:spacing w:val="-1"/>
          <w:w w:val="100"/>
          <w:position w:val="9"/>
          <w:sz w:val="17"/>
        </w:rPr>
        <w:t>.</w:t>
      </w:r>
      <w:r>
        <w:rPr>
          <w:rFonts w:ascii="Cambria Math" w:hAnsi="Cambria Math" w:eastAsia="Cambria Math"/>
          <w:spacing w:val="-1"/>
          <w:w w:val="104"/>
          <w:position w:val="9"/>
          <w:sz w:val="17"/>
        </w:rPr>
        <w:t>07</w:t>
      </w:r>
      <w:r>
        <w:rPr>
          <w:rFonts w:ascii="Cambria Math" w:hAnsi="Cambria Math" w:eastAsia="Cambria Math"/>
          <w:w w:val="104"/>
          <w:position w:val="9"/>
          <w:sz w:val="17"/>
        </w:rPr>
        <w:t>1</w:t>
      </w:r>
      <w:r>
        <w:rPr>
          <w:rFonts w:ascii="Cambria Math" w:hAnsi="Cambria Math" w:eastAsia="Cambria Math"/>
          <w:position w:val="9"/>
          <w:sz w:val="17"/>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2</w:t>
      </w:r>
      <w:r>
        <w:rPr>
          <w:rFonts w:ascii="Cambria Math" w:hAnsi="Cambria Math" w:eastAsia="Cambria Math"/>
          <w:spacing w:val="-1"/>
        </w:rPr>
        <w:t>.</w:t>
      </w:r>
      <w:r>
        <w:rPr>
          <w:rFonts w:ascii="Cambria Math" w:hAnsi="Cambria Math" w:eastAsia="Cambria Math"/>
        </w:rPr>
        <w:t>92</w:t>
      </w:r>
      <w:r>
        <w:rPr>
          <w:rFonts w:ascii="Cambria Math" w:hAnsi="Cambria Math" w:eastAsia="Cambria Math"/>
          <w:spacing w:val="7"/>
        </w:rPr>
        <w:t> </w:t>
      </w:r>
      <w:r>
        <w:rPr/>
        <w:t>ind</w:t>
      </w:r>
      <w:r>
        <w:rPr>
          <w:spacing w:val="-1"/>
        </w:rPr>
        <w:t>i</w:t>
      </w:r>
      <w:r>
        <w:rPr/>
        <w:t>cat</w:t>
      </w:r>
      <w:r>
        <w:rPr>
          <w:w w:val="99"/>
        </w:rPr>
        <w:t>es</w:t>
      </w:r>
      <w:r>
        <w:rPr>
          <w:spacing w:val="-1"/>
        </w:rPr>
        <w:t> </w:t>
      </w:r>
      <w:r>
        <w:rPr/>
        <w:t>that</w:t>
      </w:r>
      <w:r>
        <w:rPr>
          <w:spacing w:val="-1"/>
        </w:rPr>
        <w:t> </w:t>
      </w:r>
      <w:r>
        <w:rPr/>
        <w:t>t</w:t>
      </w:r>
      <w:r>
        <w:rPr>
          <w:spacing w:val="-2"/>
        </w:rPr>
        <w:t>h</w:t>
      </w:r>
      <w:r>
        <w:rPr/>
        <w:t>e </w:t>
      </w:r>
      <w:r>
        <w:rPr>
          <w:spacing w:val="-1"/>
        </w:rPr>
        <w:t>o</w:t>
      </w:r>
      <w:r>
        <w:rPr/>
        <w:t>dd</w:t>
      </w:r>
      <w:r>
        <w:rPr>
          <w:w w:val="99"/>
        </w:rPr>
        <w:t>s</w:t>
      </w:r>
      <w:r>
        <w:rPr/>
        <w:t> of</w:t>
      </w:r>
      <w:r>
        <w:rPr>
          <w:spacing w:val="-1"/>
        </w:rPr>
        <w:t> </w:t>
      </w:r>
      <w:r>
        <w:rPr/>
        <w:t>cr</w:t>
      </w:r>
      <w:r>
        <w:rPr>
          <w:w w:val="99"/>
        </w:rPr>
        <w:t>ash</w:t>
      </w:r>
      <w:r>
        <w:rPr/>
        <w:t> occu</w:t>
      </w:r>
      <w:r>
        <w:rPr>
          <w:spacing w:val="-1"/>
        </w:rPr>
        <w:t>r</w:t>
      </w:r>
      <w:r>
        <w:rPr/>
        <w:t>re</w:t>
      </w:r>
      <w:r>
        <w:rPr>
          <w:spacing w:val="-2"/>
        </w:rPr>
        <w:t>n</w:t>
      </w:r>
      <w:r>
        <w:rPr/>
        <w:t>ce at a segment with a two-way left-turn lane are 2.92 times higher than the odds of a segment with no two-way left-turn</w:t>
      </w:r>
      <w:r>
        <w:rPr>
          <w:spacing w:val="-3"/>
        </w:rPr>
        <w:t> </w:t>
      </w:r>
      <w:r>
        <w:rPr/>
        <w:t>lanes.</w:t>
      </w:r>
    </w:p>
    <w:p>
      <w:pPr>
        <w:pStyle w:val="BodyText"/>
        <w:rPr>
          <w:sz w:val="26"/>
        </w:rPr>
      </w:pPr>
    </w:p>
    <w:p>
      <w:pPr>
        <w:pStyle w:val="Heading3"/>
        <w:numPr>
          <w:ilvl w:val="1"/>
          <w:numId w:val="29"/>
        </w:numPr>
        <w:tabs>
          <w:tab w:pos="1039" w:val="left" w:leader="none"/>
          <w:tab w:pos="1040" w:val="left" w:leader="none"/>
        </w:tabs>
        <w:spacing w:line="240" w:lineRule="auto" w:before="217" w:after="0"/>
        <w:ind w:left="1039" w:right="0" w:hanging="719"/>
        <w:jc w:val="left"/>
      </w:pPr>
      <w:bookmarkStart w:name="_TOC_250027" w:id="204"/>
      <w:bookmarkStart w:name="5.2 MODELS" w:id="205"/>
      <w:r>
        <w:rPr>
          <w:b w:val="0"/>
        </w:rPr>
      </w:r>
      <w:bookmarkEnd w:id="205"/>
      <w:bookmarkStart w:name="5.2 MODELS" w:id="206"/>
      <w:r>
        <w:rPr/>
        <w:t>M</w:t>
      </w:r>
      <w:bookmarkEnd w:id="204"/>
      <w:r>
        <w:rPr/>
        <w:t>ODELS</w:t>
      </w:r>
    </w:p>
    <w:p>
      <w:pPr>
        <w:pStyle w:val="Heading3"/>
        <w:numPr>
          <w:ilvl w:val="2"/>
          <w:numId w:val="29"/>
        </w:numPr>
        <w:tabs>
          <w:tab w:pos="1040" w:val="left" w:leader="none"/>
        </w:tabs>
        <w:spacing w:line="240" w:lineRule="auto" w:before="240" w:after="0"/>
        <w:ind w:left="1039" w:right="0" w:hanging="719"/>
        <w:jc w:val="left"/>
      </w:pPr>
      <w:bookmarkStart w:name="_TOC_250026" w:id="207"/>
      <w:bookmarkStart w:name="5.2.1 Crash Occurrence" w:id="208"/>
      <w:r>
        <w:rPr>
          <w:b w:val="0"/>
        </w:rPr>
      </w:r>
      <w:bookmarkEnd w:id="208"/>
      <w:bookmarkStart w:name="5.2.1 Crash Occurrence" w:id="209"/>
      <w:r>
        <w:rPr/>
        <w:t>C</w:t>
      </w:r>
      <w:r>
        <w:rPr/>
        <w:t>rash</w:t>
      </w:r>
      <w:r>
        <w:rPr>
          <w:spacing w:val="-1"/>
        </w:rPr>
        <w:t> </w:t>
      </w:r>
      <w:bookmarkEnd w:id="207"/>
      <w:r>
        <w:rPr/>
        <w:t>Occurrence</w:t>
      </w:r>
    </w:p>
    <w:p>
      <w:pPr>
        <w:pStyle w:val="BodyText"/>
        <w:spacing w:before="237"/>
        <w:ind w:left="320" w:right="1515"/>
      </w:pPr>
      <w:r>
        <w:rPr/>
        <w:t>A logistic model was applied to the pedestrian data using crash frequency (crash or not) as the dependent variable (Y). Other geometric data, land-use data, and traffic data were independent variables. Models were developed</w:t>
      </w:r>
      <w:r>
        <w:rPr>
          <w:spacing w:val="-1"/>
        </w:rPr>
        <w:t> </w:t>
      </w:r>
      <w:r>
        <w:rPr/>
        <w:t>for:</w:t>
      </w:r>
    </w:p>
    <w:p>
      <w:pPr>
        <w:pStyle w:val="BodyText"/>
        <w:spacing w:before="10"/>
        <w:rPr>
          <w:sz w:val="20"/>
        </w:rPr>
      </w:pPr>
    </w:p>
    <w:p>
      <w:pPr>
        <w:pStyle w:val="ListParagraph"/>
        <w:numPr>
          <w:ilvl w:val="3"/>
          <w:numId w:val="29"/>
        </w:numPr>
        <w:tabs>
          <w:tab w:pos="1039" w:val="left" w:leader="none"/>
          <w:tab w:pos="1040" w:val="left" w:leader="none"/>
        </w:tabs>
        <w:spacing w:line="240" w:lineRule="auto" w:before="0" w:after="0"/>
        <w:ind w:left="1040" w:right="0" w:hanging="360"/>
        <w:jc w:val="left"/>
        <w:rPr>
          <w:sz w:val="24"/>
        </w:rPr>
      </w:pPr>
      <w:r>
        <w:rPr>
          <w:sz w:val="24"/>
        </w:rPr>
        <w:t>Pedestrian,</w:t>
      </w:r>
      <w:r>
        <w:rPr>
          <w:spacing w:val="-7"/>
          <w:sz w:val="24"/>
        </w:rPr>
        <w:t> </w:t>
      </w:r>
      <w:r>
        <w:rPr>
          <w:sz w:val="24"/>
        </w:rPr>
        <w:t>Segment</w:t>
      </w:r>
    </w:p>
    <w:p>
      <w:pPr>
        <w:pStyle w:val="ListParagraph"/>
        <w:numPr>
          <w:ilvl w:val="3"/>
          <w:numId w:val="29"/>
        </w:numPr>
        <w:tabs>
          <w:tab w:pos="1039" w:val="left" w:leader="none"/>
          <w:tab w:pos="1040" w:val="left" w:leader="none"/>
        </w:tabs>
        <w:spacing w:line="240" w:lineRule="auto" w:before="240" w:after="0"/>
        <w:ind w:left="1040" w:right="0" w:hanging="360"/>
        <w:jc w:val="left"/>
        <w:rPr>
          <w:sz w:val="24"/>
        </w:rPr>
      </w:pPr>
      <w:r>
        <w:rPr>
          <w:sz w:val="24"/>
        </w:rPr>
        <w:t>Pedestrian,</w:t>
      </w:r>
      <w:r>
        <w:rPr>
          <w:spacing w:val="-1"/>
          <w:sz w:val="24"/>
        </w:rPr>
        <w:t> </w:t>
      </w:r>
      <w:r>
        <w:rPr>
          <w:sz w:val="24"/>
        </w:rPr>
        <w:t>Intersection</w:t>
      </w:r>
    </w:p>
    <w:p>
      <w:pPr>
        <w:pStyle w:val="ListParagraph"/>
        <w:numPr>
          <w:ilvl w:val="3"/>
          <w:numId w:val="29"/>
        </w:numPr>
        <w:tabs>
          <w:tab w:pos="1039" w:val="left" w:leader="none"/>
          <w:tab w:pos="1040" w:val="left" w:leader="none"/>
        </w:tabs>
        <w:spacing w:line="240" w:lineRule="auto" w:before="239" w:after="0"/>
        <w:ind w:left="1040" w:right="0" w:hanging="360"/>
        <w:jc w:val="left"/>
        <w:rPr>
          <w:sz w:val="24"/>
        </w:rPr>
      </w:pPr>
      <w:r>
        <w:rPr>
          <w:sz w:val="24"/>
        </w:rPr>
        <w:t>Bicycle,</w:t>
      </w:r>
      <w:r>
        <w:rPr>
          <w:spacing w:val="-1"/>
          <w:sz w:val="24"/>
        </w:rPr>
        <w:t> </w:t>
      </w:r>
      <w:r>
        <w:rPr>
          <w:sz w:val="24"/>
        </w:rPr>
        <w:t>Segment</w:t>
      </w:r>
    </w:p>
    <w:p>
      <w:pPr>
        <w:pStyle w:val="ListParagraph"/>
        <w:numPr>
          <w:ilvl w:val="3"/>
          <w:numId w:val="29"/>
        </w:numPr>
        <w:tabs>
          <w:tab w:pos="1039" w:val="left" w:leader="none"/>
          <w:tab w:pos="1040" w:val="left" w:leader="none"/>
        </w:tabs>
        <w:spacing w:line="240" w:lineRule="auto" w:before="239" w:after="0"/>
        <w:ind w:left="1040" w:right="0" w:hanging="360"/>
        <w:jc w:val="left"/>
        <w:rPr>
          <w:sz w:val="24"/>
        </w:rPr>
      </w:pPr>
      <w:r>
        <w:rPr>
          <w:sz w:val="24"/>
        </w:rPr>
        <w:t>Bicycle,</w:t>
      </w:r>
      <w:r>
        <w:rPr>
          <w:spacing w:val="-3"/>
          <w:sz w:val="24"/>
        </w:rPr>
        <w:t> </w:t>
      </w:r>
      <w:r>
        <w:rPr>
          <w:sz w:val="24"/>
        </w:rPr>
        <w:t>Intersection</w:t>
      </w:r>
    </w:p>
    <w:p>
      <w:pPr>
        <w:spacing w:after="0" w:line="240" w:lineRule="auto"/>
        <w:jc w:val="left"/>
        <w:rPr>
          <w:sz w:val="24"/>
        </w:rPr>
        <w:sectPr>
          <w:type w:val="continuous"/>
          <w:pgSz w:w="12240" w:h="15840"/>
          <w:pgMar w:top="1500" w:bottom="280" w:left="1120" w:right="0"/>
        </w:sectPr>
      </w:pPr>
    </w:p>
    <w:p>
      <w:pPr>
        <w:pStyle w:val="Heading3"/>
        <w:numPr>
          <w:ilvl w:val="2"/>
          <w:numId w:val="29"/>
        </w:numPr>
        <w:tabs>
          <w:tab w:pos="1040" w:val="left" w:leader="none"/>
        </w:tabs>
        <w:spacing w:line="240" w:lineRule="auto" w:before="76" w:after="0"/>
        <w:ind w:left="1039" w:right="0" w:hanging="719"/>
        <w:jc w:val="left"/>
      </w:pPr>
      <w:bookmarkStart w:name="_TOC_250025" w:id="210"/>
      <w:bookmarkStart w:name="5.2.2 Crash Severity" w:id="211"/>
      <w:r>
        <w:rPr>
          <w:b w:val="0"/>
        </w:rPr>
      </w:r>
      <w:bookmarkEnd w:id="211"/>
      <w:bookmarkStart w:name="5.2.2 Crash Severity" w:id="212"/>
      <w:r>
        <w:rPr/>
        <w:t>C</w:t>
      </w:r>
      <w:r>
        <w:rPr/>
        <w:t>rash</w:t>
      </w:r>
      <w:r>
        <w:rPr>
          <w:spacing w:val="-1"/>
        </w:rPr>
        <w:t> </w:t>
      </w:r>
      <w:bookmarkEnd w:id="210"/>
      <w:r>
        <w:rPr/>
        <w:t>Severity</w:t>
      </w:r>
    </w:p>
    <w:p>
      <w:pPr>
        <w:pStyle w:val="BodyText"/>
        <w:spacing w:before="236"/>
        <w:ind w:left="320" w:right="1476"/>
      </w:pPr>
      <w:r>
        <w:rPr/>
        <w:t>The same logistic modeling method was used to develop the crash severity models. To create the dependent variable, grouping by crash severity (Fatal, Injury A, Injury B, Injury C, and PDO) was required. A multinomial logistic model could be a better fit; however, the number of crashes in each category such as “Fatal” was too few to meet the lowest requirement of a multinomial logistic model. Thus, the five crash-severity levels are regrouped into two levels so that the binomial logistic model can be used. Models were attempted for:</w:t>
      </w:r>
    </w:p>
    <w:p>
      <w:pPr>
        <w:pStyle w:val="BodyText"/>
        <w:spacing w:before="11"/>
        <w:rPr>
          <w:sz w:val="20"/>
        </w:rPr>
      </w:pPr>
    </w:p>
    <w:p>
      <w:pPr>
        <w:pStyle w:val="ListParagraph"/>
        <w:numPr>
          <w:ilvl w:val="3"/>
          <w:numId w:val="29"/>
        </w:numPr>
        <w:tabs>
          <w:tab w:pos="1039" w:val="left" w:leader="none"/>
          <w:tab w:pos="1040" w:val="left" w:leader="none"/>
        </w:tabs>
        <w:spacing w:line="240" w:lineRule="auto" w:before="0" w:after="0"/>
        <w:ind w:left="1040" w:right="0" w:hanging="360"/>
        <w:jc w:val="left"/>
        <w:rPr>
          <w:sz w:val="24"/>
        </w:rPr>
      </w:pPr>
      <w:r>
        <w:rPr>
          <w:sz w:val="24"/>
        </w:rPr>
        <w:t>Pedestrian,</w:t>
      </w:r>
      <w:r>
        <w:rPr>
          <w:spacing w:val="-3"/>
          <w:sz w:val="24"/>
        </w:rPr>
        <w:t> </w:t>
      </w:r>
      <w:r>
        <w:rPr>
          <w:sz w:val="24"/>
        </w:rPr>
        <w:t>Segment</w:t>
      </w:r>
    </w:p>
    <w:p>
      <w:pPr>
        <w:pStyle w:val="ListParagraph"/>
        <w:numPr>
          <w:ilvl w:val="3"/>
          <w:numId w:val="29"/>
        </w:numPr>
        <w:tabs>
          <w:tab w:pos="1039" w:val="left" w:leader="none"/>
          <w:tab w:pos="1040" w:val="left" w:leader="none"/>
        </w:tabs>
        <w:spacing w:line="240" w:lineRule="auto" w:before="240" w:after="0"/>
        <w:ind w:left="1040" w:right="0" w:hanging="360"/>
        <w:jc w:val="left"/>
        <w:rPr>
          <w:sz w:val="24"/>
        </w:rPr>
      </w:pPr>
      <w:r>
        <w:rPr>
          <w:sz w:val="24"/>
        </w:rPr>
        <w:t>Pedestrian,</w:t>
      </w:r>
      <w:r>
        <w:rPr>
          <w:spacing w:val="-1"/>
          <w:sz w:val="24"/>
        </w:rPr>
        <w:t> </w:t>
      </w:r>
      <w:r>
        <w:rPr>
          <w:sz w:val="24"/>
        </w:rPr>
        <w:t>Intersection</w:t>
      </w:r>
    </w:p>
    <w:p>
      <w:pPr>
        <w:pStyle w:val="ListParagraph"/>
        <w:numPr>
          <w:ilvl w:val="3"/>
          <w:numId w:val="29"/>
        </w:numPr>
        <w:tabs>
          <w:tab w:pos="1039" w:val="left" w:leader="none"/>
          <w:tab w:pos="1040" w:val="left" w:leader="none"/>
        </w:tabs>
        <w:spacing w:line="240" w:lineRule="auto" w:before="239" w:after="0"/>
        <w:ind w:left="1040" w:right="0" w:hanging="360"/>
        <w:jc w:val="left"/>
        <w:rPr>
          <w:sz w:val="24"/>
        </w:rPr>
      </w:pPr>
      <w:r>
        <w:rPr>
          <w:sz w:val="24"/>
        </w:rPr>
        <w:t>Bicycle,</w:t>
      </w:r>
      <w:r>
        <w:rPr>
          <w:spacing w:val="-1"/>
          <w:sz w:val="24"/>
        </w:rPr>
        <w:t> </w:t>
      </w:r>
      <w:r>
        <w:rPr>
          <w:sz w:val="24"/>
        </w:rPr>
        <w:t>Segment</w:t>
      </w:r>
    </w:p>
    <w:p>
      <w:pPr>
        <w:pStyle w:val="ListParagraph"/>
        <w:numPr>
          <w:ilvl w:val="3"/>
          <w:numId w:val="29"/>
        </w:numPr>
        <w:tabs>
          <w:tab w:pos="1039" w:val="left" w:leader="none"/>
          <w:tab w:pos="1040" w:val="left" w:leader="none"/>
        </w:tabs>
        <w:spacing w:line="240" w:lineRule="auto" w:before="239" w:after="0"/>
        <w:ind w:left="1040" w:right="0" w:hanging="360"/>
        <w:jc w:val="left"/>
        <w:rPr>
          <w:sz w:val="24"/>
        </w:rPr>
      </w:pPr>
      <w:r>
        <w:rPr>
          <w:sz w:val="24"/>
        </w:rPr>
        <w:t>Bicycle,</w:t>
      </w:r>
      <w:r>
        <w:rPr>
          <w:spacing w:val="-3"/>
          <w:sz w:val="24"/>
        </w:rPr>
        <w:t> </w:t>
      </w:r>
      <w:r>
        <w:rPr>
          <w:sz w:val="24"/>
        </w:rPr>
        <w:t>Intersection</w:t>
      </w:r>
    </w:p>
    <w:p>
      <w:pPr>
        <w:pStyle w:val="BodyText"/>
        <w:rPr>
          <w:sz w:val="20"/>
        </w:rPr>
      </w:pPr>
    </w:p>
    <w:p>
      <w:pPr>
        <w:pStyle w:val="BodyText"/>
        <w:rPr>
          <w:sz w:val="20"/>
        </w:rPr>
      </w:pPr>
    </w:p>
    <w:p>
      <w:pPr>
        <w:pStyle w:val="BodyText"/>
        <w:spacing w:before="3"/>
        <w:rPr>
          <w:sz w:val="18"/>
        </w:rPr>
      </w:pPr>
      <w:r>
        <w:rPr/>
        <w:drawing>
          <wp:anchor distT="0" distB="0" distL="0" distR="0" allowOverlap="1" layoutInCell="1" locked="0" behindDoc="0" simplePos="0" relativeHeight="132">
            <wp:simplePos x="0" y="0"/>
            <wp:positionH relativeFrom="page">
              <wp:posOffset>1109112</wp:posOffset>
            </wp:positionH>
            <wp:positionV relativeFrom="paragraph">
              <wp:posOffset>158705</wp:posOffset>
            </wp:positionV>
            <wp:extent cx="5484632" cy="1957673"/>
            <wp:effectExtent l="0" t="0" r="0" b="0"/>
            <wp:wrapTopAndBottom/>
            <wp:docPr id="49" name="image36.png" descr=""/>
            <wp:cNvGraphicFramePr>
              <a:graphicFrameLocks noChangeAspect="1"/>
            </wp:cNvGraphicFramePr>
            <a:graphic>
              <a:graphicData uri="http://schemas.openxmlformats.org/drawingml/2006/picture">
                <pic:pic>
                  <pic:nvPicPr>
                    <pic:cNvPr id="50" name="image36.png"/>
                    <pic:cNvPicPr/>
                  </pic:nvPicPr>
                  <pic:blipFill>
                    <a:blip r:embed="rId45" cstate="print"/>
                    <a:stretch>
                      <a:fillRect/>
                    </a:stretch>
                  </pic:blipFill>
                  <pic:spPr>
                    <a:xfrm>
                      <a:off x="0" y="0"/>
                      <a:ext cx="5484632" cy="1957673"/>
                    </a:xfrm>
                    <a:prstGeom prst="rect">
                      <a:avLst/>
                    </a:prstGeom>
                  </pic:spPr>
                </pic:pic>
              </a:graphicData>
            </a:graphic>
          </wp:anchor>
        </w:drawing>
      </w:r>
    </w:p>
    <w:p>
      <w:pPr>
        <w:pStyle w:val="BodyText"/>
        <w:rPr>
          <w:sz w:val="28"/>
        </w:rPr>
      </w:pPr>
    </w:p>
    <w:p>
      <w:pPr>
        <w:spacing w:before="235"/>
        <w:ind w:left="3030" w:right="0" w:firstLine="0"/>
        <w:jc w:val="left"/>
        <w:rPr>
          <w:sz w:val="20"/>
        </w:rPr>
      </w:pPr>
      <w:bookmarkStart w:name="_bookmark41" w:id="213"/>
      <w:bookmarkEnd w:id="213"/>
      <w:r>
        <w:rPr/>
      </w:r>
      <w:r>
        <w:rPr>
          <w:sz w:val="20"/>
        </w:rPr>
        <w:t>Figure 5.2: Two Regroupings of Crash Severities</w:t>
      </w:r>
    </w:p>
    <w:p>
      <w:pPr>
        <w:spacing w:after="0"/>
        <w:jc w:val="left"/>
        <w:rPr>
          <w:sz w:val="20"/>
        </w:rPr>
        <w:sectPr>
          <w:pgSz w:w="12240" w:h="15840"/>
          <w:pgMar w:header="0" w:footer="709" w:top="920" w:bottom="980" w:left="1120" w:right="0"/>
        </w:sectPr>
      </w:pPr>
    </w:p>
    <w:p>
      <w:pPr>
        <w:pStyle w:val="BodyText"/>
        <w:spacing w:before="4"/>
        <w:rPr>
          <w:sz w:val="17"/>
        </w:rPr>
      </w:pPr>
    </w:p>
    <w:p>
      <w:pPr>
        <w:spacing w:after="0"/>
        <w:rPr>
          <w:sz w:val="17"/>
        </w:rPr>
        <w:sectPr>
          <w:pgSz w:w="12240" w:h="15840"/>
          <w:pgMar w:header="0" w:footer="709" w:top="1500" w:bottom="900" w:left="1120" w:right="0"/>
        </w:sectPr>
      </w:pPr>
    </w:p>
    <w:p>
      <w:pPr>
        <w:pStyle w:val="Heading2"/>
        <w:numPr>
          <w:ilvl w:val="1"/>
          <w:numId w:val="30"/>
        </w:numPr>
        <w:tabs>
          <w:tab w:pos="3699" w:val="left" w:leader="none"/>
          <w:tab w:pos="3700" w:val="left" w:leader="none"/>
        </w:tabs>
        <w:spacing w:line="240" w:lineRule="auto" w:before="75" w:after="0"/>
        <w:ind w:left="3699" w:right="0" w:hanging="720"/>
        <w:jc w:val="left"/>
      </w:pPr>
      <w:bookmarkStart w:name="_TOC_250024" w:id="214"/>
      <w:bookmarkStart w:name="6.0 MODELING RESULTS" w:id="215"/>
      <w:r>
        <w:rPr>
          <w:b w:val="0"/>
        </w:rPr>
      </w:r>
      <w:bookmarkEnd w:id="215"/>
      <w:bookmarkStart w:name="6.0 MODELING RESULTS" w:id="216"/>
      <w:r>
        <w:rPr/>
        <w:t>M</w:t>
      </w:r>
      <w:r>
        <w:rPr/>
        <w:t>ODELING</w:t>
      </w:r>
      <w:r>
        <w:rPr>
          <w:spacing w:val="-2"/>
        </w:rPr>
        <w:t> </w:t>
      </w:r>
      <w:bookmarkEnd w:id="214"/>
      <w:r>
        <w:rPr>
          <w:spacing w:val="-5"/>
        </w:rPr>
        <w:t>RESULTS</w:t>
      </w:r>
    </w:p>
    <w:p>
      <w:pPr>
        <w:pStyle w:val="BodyText"/>
        <w:spacing w:before="6"/>
        <w:rPr>
          <w:b/>
          <w:sz w:val="41"/>
        </w:rPr>
      </w:pPr>
    </w:p>
    <w:p>
      <w:pPr>
        <w:pStyle w:val="BodyText"/>
        <w:ind w:left="320" w:right="1675"/>
      </w:pPr>
      <w:r>
        <w:rPr/>
        <w:t>This chapter documents the risk modeling results and analyses for the eight models. Pedestrian models are presented followed by bicycle models.</w:t>
      </w:r>
    </w:p>
    <w:p>
      <w:pPr>
        <w:pStyle w:val="BodyText"/>
        <w:spacing w:before="2"/>
        <w:rPr>
          <w:sz w:val="21"/>
        </w:rPr>
      </w:pPr>
    </w:p>
    <w:p>
      <w:pPr>
        <w:pStyle w:val="Heading3"/>
        <w:numPr>
          <w:ilvl w:val="1"/>
          <w:numId w:val="30"/>
        </w:numPr>
        <w:tabs>
          <w:tab w:pos="1039" w:val="left" w:leader="none"/>
          <w:tab w:pos="1040" w:val="left" w:leader="none"/>
        </w:tabs>
        <w:spacing w:line="240" w:lineRule="auto" w:before="0" w:after="0"/>
        <w:ind w:left="1039" w:right="0" w:hanging="719"/>
        <w:jc w:val="left"/>
      </w:pPr>
      <w:bookmarkStart w:name="_TOC_250023" w:id="217"/>
      <w:bookmarkStart w:name="6.1 PEDESTRIAN MODELS" w:id="218"/>
      <w:r>
        <w:rPr>
          <w:b w:val="0"/>
        </w:rPr>
      </w:r>
      <w:bookmarkEnd w:id="218"/>
      <w:bookmarkStart w:name="6.1 PEDESTRIAN MODELS" w:id="219"/>
      <w:r>
        <w:rPr/>
        <w:t>P</w:t>
      </w:r>
      <w:r>
        <w:rPr/>
        <w:t>EDESTRIAN</w:t>
      </w:r>
      <w:r>
        <w:rPr>
          <w:spacing w:val="-1"/>
        </w:rPr>
        <w:t> </w:t>
      </w:r>
      <w:bookmarkEnd w:id="217"/>
      <w:r>
        <w:rPr/>
        <w:t>MODELS</w:t>
      </w:r>
    </w:p>
    <w:p>
      <w:pPr>
        <w:pStyle w:val="BodyText"/>
        <w:spacing w:before="237"/>
        <w:ind w:left="319" w:right="1523"/>
      </w:pPr>
      <w:r>
        <w:rPr/>
        <w:t>This section presents the results of four different pedestrian models: 1) pedestrian segment crash occurrence model; 2) pedestrian intersection crash occurrence model; 3) pedestrian segment crash severity model, and 4) pedestrian intersection crash severity model.</w:t>
      </w:r>
    </w:p>
    <w:p>
      <w:pPr>
        <w:pStyle w:val="BodyText"/>
        <w:spacing w:before="1"/>
        <w:rPr>
          <w:sz w:val="21"/>
        </w:rPr>
      </w:pPr>
    </w:p>
    <w:p>
      <w:pPr>
        <w:pStyle w:val="Heading3"/>
        <w:spacing w:before="1"/>
        <w:ind w:left="320" w:firstLine="0"/>
      </w:pPr>
      <w:bookmarkStart w:name="_TOC_250022" w:id="220"/>
      <w:bookmarkStart w:name="6.1.1 Crash Occurrence" w:id="221"/>
      <w:r>
        <w:rPr>
          <w:b w:val="0"/>
        </w:rPr>
      </w:r>
      <w:bookmarkEnd w:id="220"/>
      <w:r>
        <w:rPr/>
        <w:t>6.1.1 Crash Occurrence</w:t>
      </w:r>
    </w:p>
    <w:p>
      <w:pPr>
        <w:pStyle w:val="BodyText"/>
        <w:spacing w:before="236"/>
        <w:ind w:left="319" w:right="1518"/>
      </w:pPr>
      <w:r>
        <w:rPr/>
        <w:t>As discussed in the methods section, a combined backward and forward stepwise method was used to determine the significant variables to be included in the final model. The project team also attempted models using a subset of plausible variables identified in the literature by engineering judgments and previous relevant project experience. The variables of the final pedestrian segment crash occurrence model included: traffic directions, the presence of on-street parking, the presence of TWLTL, posted the speed limit, total population density and number of total traffic lanes. The coefficients, standard error, p-value, and significance are show</w:t>
      </w:r>
      <w:hyperlink w:history="true" w:anchor="_bookmark42">
        <w:r>
          <w:rPr/>
          <w:t>n in Table</w:t>
        </w:r>
      </w:hyperlink>
    </w:p>
    <w:p>
      <w:pPr>
        <w:pStyle w:val="BodyText"/>
        <w:ind w:left="320" w:right="1437"/>
      </w:pPr>
      <w:hyperlink w:history="true" w:anchor="_bookmark42">
        <w:r>
          <w:rPr/>
          <w:t>6.1</w:t>
        </w:r>
      </w:hyperlink>
      <w:r>
        <w:rPr/>
        <w:t>. The table also includes the odds ratio calculated from the coefficients of the pedestrian segment crash occurrence model. In the model, the base condition of categorical variables is one- way direction, no presence of on-street parking and no TWLTL.</w:t>
      </w:r>
    </w:p>
    <w:p>
      <w:pPr>
        <w:pStyle w:val="BodyText"/>
        <w:spacing w:before="1"/>
        <w:rPr>
          <w:sz w:val="21"/>
        </w:rPr>
      </w:pPr>
    </w:p>
    <w:p>
      <w:pPr>
        <w:spacing w:before="0"/>
        <w:ind w:left="320" w:right="0" w:firstLine="0"/>
        <w:jc w:val="left"/>
        <w:rPr>
          <w:b/>
          <w:sz w:val="20"/>
        </w:rPr>
      </w:pPr>
      <w:bookmarkStart w:name="_bookmark42" w:id="222"/>
      <w:bookmarkEnd w:id="222"/>
      <w:r>
        <w:rPr/>
      </w:r>
      <w:r>
        <w:rPr>
          <w:b/>
          <w:sz w:val="20"/>
        </w:rPr>
        <w:t>Table 6.1: Model 1: Pedestrian Segment Crash Occurrence Model Results</w:t>
      </w:r>
    </w:p>
    <w:tbl>
      <w:tblPr>
        <w:tblW w:w="0" w:type="auto"/>
        <w:jc w:val="left"/>
        <w:tblInd w:w="3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690"/>
        <w:gridCol w:w="1380"/>
        <w:gridCol w:w="1016"/>
        <w:gridCol w:w="1063"/>
        <w:gridCol w:w="1250"/>
        <w:gridCol w:w="1003"/>
      </w:tblGrid>
      <w:tr>
        <w:trPr>
          <w:trHeight w:val="459" w:hRule="atLeast"/>
        </w:trPr>
        <w:tc>
          <w:tcPr>
            <w:tcW w:w="3690" w:type="dxa"/>
            <w:tcBorders>
              <w:left w:val="nil"/>
              <w:right w:val="single" w:sz="4" w:space="0" w:color="000000"/>
            </w:tcBorders>
          </w:tcPr>
          <w:p>
            <w:pPr>
              <w:pStyle w:val="TableParagraph"/>
              <w:spacing w:before="113"/>
              <w:ind w:left="108"/>
              <w:rPr>
                <w:b/>
                <w:sz w:val="20"/>
              </w:rPr>
            </w:pPr>
            <w:r>
              <w:rPr>
                <w:b/>
                <w:sz w:val="20"/>
              </w:rPr>
              <w:t>Variable</w:t>
            </w:r>
          </w:p>
        </w:tc>
        <w:tc>
          <w:tcPr>
            <w:tcW w:w="1380" w:type="dxa"/>
            <w:tcBorders>
              <w:left w:val="single" w:sz="4" w:space="0" w:color="000000"/>
              <w:right w:val="single" w:sz="4" w:space="0" w:color="000000"/>
            </w:tcBorders>
          </w:tcPr>
          <w:p>
            <w:pPr>
              <w:pStyle w:val="TableParagraph"/>
              <w:spacing w:before="113"/>
              <w:ind w:left="103"/>
              <w:rPr>
                <w:b/>
                <w:sz w:val="20"/>
              </w:rPr>
            </w:pPr>
            <w:r>
              <w:rPr>
                <w:b/>
                <w:sz w:val="20"/>
              </w:rPr>
              <w:t>Coefficients</w:t>
            </w:r>
          </w:p>
        </w:tc>
        <w:tc>
          <w:tcPr>
            <w:tcW w:w="1016" w:type="dxa"/>
            <w:tcBorders>
              <w:left w:val="single" w:sz="4" w:space="0" w:color="000000"/>
              <w:right w:val="single" w:sz="4" w:space="0" w:color="000000"/>
            </w:tcBorders>
          </w:tcPr>
          <w:p>
            <w:pPr>
              <w:pStyle w:val="TableParagraph"/>
              <w:spacing w:line="230" w:lineRule="exact" w:before="2"/>
              <w:ind w:left="102" w:right="83"/>
              <w:rPr>
                <w:b/>
                <w:sz w:val="20"/>
              </w:rPr>
            </w:pPr>
            <w:r>
              <w:rPr>
                <w:b/>
                <w:sz w:val="20"/>
              </w:rPr>
              <w:t>Standard Error</w:t>
            </w:r>
          </w:p>
        </w:tc>
        <w:tc>
          <w:tcPr>
            <w:tcW w:w="1063" w:type="dxa"/>
            <w:tcBorders>
              <w:left w:val="single" w:sz="4" w:space="0" w:color="000000"/>
              <w:right w:val="single" w:sz="4" w:space="0" w:color="000000"/>
            </w:tcBorders>
          </w:tcPr>
          <w:p>
            <w:pPr>
              <w:pStyle w:val="TableParagraph"/>
              <w:spacing w:before="113"/>
              <w:ind w:left="103"/>
              <w:rPr>
                <w:b/>
                <w:sz w:val="20"/>
              </w:rPr>
            </w:pPr>
            <w:r>
              <w:rPr>
                <w:b/>
                <w:sz w:val="20"/>
              </w:rPr>
              <w:t>P-value</w:t>
            </w:r>
          </w:p>
        </w:tc>
        <w:tc>
          <w:tcPr>
            <w:tcW w:w="1250" w:type="dxa"/>
            <w:tcBorders>
              <w:left w:val="single" w:sz="4" w:space="0" w:color="000000"/>
              <w:right w:val="single" w:sz="4" w:space="0" w:color="000000"/>
            </w:tcBorders>
          </w:tcPr>
          <w:p>
            <w:pPr>
              <w:pStyle w:val="TableParagraph"/>
              <w:spacing w:before="113"/>
              <w:ind w:left="103"/>
              <w:rPr>
                <w:b/>
                <w:sz w:val="20"/>
              </w:rPr>
            </w:pPr>
            <w:r>
              <w:rPr>
                <w:b/>
                <w:sz w:val="20"/>
              </w:rPr>
              <w:t>Significance</w:t>
            </w:r>
          </w:p>
        </w:tc>
        <w:tc>
          <w:tcPr>
            <w:tcW w:w="1003" w:type="dxa"/>
            <w:tcBorders>
              <w:left w:val="single" w:sz="4" w:space="0" w:color="000000"/>
              <w:right w:val="nil"/>
            </w:tcBorders>
          </w:tcPr>
          <w:p>
            <w:pPr>
              <w:pStyle w:val="TableParagraph"/>
              <w:spacing w:line="230" w:lineRule="exact" w:before="2"/>
              <w:ind w:left="103" w:right="408"/>
              <w:rPr>
                <w:b/>
                <w:sz w:val="20"/>
              </w:rPr>
            </w:pPr>
            <w:r>
              <w:rPr>
                <w:b/>
                <w:sz w:val="20"/>
              </w:rPr>
              <w:t>Odds Ratio</w:t>
            </w:r>
          </w:p>
        </w:tc>
      </w:tr>
      <w:tr>
        <w:trPr>
          <w:trHeight w:val="457" w:hRule="atLeast"/>
        </w:trPr>
        <w:tc>
          <w:tcPr>
            <w:tcW w:w="3690" w:type="dxa"/>
            <w:tcBorders>
              <w:left w:val="nil"/>
              <w:bottom w:val="single" w:sz="4" w:space="0" w:color="000000"/>
              <w:right w:val="single" w:sz="4" w:space="0" w:color="000000"/>
            </w:tcBorders>
          </w:tcPr>
          <w:p>
            <w:pPr>
              <w:pStyle w:val="TableParagraph"/>
              <w:spacing w:line="224" w:lineRule="exact"/>
              <w:ind w:left="107"/>
              <w:rPr>
                <w:sz w:val="20"/>
              </w:rPr>
            </w:pPr>
            <w:r>
              <w:rPr>
                <w:sz w:val="20"/>
              </w:rPr>
              <w:t>Travel direction (one-way or two-way)</w:t>
            </w:r>
          </w:p>
          <w:p>
            <w:pPr>
              <w:pStyle w:val="TableParagraph"/>
              <w:spacing w:line="212" w:lineRule="exact"/>
              <w:ind w:left="107"/>
              <w:rPr>
                <w:sz w:val="20"/>
              </w:rPr>
            </w:pPr>
            <w:r>
              <w:rPr>
                <w:sz w:val="20"/>
              </w:rPr>
              <w:t>(One-way is base)</w:t>
            </w:r>
          </w:p>
        </w:tc>
        <w:tc>
          <w:tcPr>
            <w:tcW w:w="1380"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-1.289</w:t>
            </w:r>
          </w:p>
        </w:tc>
        <w:tc>
          <w:tcPr>
            <w:tcW w:w="1016"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1.018</w:t>
            </w:r>
          </w:p>
        </w:tc>
        <w:tc>
          <w:tcPr>
            <w:tcW w:w="1063"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0.001</w:t>
            </w:r>
          </w:p>
        </w:tc>
        <w:tc>
          <w:tcPr>
            <w:tcW w:w="1250"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w:t>
            </w:r>
          </w:p>
        </w:tc>
        <w:tc>
          <w:tcPr>
            <w:tcW w:w="1003" w:type="dxa"/>
            <w:tcBorders>
              <w:left w:val="single" w:sz="4" w:space="0" w:color="000000"/>
              <w:bottom w:val="single" w:sz="4" w:space="0" w:color="000000"/>
              <w:right w:val="nil"/>
            </w:tcBorders>
          </w:tcPr>
          <w:p>
            <w:pPr>
              <w:pStyle w:val="TableParagraph"/>
              <w:spacing w:before="109"/>
              <w:ind w:left="104"/>
              <w:rPr>
                <w:sz w:val="20"/>
              </w:rPr>
            </w:pPr>
            <w:r>
              <w:rPr>
                <w:sz w:val="20"/>
              </w:rPr>
              <w:t>0.028</w:t>
            </w:r>
          </w:p>
        </w:tc>
      </w:tr>
      <w:tr>
        <w:trPr>
          <w:trHeight w:val="300" w:hRule="atLeast"/>
        </w:trPr>
        <w:tc>
          <w:tcPr>
            <w:tcW w:w="3690" w:type="dxa"/>
            <w:tcBorders>
              <w:top w:val="single" w:sz="4" w:space="0" w:color="000000"/>
              <w:left w:val="nil"/>
              <w:bottom w:val="single" w:sz="4" w:space="0" w:color="000000"/>
              <w:right w:val="single" w:sz="4" w:space="0" w:color="000000"/>
            </w:tcBorders>
          </w:tcPr>
          <w:p>
            <w:pPr>
              <w:pStyle w:val="TableParagraph"/>
              <w:spacing w:before="32"/>
              <w:ind w:left="107"/>
              <w:rPr>
                <w:sz w:val="20"/>
              </w:rPr>
            </w:pPr>
            <w:r>
              <w:rPr>
                <w:sz w:val="20"/>
              </w:rPr>
              <w:t>Presence of on-street parking</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1.337</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0.514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before="32"/>
              <w:ind w:left="103"/>
              <w:rPr>
                <w:sz w:val="20"/>
              </w:rPr>
            </w:pPr>
            <w:r>
              <w:rPr>
                <w:sz w:val="20"/>
              </w:rPr>
              <w:t>0.012</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before="32"/>
              <w:ind w:left="103"/>
              <w:rPr>
                <w:sz w:val="20"/>
              </w:rPr>
            </w:pPr>
            <w:r>
              <w:rPr>
                <w:w w:val="100"/>
                <w:sz w:val="20"/>
              </w:rPr>
              <w:t>*</w:t>
            </w:r>
          </w:p>
        </w:tc>
        <w:tc>
          <w:tcPr>
            <w:tcW w:w="1003" w:type="dxa"/>
            <w:tcBorders>
              <w:top w:val="single" w:sz="4" w:space="0" w:color="000000"/>
              <w:left w:val="single" w:sz="4" w:space="0" w:color="000000"/>
              <w:bottom w:val="single" w:sz="4" w:space="0" w:color="000000"/>
              <w:right w:val="nil"/>
            </w:tcBorders>
          </w:tcPr>
          <w:p>
            <w:pPr>
              <w:pStyle w:val="TableParagraph"/>
              <w:spacing w:before="32"/>
              <w:ind w:left="104"/>
              <w:rPr>
                <w:sz w:val="20"/>
              </w:rPr>
            </w:pPr>
            <w:r>
              <w:rPr>
                <w:sz w:val="20"/>
              </w:rPr>
              <w:t>3.808</w:t>
            </w:r>
          </w:p>
        </w:tc>
      </w:tr>
      <w:tr>
        <w:trPr>
          <w:trHeight w:val="299" w:hRule="atLeast"/>
        </w:trPr>
        <w:tc>
          <w:tcPr>
            <w:tcW w:w="3690" w:type="dxa"/>
            <w:tcBorders>
              <w:top w:val="single" w:sz="4" w:space="0" w:color="000000"/>
              <w:left w:val="nil"/>
              <w:bottom w:val="single" w:sz="4" w:space="0" w:color="000000"/>
              <w:right w:val="single" w:sz="4" w:space="0" w:color="000000"/>
            </w:tcBorders>
          </w:tcPr>
          <w:p>
            <w:pPr>
              <w:pStyle w:val="TableParagraph"/>
              <w:spacing w:before="31"/>
              <w:ind w:left="107"/>
              <w:rPr>
                <w:sz w:val="20"/>
              </w:rPr>
            </w:pPr>
            <w:r>
              <w:rPr>
                <w:sz w:val="20"/>
              </w:rPr>
              <w:t>Presence of two-way left-turn lane</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1.071</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0.384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0.005</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w:t>
            </w:r>
          </w:p>
        </w:tc>
        <w:tc>
          <w:tcPr>
            <w:tcW w:w="1003" w:type="dxa"/>
            <w:tcBorders>
              <w:top w:val="single" w:sz="4" w:space="0" w:color="000000"/>
              <w:left w:val="single" w:sz="4" w:space="0" w:color="000000"/>
              <w:bottom w:val="single" w:sz="4" w:space="0" w:color="000000"/>
              <w:right w:val="nil"/>
            </w:tcBorders>
          </w:tcPr>
          <w:p>
            <w:pPr>
              <w:pStyle w:val="TableParagraph"/>
              <w:spacing w:before="31"/>
              <w:ind w:left="104"/>
              <w:rPr>
                <w:sz w:val="20"/>
              </w:rPr>
            </w:pPr>
            <w:r>
              <w:rPr>
                <w:sz w:val="20"/>
              </w:rPr>
              <w:t>2.918</w:t>
            </w:r>
          </w:p>
        </w:tc>
      </w:tr>
      <w:tr>
        <w:trPr>
          <w:trHeight w:val="315" w:hRule="atLeast"/>
        </w:trPr>
        <w:tc>
          <w:tcPr>
            <w:tcW w:w="3690"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Posted speed limit (mph)</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0.047</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0.027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0.082</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003" w:type="dxa"/>
            <w:tcBorders>
              <w:top w:val="single" w:sz="4" w:space="0" w:color="000000"/>
              <w:left w:val="single" w:sz="4" w:space="0" w:color="000000"/>
              <w:bottom w:val="single" w:sz="4" w:space="0" w:color="000000"/>
              <w:right w:val="nil"/>
            </w:tcBorders>
          </w:tcPr>
          <w:p>
            <w:pPr>
              <w:pStyle w:val="TableParagraph"/>
              <w:spacing w:before="40"/>
              <w:ind w:left="104"/>
              <w:rPr>
                <w:sz w:val="20"/>
              </w:rPr>
            </w:pPr>
            <w:r>
              <w:rPr>
                <w:sz w:val="20"/>
              </w:rPr>
              <w:t>1.048</w:t>
            </w:r>
          </w:p>
        </w:tc>
      </w:tr>
      <w:tr>
        <w:trPr>
          <w:trHeight w:val="459" w:hRule="atLeast"/>
        </w:trPr>
        <w:tc>
          <w:tcPr>
            <w:tcW w:w="3690" w:type="dxa"/>
            <w:tcBorders>
              <w:top w:val="single" w:sz="4" w:space="0" w:color="000000"/>
              <w:left w:val="nil"/>
              <w:bottom w:val="single" w:sz="4" w:space="0" w:color="000000"/>
              <w:right w:val="single" w:sz="4" w:space="0" w:color="000000"/>
            </w:tcBorders>
          </w:tcPr>
          <w:p>
            <w:pPr>
              <w:pStyle w:val="TableParagraph"/>
              <w:spacing w:line="227" w:lineRule="exact"/>
              <w:ind w:left="107"/>
              <w:rPr>
                <w:sz w:val="20"/>
              </w:rPr>
            </w:pPr>
            <w:r>
              <w:rPr>
                <w:sz w:val="20"/>
              </w:rPr>
              <w:t>Total population density (people per</w:t>
            </w:r>
          </w:p>
          <w:p>
            <w:pPr>
              <w:pStyle w:val="TableParagraph"/>
              <w:spacing w:line="212" w:lineRule="exact"/>
              <w:ind w:left="107"/>
              <w:rPr>
                <w:sz w:val="20"/>
              </w:rPr>
            </w:pPr>
            <w:r>
              <w:rPr>
                <w:sz w:val="20"/>
              </w:rPr>
              <w:t>square mile)</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2"/>
              <w:rPr>
                <w:sz w:val="20"/>
              </w:rPr>
            </w:pPr>
            <w:r>
              <w:rPr>
                <w:sz w:val="20"/>
              </w:rPr>
              <w:t>0.0017</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before="112"/>
              <w:ind w:left="102"/>
              <w:rPr>
                <w:sz w:val="20"/>
              </w:rPr>
            </w:pPr>
            <w:r>
              <w:rPr>
                <w:sz w:val="20"/>
              </w:rPr>
              <w:t>0.00006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0.006</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w:t>
            </w:r>
          </w:p>
        </w:tc>
        <w:tc>
          <w:tcPr>
            <w:tcW w:w="1003" w:type="dxa"/>
            <w:tcBorders>
              <w:top w:val="single" w:sz="4" w:space="0" w:color="000000"/>
              <w:left w:val="single" w:sz="4" w:space="0" w:color="000000"/>
              <w:bottom w:val="single" w:sz="4" w:space="0" w:color="000000"/>
              <w:right w:val="nil"/>
            </w:tcBorders>
          </w:tcPr>
          <w:p>
            <w:pPr>
              <w:pStyle w:val="TableParagraph"/>
              <w:spacing w:before="112"/>
              <w:ind w:left="104"/>
              <w:rPr>
                <w:sz w:val="20"/>
              </w:rPr>
            </w:pPr>
            <w:r>
              <w:rPr>
                <w:sz w:val="20"/>
              </w:rPr>
              <w:t>1.002</w:t>
            </w:r>
          </w:p>
        </w:tc>
      </w:tr>
      <w:tr>
        <w:trPr>
          <w:trHeight w:val="460" w:hRule="atLeast"/>
        </w:trPr>
        <w:tc>
          <w:tcPr>
            <w:tcW w:w="3690" w:type="dxa"/>
            <w:tcBorders>
              <w:top w:val="single" w:sz="4" w:space="0" w:color="000000"/>
              <w:left w:val="nil"/>
              <w:bottom w:val="single" w:sz="4" w:space="0" w:color="000000"/>
              <w:right w:val="single" w:sz="4" w:space="0" w:color="000000"/>
            </w:tcBorders>
          </w:tcPr>
          <w:p>
            <w:pPr>
              <w:pStyle w:val="TableParagraph"/>
              <w:spacing w:line="230" w:lineRule="exact"/>
              <w:ind w:left="107" w:right="71"/>
              <w:rPr>
                <w:sz w:val="20"/>
              </w:rPr>
            </w:pPr>
            <w:r>
              <w:rPr>
                <w:sz w:val="20"/>
              </w:rPr>
              <w:t>Number of traffic lanes (excluding two- way left-turn lane)</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2"/>
              <w:rPr>
                <w:sz w:val="20"/>
              </w:rPr>
            </w:pPr>
            <w:r>
              <w:rPr>
                <w:sz w:val="20"/>
              </w:rPr>
              <w:t>0.370</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0.016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0.023</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w w:val="100"/>
                <w:sz w:val="20"/>
              </w:rPr>
              <w:t>*</w:t>
            </w:r>
          </w:p>
        </w:tc>
        <w:tc>
          <w:tcPr>
            <w:tcW w:w="1003" w:type="dxa"/>
            <w:tcBorders>
              <w:top w:val="single" w:sz="4" w:space="0" w:color="000000"/>
              <w:left w:val="single" w:sz="4" w:space="0" w:color="000000"/>
              <w:bottom w:val="single" w:sz="4" w:space="0" w:color="000000"/>
              <w:right w:val="nil"/>
            </w:tcBorders>
          </w:tcPr>
          <w:p>
            <w:pPr>
              <w:pStyle w:val="TableParagraph"/>
              <w:spacing w:before="112"/>
              <w:ind w:left="104"/>
              <w:rPr>
                <w:sz w:val="20"/>
              </w:rPr>
            </w:pPr>
            <w:r>
              <w:rPr>
                <w:sz w:val="20"/>
              </w:rPr>
              <w:t>1.447</w:t>
            </w:r>
          </w:p>
        </w:tc>
      </w:tr>
    </w:tbl>
    <w:p>
      <w:pPr>
        <w:spacing w:line="338" w:lineRule="auto" w:before="37"/>
        <w:ind w:left="406" w:right="3340" w:firstLine="0"/>
        <w:jc w:val="left"/>
        <w:rPr>
          <w:rFonts w:ascii="MS PGothic" w:eastAsia="MS PGothic" w:hint="eastAsia"/>
          <w:sz w:val="18"/>
        </w:rPr>
      </w:pPr>
      <w:r>
        <w:rPr/>
        <w:pict>
          <v:line style="position:absolute;mso-position-horizontal-relative:page;mso-position-vertical-relative:paragraph;z-index:-254560" from="70.919998pt,16.009993pt" to="541.079998pt,16.009993pt" stroked="true" strokeweight=".48pt" strokecolor="#000000">
            <v:stroke dashstyle="solid"/>
            <w10:wrap type="none"/>
          </v:line>
        </w:pict>
      </w:r>
      <w:r>
        <w:rPr/>
        <w:pict>
          <v:line style="position:absolute;mso-position-horizontal-relative:page;mso-position-vertical-relative:paragraph;z-index:-254536" from="70.919998pt,32.269993pt" to="541.079998pt,32.269993pt" stroked="true" strokeweight=".48pt" strokecolor="#000000">
            <v:stroke dashstyle="solid"/>
            <w10:wrap type="none"/>
          </v:line>
        </w:pict>
      </w:r>
      <w:r>
        <w:rPr/>
        <w:pict>
          <v:line style="position:absolute;mso-position-horizontal-relative:page;mso-position-vertical-relative:paragraph;z-index:-254512" from="70.199997pt,48.529491pt" to="541.079997pt,48.529491pt" stroked="true" strokeweight=".481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249.16 on 188 degrees of freedom Residual deviance (measure the goodness of fit of a logit model)</w:t>
      </w:r>
      <w:r>
        <w:rPr>
          <w:rFonts w:ascii="MS PGothic" w:eastAsia="MS PGothic" w:hint="eastAsia"/>
          <w:sz w:val="18"/>
        </w:rPr>
        <w:t>： </w:t>
      </w:r>
      <w:r>
        <w:rPr>
          <w:sz w:val="18"/>
        </w:rPr>
        <w:t>204.62 on 182 degrees of freedom AIC</w:t>
      </w:r>
      <w:r>
        <w:rPr>
          <w:rFonts w:ascii="MS PGothic" w:eastAsia="MS PGothic" w:hint="eastAsia"/>
          <w:sz w:val="18"/>
        </w:rPr>
        <w:t>：218.62</w:t>
      </w:r>
    </w:p>
    <w:p>
      <w:pPr>
        <w:spacing w:line="190" w:lineRule="exact" w:before="0"/>
        <w:ind w:left="320" w:right="0" w:firstLine="0"/>
        <w:jc w:val="left"/>
        <w:rPr>
          <w:sz w:val="20"/>
        </w:rPr>
      </w:pPr>
      <w:r>
        <w:rPr>
          <w:sz w:val="20"/>
        </w:rPr>
        <w:t>Significant Code: 0 ‘***’; 0.001 ‘**’; 0.01 ‘*’; 0.05 ‘.’; 0.1 ‘ ’.</w:t>
      </w:r>
    </w:p>
    <w:p>
      <w:pPr>
        <w:spacing w:after="0" w:line="190" w:lineRule="exact"/>
        <w:jc w:val="left"/>
        <w:rPr>
          <w:sz w:val="20"/>
        </w:rPr>
        <w:sectPr>
          <w:pgSz w:w="12240" w:h="15840"/>
          <w:pgMar w:header="0" w:footer="709" w:top="1160" w:bottom="900" w:left="1120" w:right="0"/>
        </w:sectPr>
      </w:pPr>
    </w:p>
    <w:p>
      <w:pPr>
        <w:pStyle w:val="BodyText"/>
        <w:spacing w:before="72"/>
        <w:ind w:left="320" w:right="1525"/>
      </w:pPr>
      <w:r>
        <w:rPr/>
        <w:t>To help interpret the results of a binomial model, </w:t>
      </w:r>
      <w:hyperlink w:history="true" w:anchor="_bookmark43">
        <w:r>
          <w:rPr/>
          <w:t>Figure 6.1 </w:t>
        </w:r>
      </w:hyperlink>
      <w:r>
        <w:rPr/>
        <w:t>shows the number of segments with and without pedestrian crashes. The left panel of </w:t>
      </w:r>
      <w:hyperlink w:history="true" w:anchor="_bookmark43">
        <w:r>
          <w:rPr/>
          <w:t>Figure 6.1</w:t>
        </w:r>
      </w:hyperlink>
      <w:r>
        <w:rPr/>
        <w:t> shows more crashes occurred on the one-way traffic segments, whereas the right panel of the figure shows fewer crashes occurred on the two-way traffic segments. The negative coefficient (-1.289) reflects that the two-way traffic segment has a smaller pedestrian crash probability than the one-way traffic segment. This is also clear in the odds ratio (0.0276), which indicates the probability of crashes is low.</w:t>
      </w:r>
    </w:p>
    <w:p>
      <w:pPr>
        <w:pStyle w:val="BodyText"/>
        <w:spacing w:before="5"/>
        <w:rPr>
          <w:sz w:val="29"/>
        </w:rPr>
      </w:pPr>
    </w:p>
    <w:p>
      <w:pPr>
        <w:spacing w:after="0"/>
        <w:rPr>
          <w:sz w:val="29"/>
        </w:rPr>
        <w:sectPr>
          <w:pgSz w:w="12240" w:h="15840"/>
          <w:pgMar w:header="0" w:footer="709" w:top="920" w:bottom="980" w:left="1120" w:right="0"/>
        </w:sectPr>
      </w:pPr>
    </w:p>
    <w:p>
      <w:pPr>
        <w:spacing w:before="152"/>
        <w:ind w:left="1526" w:right="0" w:firstLine="0"/>
        <w:jc w:val="center"/>
        <w:rPr>
          <w:rFonts w:ascii="Calibri"/>
          <w:sz w:val="22"/>
        </w:rPr>
      </w:pPr>
      <w:r>
        <w:rPr>
          <w:rFonts w:ascii="Calibri"/>
          <w:color w:val="595958"/>
          <w:sz w:val="22"/>
        </w:rPr>
        <w:t>One-Way Traffic Road</w:t>
      </w:r>
    </w:p>
    <w:p>
      <w:pPr>
        <w:spacing w:before="130"/>
        <w:ind w:left="731" w:right="0" w:firstLine="0"/>
        <w:jc w:val="left"/>
        <w:rPr>
          <w:rFonts w:ascii="Calibri"/>
          <w:sz w:val="18"/>
        </w:rPr>
      </w:pPr>
      <w:r>
        <w:rPr/>
        <w:pict>
          <v:line style="position:absolute;mso-position-horizontal-relative:page;mso-position-vertical-relative:paragraph;z-index:4312" from="110.040001pt,12.482414pt" to="300.120001pt,12.482414pt" stroked="true" strokeweight=".72pt" strokecolor="#dadada">
            <v:stroke dashstyle="solid"/>
            <w10:wrap type="none"/>
          </v:line>
        </w:pict>
      </w:r>
      <w:r>
        <w:rPr/>
        <w:pict>
          <v:shape style="position:absolute;margin-left:109.68pt;margin-top:17.582415pt;width:191.2pt;height:76.650pt;mso-position-horizontal-relative:page;mso-position-vertical-relative:paragraph;z-index:43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3"/>
                    <w:gridCol w:w="595"/>
                    <w:gridCol w:w="1305"/>
                    <w:gridCol w:w="595"/>
                    <w:gridCol w:w="653"/>
                  </w:tblGrid>
                  <w:tr>
                    <w:trPr>
                      <w:trHeight w:val="425" w:hRule="atLeast"/>
                    </w:trPr>
                    <w:tc>
                      <w:tcPr>
                        <w:tcW w:w="2553" w:type="dxa"/>
                        <w:gridSpan w:val="3"/>
                        <w:tcBorders>
                          <w:bottom w:val="single" w:sz="6" w:space="0" w:color="DADADA"/>
                        </w:tcBorders>
                      </w:tcPr>
                      <w:p>
                        <w:pPr>
                          <w:pStyle w:val="TableParagraph"/>
                          <w:rPr>
                            <w:sz w:val="22"/>
                          </w:rPr>
                        </w:pPr>
                      </w:p>
                    </w:tc>
                    <w:tc>
                      <w:tcPr>
                        <w:tcW w:w="595" w:type="dxa"/>
                        <w:vMerge w:val="restart"/>
                        <w:tcBorders>
                          <w:bottom w:val="single" w:sz="6" w:space="0" w:color="DADADA"/>
                        </w:tcBorders>
                        <w:shd w:val="clear" w:color="auto" w:fill="4472C4"/>
                      </w:tcPr>
                      <w:p>
                        <w:pPr>
                          <w:pStyle w:val="TableParagraph"/>
                          <w:rPr>
                            <w:sz w:val="22"/>
                          </w:rPr>
                        </w:pPr>
                      </w:p>
                    </w:tc>
                    <w:tc>
                      <w:tcPr>
                        <w:tcW w:w="653" w:type="dxa"/>
                        <w:tcBorders>
                          <w:bottom w:val="single" w:sz="6" w:space="0" w:color="DADADA"/>
                        </w:tcBorders>
                      </w:tcPr>
                      <w:p>
                        <w:pPr>
                          <w:pStyle w:val="TableParagraph"/>
                          <w:rPr>
                            <w:sz w:val="22"/>
                          </w:rPr>
                        </w:pPr>
                      </w:p>
                    </w:tc>
                  </w:tr>
                  <w:tr>
                    <w:trPr>
                      <w:trHeight w:val="527" w:hRule="atLeast"/>
                    </w:trPr>
                    <w:tc>
                      <w:tcPr>
                        <w:tcW w:w="653" w:type="dxa"/>
                        <w:tcBorders>
                          <w:top w:val="single" w:sz="6" w:space="0" w:color="DADADA"/>
                          <w:bottom w:val="single" w:sz="6" w:space="0" w:color="DADADA"/>
                        </w:tcBorders>
                      </w:tcPr>
                      <w:p>
                        <w:pPr>
                          <w:pStyle w:val="TableParagraph"/>
                          <w:rPr>
                            <w:sz w:val="22"/>
                          </w:rPr>
                        </w:pPr>
                      </w:p>
                    </w:tc>
                    <w:tc>
                      <w:tcPr>
                        <w:tcW w:w="595" w:type="dxa"/>
                        <w:vMerge w:val="restart"/>
                        <w:tcBorders>
                          <w:top w:val="single" w:sz="6" w:space="0" w:color="DADADA"/>
                          <w:bottom w:val="single" w:sz="6" w:space="0" w:color="DADADA"/>
                        </w:tcBorders>
                        <w:shd w:val="clear" w:color="auto" w:fill="4472C4"/>
                      </w:tcPr>
                      <w:p>
                        <w:pPr>
                          <w:pStyle w:val="TableParagraph"/>
                          <w:rPr>
                            <w:sz w:val="22"/>
                          </w:rPr>
                        </w:pPr>
                      </w:p>
                    </w:tc>
                    <w:tc>
                      <w:tcPr>
                        <w:tcW w:w="1305" w:type="dxa"/>
                        <w:tcBorders>
                          <w:top w:val="single" w:sz="6" w:space="0" w:color="DADADA"/>
                          <w:bottom w:val="single" w:sz="6" w:space="0" w:color="DADADA"/>
                        </w:tcBorders>
                      </w:tcPr>
                      <w:p>
                        <w:pPr>
                          <w:pStyle w:val="TableParagraph"/>
                          <w:rPr>
                            <w:sz w:val="22"/>
                          </w:rPr>
                        </w:pPr>
                      </w:p>
                    </w:tc>
                    <w:tc>
                      <w:tcPr>
                        <w:tcW w:w="595" w:type="dxa"/>
                        <w:vMerge/>
                        <w:tcBorders>
                          <w:top w:val="nil"/>
                          <w:bottom w:val="single" w:sz="6" w:space="0" w:color="DADADA"/>
                        </w:tcBorders>
                        <w:shd w:val="clear" w:color="auto" w:fill="4472C4"/>
                      </w:tcPr>
                      <w:p>
                        <w:pPr>
                          <w:rPr>
                            <w:sz w:val="2"/>
                            <w:szCs w:val="2"/>
                          </w:rPr>
                        </w:pPr>
                      </w:p>
                    </w:tc>
                    <w:tc>
                      <w:tcPr>
                        <w:tcW w:w="653" w:type="dxa"/>
                        <w:tcBorders>
                          <w:top w:val="single" w:sz="6" w:space="0" w:color="DADADA"/>
                          <w:bottom w:val="single" w:sz="6" w:space="0" w:color="DADADA"/>
                        </w:tcBorders>
                      </w:tcPr>
                      <w:p>
                        <w:pPr>
                          <w:pStyle w:val="TableParagraph"/>
                          <w:rPr>
                            <w:sz w:val="22"/>
                          </w:rPr>
                        </w:pPr>
                      </w:p>
                    </w:tc>
                  </w:tr>
                  <w:tr>
                    <w:trPr>
                      <w:trHeight w:val="527" w:hRule="atLeast"/>
                    </w:trPr>
                    <w:tc>
                      <w:tcPr>
                        <w:tcW w:w="653" w:type="dxa"/>
                        <w:tcBorders>
                          <w:top w:val="single" w:sz="6" w:space="0" w:color="DADADA"/>
                          <w:bottom w:val="single" w:sz="6" w:space="0" w:color="DADADA"/>
                        </w:tcBorders>
                      </w:tcPr>
                      <w:p>
                        <w:pPr>
                          <w:pStyle w:val="TableParagraph"/>
                          <w:rPr>
                            <w:sz w:val="22"/>
                          </w:rPr>
                        </w:pPr>
                      </w:p>
                    </w:tc>
                    <w:tc>
                      <w:tcPr>
                        <w:tcW w:w="595" w:type="dxa"/>
                        <w:vMerge/>
                        <w:tcBorders>
                          <w:top w:val="nil"/>
                          <w:bottom w:val="single" w:sz="6" w:space="0" w:color="DADADA"/>
                        </w:tcBorders>
                        <w:shd w:val="clear" w:color="auto" w:fill="4472C4"/>
                      </w:tcPr>
                      <w:p>
                        <w:pPr>
                          <w:rPr>
                            <w:sz w:val="2"/>
                            <w:szCs w:val="2"/>
                          </w:rPr>
                        </w:pPr>
                      </w:p>
                    </w:tc>
                    <w:tc>
                      <w:tcPr>
                        <w:tcW w:w="1305" w:type="dxa"/>
                        <w:tcBorders>
                          <w:top w:val="single" w:sz="6" w:space="0" w:color="DADADA"/>
                          <w:bottom w:val="single" w:sz="6" w:space="0" w:color="DADADA"/>
                        </w:tcBorders>
                      </w:tcPr>
                      <w:p>
                        <w:pPr>
                          <w:pStyle w:val="TableParagraph"/>
                          <w:rPr>
                            <w:sz w:val="22"/>
                          </w:rPr>
                        </w:pPr>
                      </w:p>
                    </w:tc>
                    <w:tc>
                      <w:tcPr>
                        <w:tcW w:w="595" w:type="dxa"/>
                        <w:vMerge/>
                        <w:tcBorders>
                          <w:top w:val="nil"/>
                          <w:bottom w:val="single" w:sz="6" w:space="0" w:color="DADADA"/>
                        </w:tcBorders>
                        <w:shd w:val="clear" w:color="auto" w:fill="4472C4"/>
                      </w:tcPr>
                      <w:p>
                        <w:pPr>
                          <w:rPr>
                            <w:sz w:val="2"/>
                            <w:szCs w:val="2"/>
                          </w:rPr>
                        </w:pPr>
                      </w:p>
                    </w:tc>
                    <w:tc>
                      <w:tcPr>
                        <w:tcW w:w="653" w:type="dxa"/>
                        <w:tcBorders>
                          <w:top w:val="single" w:sz="6" w:space="0" w:color="DADADA"/>
                          <w:bottom w:val="single" w:sz="6" w:space="0" w:color="DADADA"/>
                        </w:tcBorders>
                      </w:tcPr>
                      <w:p>
                        <w:pPr>
                          <w:pStyle w:val="TableParagraph"/>
                          <w:rPr>
                            <w:sz w:val="22"/>
                          </w:rPr>
                        </w:pPr>
                      </w:p>
                    </w:tc>
                  </w:tr>
                </w:tbl>
                <w:p>
                  <w:pPr>
                    <w:pStyle w:val="BodyText"/>
                  </w:pPr>
                </w:p>
              </w:txbxContent>
            </v:textbox>
            <w10:wrap type="none"/>
          </v:shape>
        </w:pict>
      </w:r>
      <w:r>
        <w:rPr>
          <w:rFonts w:ascii="Calibri"/>
          <w:color w:val="595958"/>
          <w:sz w:val="18"/>
        </w:rPr>
        <w:t>15</w:t>
      </w:r>
    </w:p>
    <w:p>
      <w:pPr>
        <w:pStyle w:val="BodyText"/>
        <w:spacing w:before="5"/>
        <w:rPr>
          <w:rFonts w:ascii="Calibri"/>
          <w:sz w:val="26"/>
        </w:rPr>
      </w:pPr>
    </w:p>
    <w:p>
      <w:pPr>
        <w:spacing w:before="0"/>
        <w:ind w:left="731" w:right="0" w:firstLine="0"/>
        <w:jc w:val="left"/>
        <w:rPr>
          <w:rFonts w:ascii="Calibri"/>
          <w:sz w:val="18"/>
        </w:rPr>
      </w:pPr>
      <w:r>
        <w:rPr>
          <w:rFonts w:ascii="Calibri"/>
          <w:color w:val="595958"/>
          <w:sz w:val="18"/>
        </w:rPr>
        <w:t>10</w:t>
      </w:r>
    </w:p>
    <w:p>
      <w:pPr>
        <w:pStyle w:val="BodyText"/>
        <w:spacing w:before="5"/>
        <w:rPr>
          <w:rFonts w:ascii="Calibri"/>
          <w:sz w:val="26"/>
        </w:rPr>
      </w:pPr>
    </w:p>
    <w:p>
      <w:pPr>
        <w:spacing w:before="0"/>
        <w:ind w:left="823" w:right="0" w:firstLine="0"/>
        <w:jc w:val="left"/>
        <w:rPr>
          <w:rFonts w:ascii="Calibri"/>
          <w:sz w:val="18"/>
        </w:rPr>
      </w:pPr>
      <w:r>
        <w:rPr>
          <w:rFonts w:ascii="Calibri"/>
          <w:color w:val="595958"/>
          <w:sz w:val="18"/>
        </w:rPr>
        <w:t>5</w:t>
      </w:r>
    </w:p>
    <w:p>
      <w:pPr>
        <w:pStyle w:val="BodyText"/>
        <w:spacing w:before="6"/>
        <w:rPr>
          <w:rFonts w:ascii="Calibri"/>
          <w:sz w:val="26"/>
        </w:rPr>
      </w:pPr>
    </w:p>
    <w:p>
      <w:pPr>
        <w:spacing w:before="0"/>
        <w:ind w:left="823" w:right="0" w:firstLine="0"/>
        <w:jc w:val="left"/>
        <w:rPr>
          <w:rFonts w:ascii="Calibri"/>
          <w:sz w:val="18"/>
        </w:rPr>
      </w:pPr>
      <w:r>
        <w:rPr>
          <w:rFonts w:ascii="Calibri"/>
          <w:color w:val="595958"/>
          <w:sz w:val="18"/>
        </w:rPr>
        <w:t>0</w:t>
      </w:r>
    </w:p>
    <w:p>
      <w:pPr>
        <w:tabs>
          <w:tab w:pos="3686" w:val="left" w:leader="none"/>
        </w:tabs>
        <w:spacing w:before="14"/>
        <w:ind w:left="1660" w:right="0" w:firstLine="0"/>
        <w:jc w:val="center"/>
        <w:rPr>
          <w:rFonts w:ascii="Calibri"/>
          <w:sz w:val="18"/>
        </w:rPr>
      </w:pPr>
      <w:r>
        <w:rPr>
          <w:rFonts w:ascii="Calibri"/>
          <w:color w:val="595958"/>
          <w:sz w:val="18"/>
        </w:rPr>
        <w:t>No</w:t>
      </w:r>
      <w:r>
        <w:rPr>
          <w:rFonts w:ascii="Calibri"/>
          <w:color w:val="595958"/>
          <w:spacing w:val="-1"/>
          <w:sz w:val="18"/>
        </w:rPr>
        <w:t> </w:t>
      </w:r>
      <w:r>
        <w:rPr>
          <w:rFonts w:ascii="Calibri"/>
          <w:color w:val="595958"/>
          <w:sz w:val="18"/>
        </w:rPr>
        <w:t>Crash</w:t>
        <w:tab/>
        <w:t>Crash</w:t>
      </w:r>
    </w:p>
    <w:p>
      <w:pPr>
        <w:pStyle w:val="BodyText"/>
        <w:rPr>
          <w:rFonts w:ascii="Calibri"/>
          <w:sz w:val="18"/>
        </w:rPr>
      </w:pPr>
      <w:r>
        <w:rPr/>
        <w:br w:type="column"/>
      </w:r>
      <w:r>
        <w:rPr>
          <w:rFonts w:ascii="Calibri"/>
          <w:sz w:val="18"/>
        </w:rPr>
      </w:r>
    </w:p>
    <w:p>
      <w:pPr>
        <w:pStyle w:val="BodyText"/>
        <w:spacing w:before="2"/>
        <w:rPr>
          <w:rFonts w:ascii="Calibri"/>
          <w:sz w:val="19"/>
        </w:rPr>
      </w:pPr>
    </w:p>
    <w:p>
      <w:pPr>
        <w:spacing w:before="0"/>
        <w:ind w:left="0" w:right="0" w:firstLine="0"/>
        <w:jc w:val="right"/>
        <w:rPr>
          <w:rFonts w:ascii="Calibri"/>
          <w:sz w:val="18"/>
        </w:rPr>
      </w:pPr>
      <w:r>
        <w:rPr>
          <w:rFonts w:ascii="Calibri"/>
          <w:color w:val="595958"/>
          <w:sz w:val="18"/>
        </w:rPr>
        <w:t>120</w:t>
      </w:r>
    </w:p>
    <w:p>
      <w:pPr>
        <w:spacing w:before="68"/>
        <w:ind w:left="0" w:right="0" w:firstLine="0"/>
        <w:jc w:val="right"/>
        <w:rPr>
          <w:rFonts w:ascii="Calibri"/>
          <w:sz w:val="18"/>
        </w:rPr>
      </w:pPr>
      <w:r>
        <w:rPr>
          <w:rFonts w:ascii="Calibri"/>
          <w:color w:val="595958"/>
          <w:sz w:val="18"/>
        </w:rPr>
        <w:t>100</w:t>
      </w:r>
    </w:p>
    <w:p>
      <w:pPr>
        <w:spacing w:before="67"/>
        <w:ind w:left="0" w:right="0" w:firstLine="0"/>
        <w:jc w:val="right"/>
        <w:rPr>
          <w:rFonts w:ascii="Calibri"/>
          <w:sz w:val="18"/>
        </w:rPr>
      </w:pPr>
      <w:r>
        <w:rPr>
          <w:rFonts w:ascii="Calibri"/>
          <w:color w:val="595958"/>
          <w:sz w:val="18"/>
        </w:rPr>
        <w:t>80</w:t>
      </w:r>
    </w:p>
    <w:p>
      <w:pPr>
        <w:spacing w:before="68"/>
        <w:ind w:left="0" w:right="0" w:firstLine="0"/>
        <w:jc w:val="right"/>
        <w:rPr>
          <w:rFonts w:ascii="Calibri"/>
          <w:sz w:val="18"/>
        </w:rPr>
      </w:pPr>
      <w:r>
        <w:rPr>
          <w:rFonts w:ascii="Calibri"/>
          <w:color w:val="595958"/>
          <w:sz w:val="18"/>
        </w:rPr>
        <w:t>60</w:t>
      </w:r>
    </w:p>
    <w:p>
      <w:pPr>
        <w:spacing w:before="68"/>
        <w:ind w:left="0" w:right="0" w:firstLine="0"/>
        <w:jc w:val="right"/>
        <w:rPr>
          <w:rFonts w:ascii="Calibri"/>
          <w:sz w:val="18"/>
        </w:rPr>
      </w:pPr>
      <w:r>
        <w:rPr>
          <w:rFonts w:ascii="Calibri"/>
          <w:color w:val="595958"/>
          <w:sz w:val="18"/>
        </w:rPr>
        <w:t>40</w:t>
      </w:r>
    </w:p>
    <w:p>
      <w:pPr>
        <w:spacing w:before="67"/>
        <w:ind w:left="0" w:right="0" w:firstLine="0"/>
        <w:jc w:val="right"/>
        <w:rPr>
          <w:rFonts w:ascii="Calibri"/>
          <w:sz w:val="18"/>
        </w:rPr>
      </w:pPr>
      <w:r>
        <w:rPr>
          <w:rFonts w:ascii="Calibri"/>
          <w:color w:val="595958"/>
          <w:sz w:val="18"/>
        </w:rPr>
        <w:t>20</w:t>
      </w:r>
    </w:p>
    <w:p>
      <w:pPr>
        <w:spacing w:before="68"/>
        <w:ind w:left="0" w:right="0" w:firstLine="0"/>
        <w:jc w:val="right"/>
        <w:rPr>
          <w:rFonts w:ascii="Calibri"/>
          <w:sz w:val="18"/>
        </w:rPr>
      </w:pPr>
      <w:r>
        <w:rPr>
          <w:rFonts w:ascii="Calibri"/>
          <w:color w:val="595958"/>
          <w:sz w:val="18"/>
        </w:rPr>
        <w:t>0</w:t>
      </w:r>
    </w:p>
    <w:p>
      <w:pPr>
        <w:spacing w:before="56"/>
        <w:ind w:left="718" w:right="0" w:firstLine="0"/>
        <w:jc w:val="left"/>
        <w:rPr>
          <w:rFonts w:ascii="Calibri"/>
          <w:sz w:val="22"/>
        </w:rPr>
      </w:pPr>
      <w:r>
        <w:rPr/>
        <w:br w:type="column"/>
      </w:r>
      <w:r>
        <w:rPr>
          <w:rFonts w:ascii="Calibri"/>
          <w:color w:val="595958"/>
          <w:sz w:val="22"/>
        </w:rPr>
        <w:t>Two-Way Traffic Road</w:t>
      </w:r>
    </w:p>
    <w:p>
      <w:pPr>
        <w:pStyle w:val="BodyText"/>
        <w:spacing w:before="7"/>
        <w:rPr>
          <w:rFonts w:ascii="Calibri"/>
          <w:sz w:val="16"/>
        </w:rPr>
      </w:pPr>
      <w:r>
        <w:rPr/>
        <w:pict>
          <v:line style="position:absolute;mso-position-horizontal-relative:page;mso-position-vertical-relative:paragraph;z-index:2240;mso-wrap-distance-left:0;mso-wrap-distance-right:0" from="339.600006pt,12.475713pt" to="514.920006pt,12.475713pt" stroked="true" strokeweight=".72pt" strokecolor="#dadada">
            <v:stroke dashstyle="solid"/>
            <w10:wrap type="topAndBottom"/>
          </v:line>
        </w:pict>
      </w:r>
    </w:p>
    <w:p>
      <w:pPr>
        <w:pStyle w:val="BodyText"/>
        <w:spacing w:before="4"/>
        <w:rPr>
          <w:rFonts w:ascii="Calibri"/>
          <w:sz w:val="9"/>
        </w:r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2"/>
        <w:gridCol w:w="549"/>
        <w:gridCol w:w="1202"/>
        <w:gridCol w:w="549"/>
        <w:gridCol w:w="602"/>
      </w:tblGrid>
      <w:tr>
        <w:trPr>
          <w:trHeight w:val="122" w:hRule="atLeast"/>
        </w:trPr>
        <w:tc>
          <w:tcPr>
            <w:tcW w:w="602" w:type="dxa"/>
            <w:tcBorders>
              <w:bottom w:val="single" w:sz="6" w:space="0" w:color="DADADA"/>
            </w:tcBorders>
          </w:tcPr>
          <w:p>
            <w:pPr>
              <w:pStyle w:val="TableParagraph"/>
              <w:rPr>
                <w:sz w:val="6"/>
              </w:rPr>
            </w:pPr>
          </w:p>
        </w:tc>
        <w:tc>
          <w:tcPr>
            <w:tcW w:w="549" w:type="dxa"/>
            <w:vMerge w:val="restart"/>
            <w:tcBorders>
              <w:bottom w:val="single" w:sz="6" w:space="0" w:color="DADADA"/>
            </w:tcBorders>
            <w:shd w:val="clear" w:color="auto" w:fill="4472C4"/>
          </w:tcPr>
          <w:p>
            <w:pPr>
              <w:pStyle w:val="TableParagraph"/>
              <w:rPr>
                <w:sz w:val="22"/>
              </w:rPr>
            </w:pPr>
          </w:p>
        </w:tc>
        <w:tc>
          <w:tcPr>
            <w:tcW w:w="2353" w:type="dxa"/>
            <w:gridSpan w:val="3"/>
            <w:tcBorders>
              <w:bottom w:val="single" w:sz="6" w:space="0" w:color="DADADA"/>
            </w:tcBorders>
          </w:tcPr>
          <w:p>
            <w:pPr>
              <w:pStyle w:val="TableParagraph"/>
              <w:rPr>
                <w:sz w:val="6"/>
              </w:rPr>
            </w:pPr>
          </w:p>
        </w:tc>
      </w:tr>
      <w:tr>
        <w:trPr>
          <w:trHeight w:val="271" w:hRule="atLeast"/>
        </w:trPr>
        <w:tc>
          <w:tcPr>
            <w:tcW w:w="6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2353" w:type="dxa"/>
            <w:gridSpan w:val="3"/>
            <w:tcBorders>
              <w:top w:val="single" w:sz="6" w:space="0" w:color="DADADA"/>
              <w:bottom w:val="single" w:sz="6" w:space="0" w:color="DADADA"/>
            </w:tcBorders>
          </w:tcPr>
          <w:p>
            <w:pPr>
              <w:pStyle w:val="TableParagraph"/>
              <w:rPr>
                <w:sz w:val="20"/>
              </w:rPr>
            </w:pPr>
          </w:p>
        </w:tc>
      </w:tr>
      <w:tr>
        <w:trPr>
          <w:trHeight w:val="271" w:hRule="atLeast"/>
        </w:trPr>
        <w:tc>
          <w:tcPr>
            <w:tcW w:w="6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2353" w:type="dxa"/>
            <w:gridSpan w:val="3"/>
            <w:tcBorders>
              <w:top w:val="single" w:sz="6" w:space="0" w:color="DADADA"/>
              <w:bottom w:val="single" w:sz="6" w:space="0" w:color="DADADA"/>
            </w:tcBorders>
          </w:tcPr>
          <w:p>
            <w:pPr>
              <w:pStyle w:val="TableParagraph"/>
              <w:rPr>
                <w:sz w:val="20"/>
              </w:rPr>
            </w:pPr>
          </w:p>
        </w:tc>
      </w:tr>
      <w:tr>
        <w:trPr>
          <w:trHeight w:val="272" w:hRule="atLeast"/>
        </w:trPr>
        <w:tc>
          <w:tcPr>
            <w:tcW w:w="6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1202" w:type="dxa"/>
            <w:tcBorders>
              <w:top w:val="single" w:sz="6" w:space="0" w:color="DADADA"/>
              <w:bottom w:val="single" w:sz="6" w:space="0" w:color="DADADA"/>
            </w:tcBorders>
          </w:tcPr>
          <w:p>
            <w:pPr>
              <w:pStyle w:val="TableParagraph"/>
              <w:rPr>
                <w:sz w:val="20"/>
              </w:rPr>
            </w:pPr>
          </w:p>
        </w:tc>
        <w:tc>
          <w:tcPr>
            <w:tcW w:w="549" w:type="dxa"/>
            <w:vMerge w:val="restart"/>
            <w:tcBorders>
              <w:top w:val="single" w:sz="6" w:space="0" w:color="DADADA"/>
              <w:bottom w:val="single" w:sz="6" w:space="0" w:color="DADADA"/>
            </w:tcBorders>
            <w:shd w:val="clear" w:color="auto" w:fill="4472C4"/>
          </w:tcPr>
          <w:p>
            <w:pPr>
              <w:pStyle w:val="TableParagraph"/>
              <w:rPr>
                <w:sz w:val="22"/>
              </w:rPr>
            </w:pPr>
          </w:p>
        </w:tc>
        <w:tc>
          <w:tcPr>
            <w:tcW w:w="602" w:type="dxa"/>
            <w:tcBorders>
              <w:top w:val="single" w:sz="6" w:space="0" w:color="DADADA"/>
              <w:bottom w:val="single" w:sz="6" w:space="0" w:color="DADADA"/>
            </w:tcBorders>
          </w:tcPr>
          <w:p>
            <w:pPr>
              <w:pStyle w:val="TableParagraph"/>
              <w:rPr>
                <w:sz w:val="20"/>
              </w:rPr>
            </w:pPr>
          </w:p>
        </w:tc>
      </w:tr>
      <w:tr>
        <w:trPr>
          <w:trHeight w:val="271" w:hRule="atLeast"/>
        </w:trPr>
        <w:tc>
          <w:tcPr>
            <w:tcW w:w="6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12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602" w:type="dxa"/>
            <w:tcBorders>
              <w:top w:val="single" w:sz="6" w:space="0" w:color="DADADA"/>
              <w:bottom w:val="single" w:sz="6" w:space="0" w:color="DADADA"/>
            </w:tcBorders>
          </w:tcPr>
          <w:p>
            <w:pPr>
              <w:pStyle w:val="TableParagraph"/>
              <w:rPr>
                <w:sz w:val="20"/>
              </w:rPr>
            </w:pPr>
          </w:p>
        </w:tc>
      </w:tr>
      <w:tr>
        <w:trPr>
          <w:trHeight w:val="271" w:hRule="atLeast"/>
        </w:trPr>
        <w:tc>
          <w:tcPr>
            <w:tcW w:w="6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1202" w:type="dxa"/>
            <w:tcBorders>
              <w:top w:val="single" w:sz="6" w:space="0" w:color="DADADA"/>
              <w:bottom w:val="single" w:sz="6" w:space="0" w:color="DADADA"/>
            </w:tcBorders>
          </w:tcPr>
          <w:p>
            <w:pPr>
              <w:pStyle w:val="TableParagraph"/>
              <w:rPr>
                <w:sz w:val="20"/>
              </w:rPr>
            </w:pPr>
          </w:p>
        </w:tc>
        <w:tc>
          <w:tcPr>
            <w:tcW w:w="549" w:type="dxa"/>
            <w:vMerge/>
            <w:tcBorders>
              <w:top w:val="nil"/>
              <w:bottom w:val="single" w:sz="6" w:space="0" w:color="DADADA"/>
            </w:tcBorders>
            <w:shd w:val="clear" w:color="auto" w:fill="4472C4"/>
          </w:tcPr>
          <w:p>
            <w:pPr>
              <w:rPr>
                <w:sz w:val="2"/>
                <w:szCs w:val="2"/>
              </w:rPr>
            </w:pPr>
          </w:p>
        </w:tc>
        <w:tc>
          <w:tcPr>
            <w:tcW w:w="602" w:type="dxa"/>
            <w:tcBorders>
              <w:top w:val="single" w:sz="6" w:space="0" w:color="DADADA"/>
              <w:bottom w:val="single" w:sz="6" w:space="0" w:color="DADADA"/>
            </w:tcBorders>
          </w:tcPr>
          <w:p>
            <w:pPr>
              <w:pStyle w:val="TableParagraph"/>
              <w:rPr>
                <w:sz w:val="20"/>
              </w:rPr>
            </w:pPr>
          </w:p>
        </w:tc>
      </w:tr>
    </w:tbl>
    <w:p>
      <w:pPr>
        <w:tabs>
          <w:tab w:pos="2550" w:val="left" w:leader="none"/>
        </w:tabs>
        <w:spacing w:before="107"/>
        <w:ind w:left="672" w:right="0" w:firstLine="0"/>
        <w:jc w:val="left"/>
        <w:rPr>
          <w:rFonts w:ascii="Calibri"/>
          <w:sz w:val="18"/>
        </w:rPr>
      </w:pPr>
      <w:r>
        <w:rPr>
          <w:rFonts w:ascii="Calibri"/>
          <w:color w:val="595958"/>
          <w:sz w:val="18"/>
        </w:rPr>
        <w:t>No</w:t>
      </w:r>
      <w:r>
        <w:rPr>
          <w:rFonts w:ascii="Calibri"/>
          <w:color w:val="595958"/>
          <w:spacing w:val="-1"/>
          <w:sz w:val="18"/>
        </w:rPr>
        <w:t> </w:t>
      </w:r>
      <w:r>
        <w:rPr>
          <w:rFonts w:ascii="Calibri"/>
          <w:color w:val="595958"/>
          <w:sz w:val="18"/>
        </w:rPr>
        <w:t>Crash</w:t>
        <w:tab/>
        <w:t>Crash</w:t>
      </w:r>
    </w:p>
    <w:p>
      <w:pPr>
        <w:spacing w:after="0"/>
        <w:jc w:val="left"/>
        <w:rPr>
          <w:rFonts w:ascii="Calibri"/>
          <w:sz w:val="18"/>
        </w:rPr>
        <w:sectPr>
          <w:type w:val="continuous"/>
          <w:pgSz w:w="12240" w:h="15840"/>
          <w:pgMar w:top="1500" w:bottom="280" w:left="1120" w:right="0"/>
          <w:cols w:num="3" w:equalWidth="0">
            <w:col w:w="4178" w:space="322"/>
            <w:col w:w="1006" w:space="39"/>
            <w:col w:w="5575"/>
          </w:cols>
        </w:sectPr>
      </w:pPr>
    </w:p>
    <w:p>
      <w:pPr>
        <w:pStyle w:val="BodyText"/>
        <w:rPr>
          <w:rFonts w:ascii="Calibri"/>
        </w:rPr>
      </w:pPr>
    </w:p>
    <w:p>
      <w:pPr>
        <w:spacing w:before="92"/>
        <w:ind w:left="1982" w:right="0" w:firstLine="0"/>
        <w:jc w:val="left"/>
        <w:rPr>
          <w:sz w:val="20"/>
        </w:rPr>
      </w:pPr>
      <w:bookmarkStart w:name="_bookmark43" w:id="223"/>
      <w:bookmarkEnd w:id="223"/>
      <w:r>
        <w:rPr/>
      </w:r>
      <w:r>
        <w:rPr>
          <w:sz w:val="20"/>
        </w:rPr>
        <w:t>Figure 6.1: Occurrence of Crashes on One-way Roads and Two-way Roads</w:t>
      </w:r>
    </w:p>
    <w:p>
      <w:pPr>
        <w:pStyle w:val="BodyText"/>
        <w:rPr>
          <w:sz w:val="22"/>
        </w:rPr>
      </w:pPr>
    </w:p>
    <w:p>
      <w:pPr>
        <w:pStyle w:val="BodyText"/>
        <w:spacing w:before="9"/>
        <w:rPr>
          <w:sz w:val="19"/>
        </w:rPr>
      </w:pPr>
    </w:p>
    <w:p>
      <w:pPr>
        <w:pStyle w:val="BodyText"/>
        <w:ind w:left="320" w:right="1534"/>
      </w:pPr>
      <w:r>
        <w:rPr/>
        <w:t>The effect of increased posted speeds on the probability of crashes is in the expected direction (an increase in speed increases the probability of a crash outcome). The continuous nature of how the speed was modeled also means that the effect is not linear and that larger speeds have a very significant effect on the overall probability prediction. The presence of a TWLTL is also positive. The hypothesis is that this additional width and turning conflicts add additional risk for pedestrians. It could also be capturing the effect of higher volumes associated with TWLTL roads. The modeling results for two-way traffic also likely reflect some association with more traffic and lanes on one-way streets. Finally, the total population density is associated with the potential pedestrian activity density in this area. We hypothesize that as the connectivity of the population density increases, the crash probability increases.</w:t>
      </w:r>
    </w:p>
    <w:p>
      <w:pPr>
        <w:pStyle w:val="BodyText"/>
        <w:spacing w:before="9"/>
        <w:rPr>
          <w:sz w:val="20"/>
        </w:rPr>
      </w:pPr>
    </w:p>
    <w:p>
      <w:pPr>
        <w:pStyle w:val="BodyText"/>
        <w:ind w:left="320" w:right="1436"/>
      </w:pPr>
      <w:r>
        <w:rPr/>
        <w:t>For intersections, the final pedestrian crash occurrence model includes the following variables: total population density; the number of transit lines through the intersection; the number of major road right-turn lanes; the major road AADT in 2014; the presence of a median on the minor road; and the number of right-turn lanes the minor road. The coefficients, standard error, p-value, and significance are shown in </w:t>
      </w:r>
      <w:hyperlink w:history="true" w:anchor="_bookmark44">
        <w:r>
          <w:rPr/>
          <w:t>Table 6.2</w:t>
        </w:r>
      </w:hyperlink>
      <w:r>
        <w:rPr/>
        <w:t>. Most of the significant variables were modeled as continuous variables and only the presence of a median on major roads is a categorical variable, with “no presence” as the base condition.</w:t>
      </w:r>
    </w:p>
    <w:p>
      <w:pPr>
        <w:spacing w:after="0"/>
        <w:sectPr>
          <w:type w:val="continuous"/>
          <w:pgSz w:w="12240" w:h="15840"/>
          <w:pgMar w:top="1500" w:bottom="280" w:left="1120" w:right="0"/>
        </w:sectPr>
      </w:pPr>
    </w:p>
    <w:p>
      <w:pPr>
        <w:spacing w:before="75"/>
        <w:ind w:left="320" w:right="0" w:firstLine="0"/>
        <w:jc w:val="left"/>
        <w:rPr>
          <w:b/>
          <w:sz w:val="20"/>
        </w:rPr>
      </w:pPr>
      <w:bookmarkStart w:name="_bookmark44" w:id="224"/>
      <w:bookmarkEnd w:id="224"/>
      <w:r>
        <w:rPr/>
      </w:r>
      <w:r>
        <w:rPr>
          <w:b/>
          <w:sz w:val="20"/>
        </w:rPr>
        <w:t>Table 6.2: Model 2: Pedestrian Intersection Crash Occurrence Model Results</w:t>
      </w:r>
    </w:p>
    <w:tbl>
      <w:tblPr>
        <w:tblW w:w="0" w:type="auto"/>
        <w:jc w:val="left"/>
        <w:tblInd w:w="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403"/>
        <w:gridCol w:w="1283"/>
        <w:gridCol w:w="1165"/>
        <w:gridCol w:w="966"/>
        <w:gridCol w:w="1249"/>
        <w:gridCol w:w="1385"/>
      </w:tblGrid>
      <w:tr>
        <w:trPr>
          <w:trHeight w:val="459" w:hRule="atLeast"/>
        </w:trPr>
        <w:tc>
          <w:tcPr>
            <w:tcW w:w="3403" w:type="dxa"/>
            <w:tcBorders>
              <w:left w:val="nil"/>
              <w:right w:val="single" w:sz="4" w:space="0" w:color="000000"/>
            </w:tcBorders>
          </w:tcPr>
          <w:p>
            <w:pPr>
              <w:pStyle w:val="TableParagraph"/>
              <w:spacing w:before="113"/>
              <w:ind w:left="108"/>
              <w:rPr>
                <w:b/>
                <w:sz w:val="20"/>
              </w:rPr>
            </w:pPr>
            <w:r>
              <w:rPr>
                <w:b/>
                <w:sz w:val="20"/>
              </w:rPr>
              <w:t>Variable</w:t>
            </w:r>
          </w:p>
        </w:tc>
        <w:tc>
          <w:tcPr>
            <w:tcW w:w="1283" w:type="dxa"/>
            <w:tcBorders>
              <w:left w:val="single" w:sz="4" w:space="0" w:color="000000"/>
              <w:right w:val="single" w:sz="4" w:space="0" w:color="000000"/>
            </w:tcBorders>
          </w:tcPr>
          <w:p>
            <w:pPr>
              <w:pStyle w:val="TableParagraph"/>
              <w:spacing w:before="113"/>
              <w:ind w:left="103"/>
              <w:rPr>
                <w:b/>
                <w:sz w:val="20"/>
              </w:rPr>
            </w:pPr>
            <w:r>
              <w:rPr>
                <w:b/>
                <w:sz w:val="20"/>
              </w:rPr>
              <w:t>Coefficients</w:t>
            </w:r>
          </w:p>
        </w:tc>
        <w:tc>
          <w:tcPr>
            <w:tcW w:w="1165" w:type="dxa"/>
            <w:tcBorders>
              <w:left w:val="single" w:sz="4" w:space="0" w:color="000000"/>
              <w:right w:val="single" w:sz="4" w:space="0" w:color="000000"/>
            </w:tcBorders>
          </w:tcPr>
          <w:p>
            <w:pPr>
              <w:pStyle w:val="TableParagraph"/>
              <w:spacing w:line="230" w:lineRule="exact" w:before="2"/>
              <w:ind w:left="103" w:right="231"/>
              <w:rPr>
                <w:b/>
                <w:sz w:val="20"/>
              </w:rPr>
            </w:pPr>
            <w:r>
              <w:rPr>
                <w:b/>
                <w:sz w:val="20"/>
              </w:rPr>
              <w:t>Standard Error</w:t>
            </w:r>
          </w:p>
        </w:tc>
        <w:tc>
          <w:tcPr>
            <w:tcW w:w="966" w:type="dxa"/>
            <w:tcBorders>
              <w:left w:val="single" w:sz="4" w:space="0" w:color="000000"/>
              <w:right w:val="single" w:sz="4" w:space="0" w:color="000000"/>
            </w:tcBorders>
          </w:tcPr>
          <w:p>
            <w:pPr>
              <w:pStyle w:val="TableParagraph"/>
              <w:spacing w:before="113"/>
              <w:ind w:left="102"/>
              <w:rPr>
                <w:b/>
                <w:sz w:val="20"/>
              </w:rPr>
            </w:pPr>
            <w:r>
              <w:rPr>
                <w:b/>
                <w:sz w:val="20"/>
              </w:rPr>
              <w:t>P-value</w:t>
            </w:r>
          </w:p>
        </w:tc>
        <w:tc>
          <w:tcPr>
            <w:tcW w:w="1249" w:type="dxa"/>
            <w:tcBorders>
              <w:left w:val="single" w:sz="4" w:space="0" w:color="000000"/>
              <w:right w:val="single" w:sz="4" w:space="0" w:color="000000"/>
            </w:tcBorders>
          </w:tcPr>
          <w:p>
            <w:pPr>
              <w:pStyle w:val="TableParagraph"/>
              <w:spacing w:before="113"/>
              <w:ind w:left="101"/>
              <w:rPr>
                <w:b/>
                <w:sz w:val="20"/>
              </w:rPr>
            </w:pPr>
            <w:r>
              <w:rPr>
                <w:b/>
                <w:sz w:val="20"/>
              </w:rPr>
              <w:t>Significance</w:t>
            </w:r>
          </w:p>
        </w:tc>
        <w:tc>
          <w:tcPr>
            <w:tcW w:w="1385" w:type="dxa"/>
            <w:tcBorders>
              <w:left w:val="single" w:sz="4" w:space="0" w:color="000000"/>
              <w:right w:val="nil"/>
            </w:tcBorders>
          </w:tcPr>
          <w:p>
            <w:pPr>
              <w:pStyle w:val="TableParagraph"/>
              <w:spacing w:before="113"/>
              <w:ind w:left="103"/>
              <w:rPr>
                <w:b/>
                <w:sz w:val="20"/>
              </w:rPr>
            </w:pPr>
            <w:r>
              <w:rPr>
                <w:b/>
                <w:sz w:val="20"/>
              </w:rPr>
              <w:t>Odds Ratio</w:t>
            </w:r>
          </w:p>
        </w:tc>
      </w:tr>
      <w:tr>
        <w:trPr>
          <w:trHeight w:val="457" w:hRule="atLeast"/>
        </w:trPr>
        <w:tc>
          <w:tcPr>
            <w:tcW w:w="3403" w:type="dxa"/>
            <w:tcBorders>
              <w:left w:val="nil"/>
              <w:bottom w:val="single" w:sz="4" w:space="0" w:color="000000"/>
              <w:right w:val="single" w:sz="4" w:space="0" w:color="000000"/>
            </w:tcBorders>
          </w:tcPr>
          <w:p>
            <w:pPr>
              <w:pStyle w:val="TableParagraph"/>
              <w:spacing w:line="224" w:lineRule="exact"/>
              <w:ind w:left="108"/>
              <w:rPr>
                <w:sz w:val="20"/>
              </w:rPr>
            </w:pPr>
            <w:r>
              <w:rPr>
                <w:sz w:val="20"/>
              </w:rPr>
              <w:t>Total population density (people per</w:t>
            </w:r>
          </w:p>
          <w:p>
            <w:pPr>
              <w:pStyle w:val="TableParagraph"/>
              <w:spacing w:line="212" w:lineRule="exact"/>
              <w:ind w:left="108"/>
              <w:rPr>
                <w:sz w:val="20"/>
              </w:rPr>
            </w:pPr>
            <w:r>
              <w:rPr>
                <w:sz w:val="20"/>
              </w:rPr>
              <w:t>square mile)</w:t>
            </w:r>
          </w:p>
        </w:tc>
        <w:tc>
          <w:tcPr>
            <w:tcW w:w="1283"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0.00024</w:t>
            </w:r>
          </w:p>
        </w:tc>
        <w:tc>
          <w:tcPr>
            <w:tcW w:w="1165"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0.000072</w:t>
            </w:r>
          </w:p>
        </w:tc>
        <w:tc>
          <w:tcPr>
            <w:tcW w:w="966"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0.000</w:t>
            </w:r>
          </w:p>
        </w:tc>
        <w:tc>
          <w:tcPr>
            <w:tcW w:w="1249"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w:t>
            </w:r>
          </w:p>
        </w:tc>
        <w:tc>
          <w:tcPr>
            <w:tcW w:w="1385" w:type="dxa"/>
            <w:tcBorders>
              <w:left w:val="single" w:sz="4" w:space="0" w:color="000000"/>
              <w:bottom w:val="single" w:sz="4" w:space="0" w:color="000000"/>
              <w:right w:val="nil"/>
            </w:tcBorders>
          </w:tcPr>
          <w:p>
            <w:pPr>
              <w:pStyle w:val="TableParagraph"/>
              <w:spacing w:before="109"/>
              <w:ind w:left="103"/>
              <w:rPr>
                <w:sz w:val="20"/>
              </w:rPr>
            </w:pPr>
            <w:r>
              <w:rPr>
                <w:sz w:val="20"/>
              </w:rPr>
              <w:t>1.000</w:t>
            </w:r>
          </w:p>
        </w:tc>
      </w:tr>
      <w:tr>
        <w:trPr>
          <w:trHeight w:val="460" w:hRule="atLeast"/>
        </w:trPr>
        <w:tc>
          <w:tcPr>
            <w:tcW w:w="3403" w:type="dxa"/>
            <w:tcBorders>
              <w:top w:val="single" w:sz="4" w:space="0" w:color="000000"/>
              <w:left w:val="nil"/>
              <w:bottom w:val="single" w:sz="4" w:space="0" w:color="000000"/>
              <w:right w:val="single" w:sz="4" w:space="0" w:color="000000"/>
            </w:tcBorders>
          </w:tcPr>
          <w:p>
            <w:pPr>
              <w:pStyle w:val="TableParagraph"/>
              <w:tabs>
                <w:tab w:pos="979" w:val="left" w:leader="none"/>
                <w:tab w:pos="1361" w:val="left" w:leader="none"/>
                <w:tab w:pos="2078" w:val="left" w:leader="none"/>
                <w:tab w:pos="2672" w:val="left" w:leader="none"/>
              </w:tabs>
              <w:spacing w:line="230" w:lineRule="exact"/>
              <w:ind w:left="108" w:right="101"/>
              <w:rPr>
                <w:sz w:val="20"/>
              </w:rPr>
            </w:pPr>
            <w:r>
              <w:rPr>
                <w:sz w:val="20"/>
              </w:rPr>
              <w:t>Number</w:t>
              <w:tab/>
              <w:t>of</w:t>
              <w:tab/>
              <w:t>transit</w:t>
              <w:tab/>
              <w:t>lines</w:t>
              <w:tab/>
            </w:r>
            <w:r>
              <w:rPr>
                <w:spacing w:val="-4"/>
                <w:sz w:val="20"/>
              </w:rPr>
              <w:t>through </w:t>
            </w:r>
            <w:r>
              <w:rPr>
                <w:sz w:val="20"/>
              </w:rPr>
              <w:t>intersection</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0.383</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0.208</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before="112"/>
              <w:ind w:left="102"/>
              <w:rPr>
                <w:sz w:val="20"/>
              </w:rPr>
            </w:pPr>
            <w:r>
              <w:rPr>
                <w:sz w:val="20"/>
              </w:rPr>
              <w:t>0.065</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before="112"/>
              <w:ind w:left="102"/>
              <w:rPr>
                <w:sz w:val="20"/>
              </w:rPr>
            </w:pPr>
            <w:r>
              <w:rPr>
                <w:w w:val="100"/>
                <w:sz w:val="20"/>
              </w:rPr>
              <w:t>.</w:t>
            </w:r>
          </w:p>
        </w:tc>
        <w:tc>
          <w:tcPr>
            <w:tcW w:w="1385" w:type="dxa"/>
            <w:tcBorders>
              <w:top w:val="single" w:sz="4" w:space="0" w:color="000000"/>
              <w:left w:val="single" w:sz="4" w:space="0" w:color="000000"/>
              <w:bottom w:val="single" w:sz="4" w:space="0" w:color="000000"/>
              <w:right w:val="nil"/>
            </w:tcBorders>
          </w:tcPr>
          <w:p>
            <w:pPr>
              <w:pStyle w:val="TableParagraph"/>
              <w:spacing w:before="112"/>
              <w:ind w:left="103"/>
              <w:rPr>
                <w:sz w:val="20"/>
              </w:rPr>
            </w:pPr>
            <w:r>
              <w:rPr>
                <w:sz w:val="20"/>
              </w:rPr>
              <w:t>1.467</w:t>
            </w:r>
          </w:p>
        </w:tc>
      </w:tr>
      <w:tr>
        <w:trPr>
          <w:trHeight w:val="299" w:hRule="atLeast"/>
        </w:trPr>
        <w:tc>
          <w:tcPr>
            <w:tcW w:w="3403" w:type="dxa"/>
            <w:tcBorders>
              <w:top w:val="single" w:sz="4" w:space="0" w:color="000000"/>
              <w:left w:val="nil"/>
              <w:bottom w:val="single" w:sz="4" w:space="0" w:color="000000"/>
              <w:right w:val="single" w:sz="4" w:space="0" w:color="000000"/>
            </w:tcBorders>
          </w:tcPr>
          <w:p>
            <w:pPr>
              <w:pStyle w:val="TableParagraph"/>
              <w:spacing w:before="31"/>
              <w:ind w:left="108"/>
              <w:rPr>
                <w:sz w:val="20"/>
              </w:rPr>
            </w:pPr>
            <w:r>
              <w:rPr>
                <w:sz w:val="20"/>
              </w:rPr>
              <w:t>Major road, number of right-turn lanes</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0.784</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0.432</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0.070</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w w:val="100"/>
                <w:sz w:val="20"/>
              </w:rPr>
              <w:t>.</w:t>
            </w:r>
          </w:p>
        </w:tc>
        <w:tc>
          <w:tcPr>
            <w:tcW w:w="1385" w:type="dxa"/>
            <w:tcBorders>
              <w:top w:val="single" w:sz="4" w:space="0" w:color="000000"/>
              <w:left w:val="single" w:sz="4" w:space="0" w:color="000000"/>
              <w:bottom w:val="single" w:sz="4" w:space="0" w:color="000000"/>
              <w:right w:val="nil"/>
            </w:tcBorders>
          </w:tcPr>
          <w:p>
            <w:pPr>
              <w:pStyle w:val="TableParagraph"/>
              <w:spacing w:before="31"/>
              <w:ind w:left="103"/>
              <w:rPr>
                <w:sz w:val="20"/>
              </w:rPr>
            </w:pPr>
            <w:r>
              <w:rPr>
                <w:sz w:val="20"/>
              </w:rPr>
              <w:t>2.190</w:t>
            </w:r>
          </w:p>
        </w:tc>
      </w:tr>
      <w:tr>
        <w:trPr>
          <w:trHeight w:val="315" w:hRule="atLeast"/>
        </w:trPr>
        <w:tc>
          <w:tcPr>
            <w:tcW w:w="3403"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Major road, AADT 2014</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0.000063</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0.000023</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before="40"/>
              <w:ind w:left="101"/>
              <w:rPr>
                <w:sz w:val="20"/>
              </w:rPr>
            </w:pPr>
            <w:r>
              <w:rPr>
                <w:sz w:val="20"/>
              </w:rPr>
              <w:t>0.005</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w:t>
            </w:r>
          </w:p>
        </w:tc>
        <w:tc>
          <w:tcPr>
            <w:tcW w:w="1385" w:type="dxa"/>
            <w:tcBorders>
              <w:top w:val="single" w:sz="4" w:space="0" w:color="000000"/>
              <w:left w:val="single" w:sz="4" w:space="0" w:color="000000"/>
              <w:bottom w:val="single" w:sz="4" w:space="0" w:color="000000"/>
              <w:right w:val="nil"/>
            </w:tcBorders>
          </w:tcPr>
          <w:p>
            <w:pPr>
              <w:pStyle w:val="TableParagraph"/>
              <w:spacing w:before="40"/>
              <w:ind w:left="103"/>
              <w:rPr>
                <w:sz w:val="20"/>
              </w:rPr>
            </w:pPr>
            <w:r>
              <w:rPr>
                <w:sz w:val="20"/>
              </w:rPr>
              <w:t>1.000</w:t>
            </w:r>
          </w:p>
        </w:tc>
      </w:tr>
      <w:tr>
        <w:trPr>
          <w:trHeight w:val="315" w:hRule="atLeast"/>
        </w:trPr>
        <w:tc>
          <w:tcPr>
            <w:tcW w:w="3403"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Minor road, presence of median</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-1.260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0.664</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before="40"/>
              <w:ind w:left="101"/>
              <w:rPr>
                <w:sz w:val="20"/>
              </w:rPr>
            </w:pPr>
            <w:r>
              <w:rPr>
                <w:sz w:val="20"/>
              </w:rPr>
              <w:t>0.058</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before="40"/>
              <w:ind w:left="101"/>
              <w:rPr>
                <w:sz w:val="20"/>
              </w:rPr>
            </w:pPr>
            <w:r>
              <w:rPr>
                <w:w w:val="100"/>
                <w:sz w:val="20"/>
              </w:rPr>
              <w:t>.</w:t>
            </w:r>
          </w:p>
        </w:tc>
        <w:tc>
          <w:tcPr>
            <w:tcW w:w="1385" w:type="dxa"/>
            <w:tcBorders>
              <w:top w:val="single" w:sz="4" w:space="0" w:color="000000"/>
              <w:left w:val="single" w:sz="4" w:space="0" w:color="000000"/>
              <w:bottom w:val="single" w:sz="4" w:space="0" w:color="000000"/>
              <w:right w:val="nil"/>
            </w:tcBorders>
          </w:tcPr>
          <w:p>
            <w:pPr>
              <w:pStyle w:val="TableParagraph"/>
              <w:spacing w:before="40"/>
              <w:ind w:left="103"/>
              <w:rPr>
                <w:sz w:val="20"/>
              </w:rPr>
            </w:pPr>
            <w:r>
              <w:rPr>
                <w:sz w:val="20"/>
              </w:rPr>
              <w:t>0.284</w:t>
            </w:r>
          </w:p>
        </w:tc>
      </w:tr>
      <w:tr>
        <w:trPr>
          <w:trHeight w:val="315" w:hRule="atLeast"/>
        </w:trPr>
        <w:tc>
          <w:tcPr>
            <w:tcW w:w="3403"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Minor road, number of right-turn lanes</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-1.312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0.440</w:t>
            </w:r>
          </w:p>
        </w:tc>
        <w:tc>
          <w:tcPr>
            <w:tcW w:w="966" w:type="dxa"/>
            <w:tcBorders>
              <w:top w:val="single" w:sz="4" w:space="0" w:color="000000"/>
              <w:left w:val="single" w:sz="4" w:space="0" w:color="000000"/>
              <w:bottom w:val="single" w:sz="4" w:space="0" w:color="000000"/>
              <w:right w:val="single" w:sz="4" w:space="0" w:color="000000"/>
            </w:tcBorders>
          </w:tcPr>
          <w:p>
            <w:pPr>
              <w:pStyle w:val="TableParagraph"/>
              <w:spacing w:before="40"/>
              <w:ind w:left="101"/>
              <w:rPr>
                <w:sz w:val="20"/>
              </w:rPr>
            </w:pPr>
            <w:r>
              <w:rPr>
                <w:sz w:val="20"/>
              </w:rPr>
              <w:t>0.003</w:t>
            </w:r>
          </w:p>
        </w:tc>
        <w:tc>
          <w:tcPr>
            <w:tcW w:w="1249" w:type="dxa"/>
            <w:tcBorders>
              <w:top w:val="single" w:sz="4" w:space="0" w:color="000000"/>
              <w:left w:val="single" w:sz="4" w:space="0" w:color="000000"/>
              <w:bottom w:val="single" w:sz="4" w:space="0" w:color="000000"/>
              <w:right w:val="single" w:sz="4" w:space="0" w:color="000000"/>
            </w:tcBorders>
          </w:tcPr>
          <w:p>
            <w:pPr>
              <w:pStyle w:val="TableParagraph"/>
              <w:spacing w:before="40"/>
              <w:ind w:left="101"/>
              <w:rPr>
                <w:sz w:val="20"/>
              </w:rPr>
            </w:pPr>
            <w:r>
              <w:rPr>
                <w:sz w:val="20"/>
              </w:rPr>
              <w:t>**</w:t>
            </w:r>
          </w:p>
        </w:tc>
        <w:tc>
          <w:tcPr>
            <w:tcW w:w="1385" w:type="dxa"/>
            <w:tcBorders>
              <w:top w:val="single" w:sz="4" w:space="0" w:color="000000"/>
              <w:left w:val="single" w:sz="4" w:space="0" w:color="000000"/>
              <w:bottom w:val="single" w:sz="4" w:space="0" w:color="000000"/>
              <w:right w:val="nil"/>
            </w:tcBorders>
          </w:tcPr>
          <w:p>
            <w:pPr>
              <w:pStyle w:val="TableParagraph"/>
              <w:spacing w:before="40"/>
              <w:ind w:left="103"/>
              <w:rPr>
                <w:sz w:val="20"/>
              </w:rPr>
            </w:pPr>
            <w:r>
              <w:rPr>
                <w:sz w:val="20"/>
              </w:rPr>
              <w:t>0.269</w:t>
            </w:r>
          </w:p>
        </w:tc>
      </w:tr>
    </w:tbl>
    <w:p>
      <w:pPr>
        <w:spacing w:line="338" w:lineRule="auto" w:before="37"/>
        <w:ind w:left="382" w:right="3340" w:firstLine="0"/>
        <w:jc w:val="left"/>
        <w:rPr>
          <w:sz w:val="18"/>
        </w:rPr>
      </w:pPr>
      <w:r>
        <w:rPr/>
        <w:pict>
          <v:line style="position:absolute;mso-position-horizontal-relative:page;mso-position-vertical-relative:paragraph;z-index:-254416" from="69.720001pt,16.009476pt" to="542.279001pt,16.009476pt" stroked="true" strokeweight=".481pt" strokecolor="#000000">
            <v:stroke dashstyle="solid"/>
            <w10:wrap type="none"/>
          </v:line>
        </w:pict>
      </w:r>
      <w:r>
        <w:rPr/>
        <w:pict>
          <v:line style="position:absolute;mso-position-horizontal-relative:page;mso-position-vertical-relative:paragraph;z-index:-254392" from="69.720001pt,32.209476pt" to="542.279001pt,32.209476pt" stroked="true" strokeweight=".481pt" strokecolor="#000000">
            <v:stroke dashstyle="solid"/>
            <w10:wrap type="none"/>
          </v:line>
        </w:pict>
      </w:r>
      <w:r>
        <w:rPr/>
        <w:pict>
          <v:line style="position:absolute;mso-position-horizontal-relative:page;mso-position-vertical-relative:paragraph;z-index:4408" from="69pt,48.979977pt" to="542.28pt,48.979977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238.99 on 183 degrees of freedom Residual deviance (measure the goodness of fit of a logit model)</w:t>
      </w:r>
      <w:r>
        <w:rPr>
          <w:rFonts w:ascii="MS PGothic" w:eastAsia="MS PGothic" w:hint="eastAsia"/>
          <w:sz w:val="18"/>
        </w:rPr>
        <w:t>： </w:t>
      </w:r>
      <w:r>
        <w:rPr>
          <w:sz w:val="18"/>
        </w:rPr>
        <w:t>195.40 on 177 degrees of freedom AIC</w:t>
      </w:r>
      <w:r>
        <w:rPr>
          <w:rFonts w:ascii="MS PGothic" w:eastAsia="MS PGothic" w:hint="eastAsia"/>
          <w:sz w:val="18"/>
        </w:rPr>
        <w:t>： </w:t>
      </w:r>
      <w:r>
        <w:rPr>
          <w:sz w:val="18"/>
        </w:rPr>
        <w:t>209.4</w:t>
      </w:r>
    </w:p>
    <w:p>
      <w:pPr>
        <w:pStyle w:val="BodyText"/>
        <w:spacing w:line="255" w:lineRule="exact"/>
        <w:ind w:left="320"/>
      </w:pPr>
      <w:r>
        <w:rPr/>
        <w:t>Significant Code: 0 ‘***’; 0.001 ‘**’; 0.01 ‘*’; 0.05 ‘.’; 0.1 ‘ ’.</w:t>
      </w:r>
    </w:p>
    <w:p>
      <w:pPr>
        <w:pStyle w:val="BodyText"/>
      </w:pPr>
    </w:p>
    <w:p>
      <w:pPr>
        <w:pStyle w:val="BodyText"/>
        <w:ind w:left="319" w:right="1503"/>
      </w:pPr>
      <w:r>
        <w:rPr/>
        <w:t>The variables for population density, major road AADT and the number of transit lines all relate to the exposure of pedestrians at intersections. All of the variables show increased probability of a crash with increases in the variable. The three remaining significant variables relate to right- turn lanes on the major and minor roads and the presence of a median on the minor road. The presence of a median has a negative sign on the coefficient, meaning that it reduces the probability of pedestrian crashes. One interpretation is that the median space might provide a refuge on long pedestrian crossings. The right-turn lane numbers differ by whether they are on the major or minor road. On the major road, the number of right-turn lanes increases the crash probability. The presence of right-turning traffic is a risk for pedestrians (which this variable is a proxy for). Finally, the right-turn lane would increase the pedestrian’s crossing distance. On the minor road, the presence of the right-turn lanes has the opposite effect. This variable is possible capturing other effects and it is not easy to explain the difference.</w:t>
      </w:r>
    </w:p>
    <w:p>
      <w:pPr>
        <w:pStyle w:val="BodyText"/>
        <w:spacing w:before="2"/>
        <w:rPr>
          <w:sz w:val="21"/>
        </w:rPr>
      </w:pPr>
    </w:p>
    <w:p>
      <w:pPr>
        <w:pStyle w:val="Heading3"/>
        <w:ind w:left="320" w:firstLine="0"/>
      </w:pPr>
      <w:bookmarkStart w:name="_TOC_250021" w:id="225"/>
      <w:bookmarkStart w:name="6.1.2 Crash Severity" w:id="226"/>
      <w:r>
        <w:rPr>
          <w:b w:val="0"/>
        </w:rPr>
      </w:r>
      <w:bookmarkEnd w:id="225"/>
      <w:r>
        <w:rPr/>
        <w:t>6.1.2 Crash Severity</w:t>
      </w:r>
    </w:p>
    <w:p>
      <w:pPr>
        <w:pStyle w:val="BodyText"/>
        <w:spacing w:before="236"/>
        <w:ind w:left="320" w:right="1676"/>
      </w:pPr>
      <w:hyperlink w:history="true" w:anchor="_bookmark45">
        <w:r>
          <w:rPr/>
          <w:t>Table 6.3</w:t>
        </w:r>
      </w:hyperlink>
      <w:r>
        <w:rPr/>
        <w:t> and </w:t>
      </w:r>
      <w:hyperlink w:history="true" w:anchor="_bookmark46">
        <w:r>
          <w:rPr/>
          <w:t>Table 6.4 </w:t>
        </w:r>
      </w:hyperlink>
      <w:r>
        <w:rPr/>
        <w:t>summarize the results of the pedestrian segment and intersection crash severity model. The modeling explored the independent variable with the two recoded crash groups.</w:t>
      </w:r>
    </w:p>
    <w:p>
      <w:pPr>
        <w:pStyle w:val="BodyText"/>
        <w:spacing w:before="10"/>
        <w:rPr>
          <w:sz w:val="20"/>
        </w:rPr>
      </w:pPr>
    </w:p>
    <w:p>
      <w:pPr>
        <w:pStyle w:val="BodyText"/>
        <w:spacing w:line="448" w:lineRule="auto"/>
        <w:ind w:left="320" w:right="4186"/>
      </w:pPr>
      <w:r>
        <w:rPr/>
        <w:t>0 = Presence of property damage only (PDO) or Injury C-level crash 1 = Presence of a fatal, Injury A-level and Injury B-level crash</w:t>
      </w:r>
    </w:p>
    <w:p>
      <w:pPr>
        <w:pStyle w:val="BodyText"/>
        <w:ind w:left="1040"/>
      </w:pPr>
      <w:r>
        <w:rPr/>
        <w:t>and:</w:t>
      </w:r>
    </w:p>
    <w:p>
      <w:pPr>
        <w:pStyle w:val="BodyText"/>
        <w:spacing w:before="10"/>
        <w:rPr>
          <w:sz w:val="20"/>
        </w:rPr>
      </w:pPr>
    </w:p>
    <w:p>
      <w:pPr>
        <w:pStyle w:val="BodyText"/>
        <w:spacing w:line="448" w:lineRule="auto"/>
        <w:ind w:left="319" w:right="2714"/>
      </w:pPr>
      <w:r>
        <w:rPr/>
        <w:t>0 = Presence of property damage only (PDO), Injury C-level or Injury B-level crash 1 = Presence of fatal, Injury A-level crash</w:t>
      </w:r>
    </w:p>
    <w:p>
      <w:pPr>
        <w:pStyle w:val="BodyText"/>
        <w:ind w:left="319" w:right="1690"/>
      </w:pPr>
      <w:r>
        <w:rPr/>
        <w:t>The second grouping produced fewer significant variables, thus only the first group is reported here. The pedestrian crash severity model has only three significant variables: retail density, AADT, and the presence of lighting. The sign for all variables is not in the expected direction (increases in the variables decrease the crash probability). The intersection severity model has many of the same significant variables as the crash occurrence model, but again many of the</w:t>
      </w:r>
    </w:p>
    <w:p>
      <w:pPr>
        <w:spacing w:after="0"/>
        <w:sectPr>
          <w:pgSz w:w="12240" w:h="15840"/>
          <w:pgMar w:header="0" w:footer="709" w:top="920" w:bottom="980" w:left="1120" w:right="0"/>
        </w:sectPr>
      </w:pPr>
    </w:p>
    <w:p>
      <w:pPr>
        <w:pStyle w:val="BodyText"/>
        <w:spacing w:before="72"/>
        <w:ind w:left="320" w:right="1710"/>
      </w:pPr>
      <w:r>
        <w:rPr/>
        <w:t>coefficient estimates are not expected (e.g., the AADT estimate is negative). We conclude that our modeling dataset was not sufficient to estimate models based on crash severity.</w:t>
      </w:r>
    </w:p>
    <w:p>
      <w:pPr>
        <w:pStyle w:val="BodyText"/>
        <w:spacing w:before="1"/>
        <w:rPr>
          <w:sz w:val="21"/>
        </w:rPr>
      </w:pPr>
    </w:p>
    <w:p>
      <w:pPr>
        <w:spacing w:before="1"/>
        <w:ind w:left="320" w:right="0" w:firstLine="0"/>
        <w:jc w:val="left"/>
        <w:rPr>
          <w:b/>
          <w:sz w:val="20"/>
        </w:rPr>
      </w:pPr>
      <w:bookmarkStart w:name="_bookmark45" w:id="227"/>
      <w:bookmarkEnd w:id="227"/>
      <w:r>
        <w:rPr/>
      </w:r>
      <w:r>
        <w:rPr>
          <w:b/>
          <w:sz w:val="20"/>
        </w:rPr>
        <w:t>Table 6.3: Model 3: Pedestrian Segment Crash Severity Model Results</w:t>
      </w:r>
    </w:p>
    <w:tbl>
      <w:tblPr>
        <w:tblW w:w="0" w:type="auto"/>
        <w:jc w:val="left"/>
        <w:tblInd w:w="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331"/>
        <w:gridCol w:w="1170"/>
        <w:gridCol w:w="1152"/>
        <w:gridCol w:w="1236"/>
        <w:gridCol w:w="1392"/>
        <w:gridCol w:w="1170"/>
      </w:tblGrid>
      <w:tr>
        <w:trPr>
          <w:trHeight w:val="459" w:hRule="atLeast"/>
        </w:trPr>
        <w:tc>
          <w:tcPr>
            <w:tcW w:w="3331" w:type="dxa"/>
            <w:tcBorders>
              <w:left w:val="nil"/>
              <w:right w:val="single" w:sz="4" w:space="0" w:color="000000"/>
            </w:tcBorders>
          </w:tcPr>
          <w:p>
            <w:pPr>
              <w:pStyle w:val="TableParagraph"/>
              <w:spacing w:before="113"/>
              <w:ind w:left="108"/>
              <w:rPr>
                <w:b/>
                <w:sz w:val="20"/>
              </w:rPr>
            </w:pPr>
            <w:r>
              <w:rPr>
                <w:b/>
                <w:sz w:val="20"/>
              </w:rPr>
              <w:t>Variable</w:t>
            </w:r>
          </w:p>
        </w:tc>
        <w:tc>
          <w:tcPr>
            <w:tcW w:w="1170" w:type="dxa"/>
            <w:tcBorders>
              <w:left w:val="single" w:sz="4" w:space="0" w:color="000000"/>
              <w:right w:val="single" w:sz="4" w:space="0" w:color="000000"/>
            </w:tcBorders>
          </w:tcPr>
          <w:p>
            <w:pPr>
              <w:pStyle w:val="TableParagraph"/>
              <w:spacing w:line="230" w:lineRule="exact" w:before="2"/>
              <w:ind w:left="101" w:right="106"/>
              <w:rPr>
                <w:b/>
                <w:sz w:val="20"/>
              </w:rPr>
            </w:pPr>
            <w:r>
              <w:rPr>
                <w:b/>
                <w:sz w:val="20"/>
              </w:rPr>
              <w:t>Coefficient s</w:t>
            </w:r>
          </w:p>
        </w:tc>
        <w:tc>
          <w:tcPr>
            <w:tcW w:w="1152" w:type="dxa"/>
            <w:tcBorders>
              <w:left w:val="single" w:sz="4" w:space="0" w:color="000000"/>
              <w:right w:val="single" w:sz="4" w:space="0" w:color="000000"/>
            </w:tcBorders>
          </w:tcPr>
          <w:p>
            <w:pPr>
              <w:pStyle w:val="TableParagraph"/>
              <w:spacing w:line="230" w:lineRule="exact" w:before="2"/>
              <w:ind w:left="102" w:right="219"/>
              <w:rPr>
                <w:b/>
                <w:sz w:val="20"/>
              </w:rPr>
            </w:pPr>
            <w:r>
              <w:rPr>
                <w:b/>
                <w:sz w:val="20"/>
              </w:rPr>
              <w:t>Standard Error</w:t>
            </w:r>
          </w:p>
        </w:tc>
        <w:tc>
          <w:tcPr>
            <w:tcW w:w="1236" w:type="dxa"/>
            <w:tcBorders>
              <w:left w:val="single" w:sz="4" w:space="0" w:color="000000"/>
              <w:right w:val="single" w:sz="4" w:space="0" w:color="000000"/>
            </w:tcBorders>
          </w:tcPr>
          <w:p>
            <w:pPr>
              <w:pStyle w:val="TableParagraph"/>
              <w:spacing w:before="113"/>
              <w:ind w:left="103"/>
              <w:rPr>
                <w:b/>
                <w:sz w:val="20"/>
              </w:rPr>
            </w:pPr>
            <w:r>
              <w:rPr>
                <w:b/>
                <w:sz w:val="20"/>
              </w:rPr>
              <w:t>P-value</w:t>
            </w:r>
          </w:p>
        </w:tc>
        <w:tc>
          <w:tcPr>
            <w:tcW w:w="1392" w:type="dxa"/>
            <w:tcBorders>
              <w:left w:val="single" w:sz="4" w:space="0" w:color="000000"/>
              <w:right w:val="single" w:sz="4" w:space="0" w:color="000000"/>
            </w:tcBorders>
          </w:tcPr>
          <w:p>
            <w:pPr>
              <w:pStyle w:val="TableParagraph"/>
              <w:spacing w:before="113"/>
              <w:ind w:left="103"/>
              <w:rPr>
                <w:b/>
                <w:sz w:val="20"/>
              </w:rPr>
            </w:pPr>
            <w:r>
              <w:rPr>
                <w:b/>
                <w:sz w:val="20"/>
              </w:rPr>
              <w:t>Significance</w:t>
            </w:r>
          </w:p>
        </w:tc>
        <w:tc>
          <w:tcPr>
            <w:tcW w:w="1170" w:type="dxa"/>
            <w:tcBorders>
              <w:left w:val="single" w:sz="4" w:space="0" w:color="000000"/>
              <w:right w:val="nil"/>
            </w:tcBorders>
          </w:tcPr>
          <w:p>
            <w:pPr>
              <w:pStyle w:val="TableParagraph"/>
              <w:spacing w:line="230" w:lineRule="exact" w:before="2"/>
              <w:ind w:left="102" w:right="576"/>
              <w:rPr>
                <w:b/>
                <w:sz w:val="20"/>
              </w:rPr>
            </w:pPr>
            <w:r>
              <w:rPr>
                <w:b/>
                <w:sz w:val="20"/>
              </w:rPr>
              <w:t>Odds Ratio</w:t>
            </w:r>
          </w:p>
        </w:tc>
      </w:tr>
      <w:tr>
        <w:trPr>
          <w:trHeight w:val="297" w:hRule="atLeast"/>
        </w:trPr>
        <w:tc>
          <w:tcPr>
            <w:tcW w:w="3331" w:type="dxa"/>
            <w:tcBorders>
              <w:left w:val="nil"/>
              <w:bottom w:val="single" w:sz="4" w:space="0" w:color="000000"/>
              <w:right w:val="single" w:sz="4" w:space="0" w:color="000000"/>
            </w:tcBorders>
          </w:tcPr>
          <w:p>
            <w:pPr>
              <w:pStyle w:val="TableParagraph"/>
              <w:spacing w:before="29"/>
              <w:ind w:left="108"/>
              <w:rPr>
                <w:sz w:val="20"/>
              </w:rPr>
            </w:pPr>
            <w:r>
              <w:rPr>
                <w:sz w:val="20"/>
              </w:rPr>
              <w:t>Retail density (per acre)</w:t>
            </w:r>
          </w:p>
        </w:tc>
        <w:tc>
          <w:tcPr>
            <w:tcW w:w="1170" w:type="dxa"/>
            <w:tcBorders>
              <w:left w:val="single" w:sz="4" w:space="0" w:color="000000"/>
              <w:bottom w:val="single" w:sz="4" w:space="0" w:color="000000"/>
              <w:right w:val="single" w:sz="4" w:space="0" w:color="000000"/>
            </w:tcBorders>
          </w:tcPr>
          <w:p>
            <w:pPr>
              <w:pStyle w:val="TableParagraph"/>
              <w:spacing w:before="29"/>
              <w:ind w:left="102"/>
              <w:rPr>
                <w:sz w:val="20"/>
              </w:rPr>
            </w:pPr>
            <w:r>
              <w:rPr>
                <w:sz w:val="20"/>
              </w:rPr>
              <w:t>-0.000059</w:t>
            </w:r>
          </w:p>
        </w:tc>
        <w:tc>
          <w:tcPr>
            <w:tcW w:w="1152" w:type="dxa"/>
            <w:tcBorders>
              <w:left w:val="single" w:sz="4" w:space="0" w:color="000000"/>
              <w:bottom w:val="single" w:sz="4" w:space="0" w:color="000000"/>
              <w:right w:val="single" w:sz="4" w:space="0" w:color="000000"/>
            </w:tcBorders>
          </w:tcPr>
          <w:p>
            <w:pPr>
              <w:pStyle w:val="TableParagraph"/>
              <w:spacing w:before="29"/>
              <w:ind w:left="101"/>
              <w:rPr>
                <w:sz w:val="20"/>
              </w:rPr>
            </w:pPr>
            <w:r>
              <w:rPr>
                <w:sz w:val="20"/>
              </w:rPr>
              <w:t>0.000023</w:t>
            </w:r>
          </w:p>
        </w:tc>
        <w:tc>
          <w:tcPr>
            <w:tcW w:w="1236" w:type="dxa"/>
            <w:tcBorders>
              <w:left w:val="single" w:sz="4" w:space="0" w:color="000000"/>
              <w:bottom w:val="single" w:sz="4" w:space="0" w:color="000000"/>
              <w:right w:val="single" w:sz="4" w:space="0" w:color="000000"/>
            </w:tcBorders>
          </w:tcPr>
          <w:p>
            <w:pPr>
              <w:pStyle w:val="TableParagraph"/>
              <w:spacing w:before="29"/>
              <w:ind w:left="103"/>
              <w:rPr>
                <w:sz w:val="20"/>
              </w:rPr>
            </w:pPr>
            <w:r>
              <w:rPr>
                <w:sz w:val="20"/>
              </w:rPr>
              <w:t>0.011</w:t>
            </w:r>
          </w:p>
        </w:tc>
        <w:tc>
          <w:tcPr>
            <w:tcW w:w="1392" w:type="dxa"/>
            <w:tcBorders>
              <w:left w:val="single" w:sz="4" w:space="0" w:color="000000"/>
              <w:bottom w:val="single" w:sz="4" w:space="0" w:color="000000"/>
              <w:right w:val="single" w:sz="4" w:space="0" w:color="000000"/>
            </w:tcBorders>
          </w:tcPr>
          <w:p>
            <w:pPr>
              <w:pStyle w:val="TableParagraph"/>
              <w:spacing w:before="29"/>
              <w:ind w:left="102"/>
              <w:rPr>
                <w:sz w:val="20"/>
              </w:rPr>
            </w:pPr>
            <w:r>
              <w:rPr>
                <w:w w:val="100"/>
                <w:sz w:val="20"/>
              </w:rPr>
              <w:t>*</w:t>
            </w:r>
          </w:p>
        </w:tc>
        <w:tc>
          <w:tcPr>
            <w:tcW w:w="1170" w:type="dxa"/>
            <w:tcBorders>
              <w:left w:val="single" w:sz="4" w:space="0" w:color="000000"/>
              <w:bottom w:val="single" w:sz="4" w:space="0" w:color="000000"/>
              <w:right w:val="nil"/>
            </w:tcBorders>
          </w:tcPr>
          <w:p>
            <w:pPr>
              <w:pStyle w:val="TableParagraph"/>
              <w:spacing w:before="29"/>
              <w:ind w:left="101"/>
              <w:rPr>
                <w:sz w:val="20"/>
              </w:rPr>
            </w:pPr>
            <w:r>
              <w:rPr>
                <w:sz w:val="20"/>
              </w:rPr>
              <w:t>0.999</w:t>
            </w:r>
          </w:p>
        </w:tc>
      </w:tr>
      <w:tr>
        <w:trPr>
          <w:trHeight w:val="299" w:hRule="atLeast"/>
        </w:trPr>
        <w:tc>
          <w:tcPr>
            <w:tcW w:w="3331" w:type="dxa"/>
            <w:tcBorders>
              <w:top w:val="single" w:sz="4" w:space="0" w:color="000000"/>
              <w:left w:val="nil"/>
              <w:bottom w:val="single" w:sz="4" w:space="0" w:color="000000"/>
              <w:right w:val="single" w:sz="4" w:space="0" w:color="000000"/>
            </w:tcBorders>
          </w:tcPr>
          <w:p>
            <w:pPr>
              <w:pStyle w:val="TableParagraph"/>
              <w:spacing w:before="31"/>
              <w:ind w:left="108"/>
              <w:rPr>
                <w:sz w:val="20"/>
              </w:rPr>
            </w:pPr>
            <w:r>
              <w:rPr>
                <w:sz w:val="20"/>
              </w:rPr>
              <w:t>AADT 2014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-0.000019</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before="31"/>
              <w:ind w:left="101"/>
              <w:rPr>
                <w:sz w:val="20"/>
              </w:rPr>
            </w:pPr>
            <w:r>
              <w:rPr>
                <w:sz w:val="20"/>
              </w:rPr>
              <w:t>0.0000072</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0.009</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w:t>
            </w:r>
          </w:p>
        </w:tc>
        <w:tc>
          <w:tcPr>
            <w:tcW w:w="1170" w:type="dxa"/>
            <w:tcBorders>
              <w:top w:val="single" w:sz="4" w:space="0" w:color="000000"/>
              <w:left w:val="single" w:sz="4" w:space="0" w:color="000000"/>
              <w:bottom w:val="single" w:sz="4" w:space="0" w:color="000000"/>
              <w:right w:val="nil"/>
            </w:tcBorders>
          </w:tcPr>
          <w:p>
            <w:pPr>
              <w:pStyle w:val="TableParagraph"/>
              <w:spacing w:before="31"/>
              <w:ind w:left="101"/>
              <w:rPr>
                <w:sz w:val="20"/>
              </w:rPr>
            </w:pPr>
            <w:r>
              <w:rPr>
                <w:sz w:val="20"/>
              </w:rPr>
              <w:t>0.999</w:t>
            </w:r>
          </w:p>
        </w:tc>
      </w:tr>
      <w:tr>
        <w:trPr>
          <w:trHeight w:val="300" w:hRule="atLeast"/>
        </w:trPr>
        <w:tc>
          <w:tcPr>
            <w:tcW w:w="3331" w:type="dxa"/>
            <w:tcBorders>
              <w:top w:val="single" w:sz="4" w:space="0" w:color="000000"/>
              <w:left w:val="nil"/>
              <w:bottom w:val="single" w:sz="4" w:space="0" w:color="000000"/>
              <w:right w:val="single" w:sz="4" w:space="0" w:color="000000"/>
            </w:tcBorders>
          </w:tcPr>
          <w:p>
            <w:pPr>
              <w:pStyle w:val="TableParagraph"/>
              <w:spacing w:before="32"/>
              <w:ind w:left="108"/>
              <w:rPr>
                <w:sz w:val="20"/>
              </w:rPr>
            </w:pPr>
            <w:r>
              <w:rPr>
                <w:sz w:val="20"/>
              </w:rPr>
              <w:t>Presence of lighting</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-0.219</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before="32"/>
              <w:ind w:left="101"/>
              <w:rPr>
                <w:sz w:val="20"/>
              </w:rPr>
            </w:pPr>
            <w:r>
              <w:rPr>
                <w:sz w:val="20"/>
              </w:rPr>
              <w:t>0.106</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before="32"/>
              <w:ind w:left="103"/>
              <w:rPr>
                <w:sz w:val="20"/>
              </w:rPr>
            </w:pPr>
            <w:r>
              <w:rPr>
                <w:sz w:val="20"/>
              </w:rPr>
              <w:t>0.041</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before="32"/>
              <w:ind w:left="103"/>
              <w:rPr>
                <w:sz w:val="20"/>
              </w:rPr>
            </w:pPr>
            <w:r>
              <w:rPr>
                <w:w w:val="100"/>
                <w:sz w:val="20"/>
              </w:rPr>
              <w:t>*</w:t>
            </w:r>
          </w:p>
        </w:tc>
        <w:tc>
          <w:tcPr>
            <w:tcW w:w="1170" w:type="dxa"/>
            <w:tcBorders>
              <w:top w:val="single" w:sz="4" w:space="0" w:color="000000"/>
              <w:left w:val="single" w:sz="4" w:space="0" w:color="000000"/>
              <w:bottom w:val="single" w:sz="4" w:space="0" w:color="000000"/>
              <w:right w:val="nil"/>
            </w:tcBorders>
          </w:tcPr>
          <w:p>
            <w:pPr>
              <w:pStyle w:val="TableParagraph"/>
              <w:spacing w:before="32"/>
              <w:ind w:left="101"/>
              <w:rPr>
                <w:sz w:val="20"/>
              </w:rPr>
            </w:pPr>
            <w:r>
              <w:rPr>
                <w:sz w:val="20"/>
              </w:rPr>
              <w:t>0.803</w:t>
            </w:r>
          </w:p>
        </w:tc>
      </w:tr>
    </w:tbl>
    <w:p>
      <w:pPr>
        <w:spacing w:line="321" w:lineRule="auto" w:before="30"/>
        <w:ind w:left="382" w:right="3340" w:firstLine="0"/>
        <w:jc w:val="left"/>
        <w:rPr>
          <w:sz w:val="18"/>
        </w:rPr>
      </w:pPr>
      <w:r>
        <w:rPr/>
        <w:pict>
          <v:line style="position:absolute;mso-position-horizontal-relative:page;mso-position-vertical-relative:paragraph;z-index:-254344" from="69.720001pt,15.239475pt" to="542.279001pt,15.239475pt" stroked="true" strokeweight=".481pt" strokecolor="#000000">
            <v:stroke dashstyle="solid"/>
            <w10:wrap type="none"/>
          </v:line>
        </w:pict>
      </w:r>
      <w:r>
        <w:rPr/>
        <w:pict>
          <v:line style="position:absolute;mso-position-horizontal-relative:page;mso-position-vertical-relative:paragraph;z-index:-254320" from="69.720001pt,30.719475pt" to="542.279001pt,30.719475pt" stroked="true" strokeweight=".481pt" strokecolor="#000000">
            <v:stroke dashstyle="solid"/>
            <w10:wrap type="none"/>
          </v:line>
        </w:pict>
      </w:r>
      <w:r>
        <w:rPr/>
        <w:pict>
          <v:line style="position:absolute;mso-position-horizontal-relative:page;mso-position-vertical-relative:paragraph;z-index:4480" from="69pt,46.769974pt" to="542.28pt,46.769974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28.475 on 117 degrees of freedom Residual deviance (measure the goodness of fit of a logit model)</w:t>
      </w:r>
      <w:r>
        <w:rPr>
          <w:rFonts w:ascii="MS PGothic" w:eastAsia="MS PGothic" w:hint="eastAsia"/>
          <w:sz w:val="18"/>
        </w:rPr>
        <w:t>： </w:t>
      </w:r>
      <w:r>
        <w:rPr>
          <w:sz w:val="18"/>
        </w:rPr>
        <w:t>24.732 on 114 degrees of freedom AIC</w:t>
      </w:r>
      <w:r>
        <w:rPr>
          <w:rFonts w:ascii="MS PGothic" w:eastAsia="MS PGothic" w:hint="eastAsia"/>
          <w:sz w:val="18"/>
        </w:rPr>
        <w:t>： </w:t>
      </w:r>
      <w:r>
        <w:rPr>
          <w:sz w:val="18"/>
        </w:rPr>
        <w:t>160.48</w:t>
      </w:r>
    </w:p>
    <w:p>
      <w:pPr>
        <w:spacing w:line="220" w:lineRule="exact" w:before="0"/>
        <w:ind w:left="320" w:right="0" w:firstLine="0"/>
        <w:jc w:val="left"/>
        <w:rPr>
          <w:sz w:val="20"/>
        </w:rPr>
      </w:pPr>
      <w:r>
        <w:rPr>
          <w:sz w:val="20"/>
        </w:rPr>
        <w:t>Significant Code: 0 ‘***’; 0.001 ‘**’; 0.01 ‘*’; 0.05 ‘.’; 0.1 ‘‘.</w:t>
      </w:r>
    </w:p>
    <w:p>
      <w:pPr>
        <w:pStyle w:val="BodyText"/>
        <w:rPr>
          <w:sz w:val="22"/>
        </w:rPr>
      </w:pPr>
    </w:p>
    <w:p>
      <w:pPr>
        <w:spacing w:before="144"/>
        <w:ind w:left="320" w:right="0" w:firstLine="0"/>
        <w:jc w:val="left"/>
        <w:rPr>
          <w:b/>
          <w:sz w:val="20"/>
        </w:rPr>
      </w:pPr>
      <w:bookmarkStart w:name="_bookmark46" w:id="228"/>
      <w:bookmarkEnd w:id="228"/>
      <w:r>
        <w:rPr/>
      </w:r>
      <w:r>
        <w:rPr>
          <w:b/>
          <w:sz w:val="20"/>
        </w:rPr>
        <w:t>Table 6.4: Model 4: Pedestrian Intersection Crash Severity Model Results</w:t>
      </w:r>
    </w:p>
    <w:tbl>
      <w:tblPr>
        <w:tblW w:w="0" w:type="auto"/>
        <w:jc w:val="left"/>
        <w:tblInd w:w="1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464"/>
        <w:gridCol w:w="1255"/>
        <w:gridCol w:w="1171"/>
        <w:gridCol w:w="1314"/>
        <w:gridCol w:w="1280"/>
        <w:gridCol w:w="1275"/>
      </w:tblGrid>
      <w:tr>
        <w:trPr>
          <w:trHeight w:val="459" w:hRule="atLeast"/>
        </w:trPr>
        <w:tc>
          <w:tcPr>
            <w:tcW w:w="3464" w:type="dxa"/>
            <w:tcBorders>
              <w:left w:val="nil"/>
              <w:right w:val="single" w:sz="4" w:space="0" w:color="000000"/>
            </w:tcBorders>
          </w:tcPr>
          <w:p>
            <w:pPr>
              <w:pStyle w:val="TableParagraph"/>
              <w:spacing w:before="114"/>
              <w:ind w:left="108"/>
              <w:rPr>
                <w:b/>
                <w:sz w:val="20"/>
              </w:rPr>
            </w:pPr>
            <w:r>
              <w:rPr>
                <w:b/>
                <w:sz w:val="20"/>
              </w:rPr>
              <w:t>Variable</w:t>
            </w:r>
          </w:p>
        </w:tc>
        <w:tc>
          <w:tcPr>
            <w:tcW w:w="1255" w:type="dxa"/>
            <w:tcBorders>
              <w:left w:val="single" w:sz="4" w:space="0" w:color="000000"/>
              <w:right w:val="single" w:sz="4" w:space="0" w:color="000000"/>
            </w:tcBorders>
          </w:tcPr>
          <w:p>
            <w:pPr>
              <w:pStyle w:val="TableParagraph"/>
              <w:spacing w:before="114"/>
              <w:ind w:left="103"/>
              <w:rPr>
                <w:b/>
                <w:sz w:val="20"/>
              </w:rPr>
            </w:pPr>
            <w:r>
              <w:rPr>
                <w:b/>
                <w:sz w:val="20"/>
              </w:rPr>
              <w:t>Coefficients</w:t>
            </w:r>
          </w:p>
        </w:tc>
        <w:tc>
          <w:tcPr>
            <w:tcW w:w="1171" w:type="dxa"/>
            <w:tcBorders>
              <w:left w:val="single" w:sz="4" w:space="0" w:color="000000"/>
              <w:right w:val="single" w:sz="4" w:space="0" w:color="000000"/>
            </w:tcBorders>
          </w:tcPr>
          <w:p>
            <w:pPr>
              <w:pStyle w:val="TableParagraph"/>
              <w:spacing w:line="230" w:lineRule="exact" w:before="2"/>
              <w:ind w:left="103" w:right="237"/>
              <w:rPr>
                <w:b/>
                <w:sz w:val="20"/>
              </w:rPr>
            </w:pPr>
            <w:r>
              <w:rPr>
                <w:b/>
                <w:sz w:val="20"/>
              </w:rPr>
              <w:t>Standard Error</w:t>
            </w:r>
          </w:p>
        </w:tc>
        <w:tc>
          <w:tcPr>
            <w:tcW w:w="1314" w:type="dxa"/>
            <w:tcBorders>
              <w:left w:val="single" w:sz="4" w:space="0" w:color="000000"/>
              <w:right w:val="single" w:sz="4" w:space="0" w:color="000000"/>
            </w:tcBorders>
          </w:tcPr>
          <w:p>
            <w:pPr>
              <w:pStyle w:val="TableParagraph"/>
              <w:spacing w:before="114"/>
              <w:ind w:left="103"/>
              <w:rPr>
                <w:b/>
                <w:sz w:val="20"/>
              </w:rPr>
            </w:pPr>
            <w:r>
              <w:rPr>
                <w:b/>
                <w:sz w:val="20"/>
              </w:rPr>
              <w:t>P-value</w:t>
            </w:r>
          </w:p>
        </w:tc>
        <w:tc>
          <w:tcPr>
            <w:tcW w:w="1280" w:type="dxa"/>
            <w:tcBorders>
              <w:left w:val="single" w:sz="4" w:space="0" w:color="000000"/>
              <w:right w:val="single" w:sz="4" w:space="0" w:color="000000"/>
            </w:tcBorders>
          </w:tcPr>
          <w:p>
            <w:pPr>
              <w:pStyle w:val="TableParagraph"/>
              <w:spacing w:before="114"/>
              <w:ind w:left="103"/>
              <w:rPr>
                <w:b/>
                <w:sz w:val="20"/>
              </w:rPr>
            </w:pPr>
            <w:r>
              <w:rPr>
                <w:b/>
                <w:sz w:val="20"/>
              </w:rPr>
              <w:t>Significance</w:t>
            </w:r>
          </w:p>
        </w:tc>
        <w:tc>
          <w:tcPr>
            <w:tcW w:w="1275" w:type="dxa"/>
            <w:tcBorders>
              <w:left w:val="single" w:sz="4" w:space="0" w:color="000000"/>
              <w:right w:val="nil"/>
            </w:tcBorders>
          </w:tcPr>
          <w:p>
            <w:pPr>
              <w:pStyle w:val="TableParagraph"/>
              <w:spacing w:before="114"/>
              <w:ind w:left="104"/>
              <w:rPr>
                <w:b/>
                <w:sz w:val="20"/>
              </w:rPr>
            </w:pPr>
            <w:r>
              <w:rPr>
                <w:b/>
                <w:sz w:val="20"/>
              </w:rPr>
              <w:t>Odds Ratio</w:t>
            </w:r>
          </w:p>
        </w:tc>
      </w:tr>
      <w:tr>
        <w:trPr>
          <w:trHeight w:val="687" w:hRule="atLeast"/>
        </w:trPr>
        <w:tc>
          <w:tcPr>
            <w:tcW w:w="3464" w:type="dxa"/>
            <w:tcBorders>
              <w:left w:val="nil"/>
              <w:bottom w:val="single" w:sz="4" w:space="0" w:color="000000"/>
              <w:right w:val="single" w:sz="4" w:space="0" w:color="000000"/>
            </w:tcBorders>
          </w:tcPr>
          <w:p>
            <w:pPr>
              <w:pStyle w:val="TableParagraph"/>
              <w:tabs>
                <w:tab w:pos="1369" w:val="left" w:leader="none"/>
              </w:tabs>
              <w:spacing w:line="224" w:lineRule="exact"/>
              <w:ind w:left="107"/>
              <w:rPr>
                <w:sz w:val="20"/>
              </w:rPr>
            </w:pPr>
            <w:r>
              <w:rPr>
                <w:sz w:val="20"/>
              </w:rPr>
              <w:t>Major </w:t>
            </w:r>
            <w:r>
              <w:rPr>
                <w:spacing w:val="19"/>
                <w:sz w:val="20"/>
              </w:rPr>
              <w:t> </w:t>
            </w:r>
            <w:r>
              <w:rPr>
                <w:sz w:val="20"/>
              </w:rPr>
              <w:t>road,</w:t>
              <w:tab/>
              <w:t>number of total</w:t>
            </w:r>
            <w:r>
              <w:rPr>
                <w:spacing w:val="7"/>
                <w:sz w:val="20"/>
              </w:rPr>
              <w:t> </w:t>
            </w:r>
            <w:r>
              <w:rPr>
                <w:sz w:val="20"/>
              </w:rPr>
              <w:t>traffic</w:t>
            </w:r>
          </w:p>
          <w:p>
            <w:pPr>
              <w:pStyle w:val="TableParagraph"/>
              <w:spacing w:line="230" w:lineRule="exact" w:before="3"/>
              <w:ind w:left="107" w:right="73"/>
              <w:rPr>
                <w:sz w:val="20"/>
              </w:rPr>
            </w:pPr>
            <w:r>
              <w:rPr>
                <w:sz w:val="20"/>
              </w:rPr>
              <w:t>lanes (including left- and right-turn lanes)</w:t>
            </w:r>
          </w:p>
        </w:tc>
        <w:tc>
          <w:tcPr>
            <w:tcW w:w="1255" w:type="dxa"/>
            <w:tcBorders>
              <w:left w:val="single" w:sz="4" w:space="0" w:color="000000"/>
              <w:bottom w:val="single" w:sz="4" w:space="0" w:color="000000"/>
              <w:right w:val="single" w:sz="4" w:space="0" w:color="000000"/>
            </w:tcBorders>
          </w:tcPr>
          <w:p>
            <w:pPr>
              <w:pStyle w:val="TableParagraph"/>
              <w:spacing w:before="6"/>
              <w:rPr>
                <w:b/>
                <w:sz w:val="19"/>
              </w:rPr>
            </w:pPr>
          </w:p>
          <w:p>
            <w:pPr>
              <w:pStyle w:val="TableParagraph"/>
              <w:ind w:left="103"/>
              <w:rPr>
                <w:sz w:val="20"/>
              </w:rPr>
            </w:pPr>
            <w:r>
              <w:rPr>
                <w:sz w:val="20"/>
              </w:rPr>
              <w:t>1.905</w:t>
            </w:r>
          </w:p>
        </w:tc>
        <w:tc>
          <w:tcPr>
            <w:tcW w:w="1171" w:type="dxa"/>
            <w:tcBorders>
              <w:left w:val="single" w:sz="4" w:space="0" w:color="000000"/>
              <w:bottom w:val="single" w:sz="4" w:space="0" w:color="000000"/>
              <w:right w:val="single" w:sz="4" w:space="0" w:color="000000"/>
            </w:tcBorders>
          </w:tcPr>
          <w:p>
            <w:pPr>
              <w:pStyle w:val="TableParagraph"/>
              <w:spacing w:before="6"/>
              <w:rPr>
                <w:b/>
                <w:sz w:val="19"/>
              </w:rPr>
            </w:pPr>
          </w:p>
          <w:p>
            <w:pPr>
              <w:pStyle w:val="TableParagraph"/>
              <w:ind w:left="103"/>
              <w:rPr>
                <w:sz w:val="20"/>
              </w:rPr>
            </w:pPr>
            <w:r>
              <w:rPr>
                <w:sz w:val="20"/>
              </w:rPr>
              <w:t>0.466</w:t>
            </w:r>
          </w:p>
        </w:tc>
        <w:tc>
          <w:tcPr>
            <w:tcW w:w="1314" w:type="dxa"/>
            <w:tcBorders>
              <w:left w:val="single" w:sz="4" w:space="0" w:color="000000"/>
              <w:bottom w:val="single" w:sz="4" w:space="0" w:color="000000"/>
              <w:right w:val="single" w:sz="4" w:space="0" w:color="000000"/>
            </w:tcBorders>
          </w:tcPr>
          <w:p>
            <w:pPr>
              <w:pStyle w:val="TableParagraph"/>
              <w:spacing w:before="6"/>
              <w:rPr>
                <w:b/>
                <w:sz w:val="19"/>
              </w:rPr>
            </w:pPr>
          </w:p>
          <w:p>
            <w:pPr>
              <w:pStyle w:val="TableParagraph"/>
              <w:ind w:left="103"/>
              <w:rPr>
                <w:sz w:val="20"/>
              </w:rPr>
            </w:pPr>
            <w:r>
              <w:rPr>
                <w:sz w:val="20"/>
              </w:rPr>
              <w:t>0.000</w:t>
            </w:r>
          </w:p>
        </w:tc>
        <w:tc>
          <w:tcPr>
            <w:tcW w:w="1280" w:type="dxa"/>
            <w:tcBorders>
              <w:left w:val="single" w:sz="4" w:space="0" w:color="000000"/>
              <w:bottom w:val="single" w:sz="4" w:space="0" w:color="000000"/>
              <w:right w:val="single" w:sz="4" w:space="0" w:color="000000"/>
            </w:tcBorders>
          </w:tcPr>
          <w:p>
            <w:pPr>
              <w:pStyle w:val="TableParagraph"/>
              <w:spacing w:before="6"/>
              <w:rPr>
                <w:b/>
                <w:sz w:val="19"/>
              </w:rPr>
            </w:pPr>
          </w:p>
          <w:p>
            <w:pPr>
              <w:pStyle w:val="TableParagraph"/>
              <w:ind w:left="103"/>
              <w:rPr>
                <w:sz w:val="20"/>
              </w:rPr>
            </w:pPr>
            <w:r>
              <w:rPr>
                <w:sz w:val="20"/>
              </w:rPr>
              <w:t>***</w:t>
            </w:r>
          </w:p>
        </w:tc>
        <w:tc>
          <w:tcPr>
            <w:tcW w:w="1275" w:type="dxa"/>
            <w:tcBorders>
              <w:left w:val="single" w:sz="4" w:space="0" w:color="000000"/>
              <w:bottom w:val="single" w:sz="4" w:space="0" w:color="000000"/>
              <w:right w:val="nil"/>
            </w:tcBorders>
          </w:tcPr>
          <w:p>
            <w:pPr>
              <w:pStyle w:val="TableParagraph"/>
              <w:spacing w:before="6"/>
              <w:rPr>
                <w:b/>
                <w:sz w:val="19"/>
              </w:rPr>
            </w:pPr>
          </w:p>
          <w:p>
            <w:pPr>
              <w:pStyle w:val="TableParagraph"/>
              <w:ind w:left="104"/>
              <w:rPr>
                <w:sz w:val="20"/>
              </w:rPr>
            </w:pPr>
            <w:r>
              <w:rPr>
                <w:sz w:val="20"/>
              </w:rPr>
              <w:t>6.721</w:t>
            </w:r>
          </w:p>
        </w:tc>
      </w:tr>
      <w:tr>
        <w:trPr>
          <w:trHeight w:val="460" w:hRule="atLeast"/>
        </w:trPr>
        <w:tc>
          <w:tcPr>
            <w:tcW w:w="3464" w:type="dxa"/>
            <w:tcBorders>
              <w:top w:val="single" w:sz="4" w:space="0" w:color="000000"/>
              <w:left w:val="nil"/>
              <w:bottom w:val="single" w:sz="4" w:space="0" w:color="000000"/>
              <w:right w:val="single" w:sz="4" w:space="0" w:color="000000"/>
            </w:tcBorders>
          </w:tcPr>
          <w:p>
            <w:pPr>
              <w:pStyle w:val="TableParagraph"/>
              <w:tabs>
                <w:tab w:pos="1099" w:val="left" w:leader="none"/>
                <w:tab w:pos="2243" w:val="left" w:leader="none"/>
                <w:tab w:pos="3033" w:val="left" w:leader="none"/>
              </w:tabs>
              <w:spacing w:line="227" w:lineRule="exact"/>
              <w:ind w:left="107"/>
              <w:rPr>
                <w:sz w:val="20"/>
              </w:rPr>
            </w:pPr>
            <w:r>
              <w:rPr>
                <w:sz w:val="20"/>
              </w:rPr>
              <w:t>Three-leg</w:t>
              <w:tab/>
              <w:t>intersection</w:t>
              <w:tab/>
              <w:t>density</w:t>
              <w:tab/>
              <w:t>(per</w:t>
            </w:r>
          </w:p>
          <w:p>
            <w:pPr>
              <w:pStyle w:val="TableParagraph"/>
              <w:spacing w:line="213" w:lineRule="exact"/>
              <w:ind w:left="107"/>
              <w:rPr>
                <w:sz w:val="20"/>
              </w:rPr>
            </w:pPr>
            <w:r>
              <w:rPr>
                <w:sz w:val="20"/>
              </w:rPr>
              <w:t>square mile)</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0.027</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0.0076</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0.001</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112"/>
              <w:ind w:left="104"/>
              <w:rPr>
                <w:sz w:val="20"/>
              </w:rPr>
            </w:pPr>
            <w:r>
              <w:rPr>
                <w:sz w:val="20"/>
              </w:rPr>
              <w:t>1.027</w:t>
            </w:r>
          </w:p>
        </w:tc>
      </w:tr>
      <w:tr>
        <w:trPr>
          <w:trHeight w:val="459" w:hRule="atLeast"/>
        </w:trPr>
        <w:tc>
          <w:tcPr>
            <w:tcW w:w="3464" w:type="dxa"/>
            <w:tcBorders>
              <w:top w:val="single" w:sz="4" w:space="0" w:color="000000"/>
              <w:left w:val="nil"/>
              <w:bottom w:val="single" w:sz="4" w:space="0" w:color="000000"/>
              <w:right w:val="single" w:sz="4" w:space="0" w:color="000000"/>
            </w:tcBorders>
          </w:tcPr>
          <w:p>
            <w:pPr>
              <w:pStyle w:val="TableParagraph"/>
              <w:spacing w:line="227" w:lineRule="exact"/>
              <w:ind w:left="107"/>
              <w:rPr>
                <w:sz w:val="20"/>
              </w:rPr>
            </w:pPr>
            <w:r>
              <w:rPr>
                <w:sz w:val="20"/>
              </w:rPr>
              <w:t>Four-leg intersection density (per square</w:t>
            </w:r>
          </w:p>
          <w:p>
            <w:pPr>
              <w:pStyle w:val="TableParagraph"/>
              <w:spacing w:line="212" w:lineRule="exact"/>
              <w:ind w:left="107"/>
              <w:rPr>
                <w:sz w:val="20"/>
              </w:rPr>
            </w:pPr>
            <w:r>
              <w:rPr>
                <w:sz w:val="20"/>
              </w:rPr>
              <w:t>mile)</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-0.029</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0.0086</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0.001</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112"/>
              <w:ind w:left="104"/>
              <w:rPr>
                <w:sz w:val="20"/>
              </w:rPr>
            </w:pPr>
            <w:r>
              <w:rPr>
                <w:sz w:val="20"/>
              </w:rPr>
              <w:t>0.971</w:t>
            </w:r>
          </w:p>
        </w:tc>
      </w:tr>
      <w:tr>
        <w:trPr>
          <w:trHeight w:val="460" w:hRule="atLeast"/>
        </w:trPr>
        <w:tc>
          <w:tcPr>
            <w:tcW w:w="3464" w:type="dxa"/>
            <w:tcBorders>
              <w:top w:val="single" w:sz="4" w:space="0" w:color="000000"/>
              <w:left w:val="nil"/>
              <w:bottom w:val="single" w:sz="4" w:space="0" w:color="000000"/>
              <w:right w:val="single" w:sz="4" w:space="0" w:color="000000"/>
            </w:tcBorders>
          </w:tcPr>
          <w:p>
            <w:pPr>
              <w:pStyle w:val="TableParagraph"/>
              <w:spacing w:line="230" w:lineRule="exact"/>
              <w:ind w:left="107" w:right="73"/>
              <w:rPr>
                <w:sz w:val="20"/>
              </w:rPr>
            </w:pPr>
            <w:r>
              <w:rPr>
                <w:sz w:val="20"/>
              </w:rPr>
              <w:t>Total population density (per square mile)</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113"/>
              <w:ind w:left="103"/>
              <w:rPr>
                <w:sz w:val="20"/>
              </w:rPr>
            </w:pPr>
            <w:r>
              <w:rPr>
                <w:sz w:val="20"/>
              </w:rPr>
              <w:t>-0.00073</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113"/>
              <w:ind w:left="103"/>
              <w:rPr>
                <w:sz w:val="20"/>
              </w:rPr>
            </w:pPr>
            <w:r>
              <w:rPr>
                <w:sz w:val="20"/>
              </w:rPr>
              <w:t>0.00024</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113"/>
              <w:ind w:left="103"/>
              <w:rPr>
                <w:sz w:val="20"/>
              </w:rPr>
            </w:pPr>
            <w:r>
              <w:rPr>
                <w:sz w:val="20"/>
              </w:rPr>
              <w:t>0.003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113"/>
              <w:ind w:left="103"/>
              <w:rPr>
                <w:sz w:val="20"/>
              </w:rPr>
            </w:pPr>
            <w:r>
              <w:rPr>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113"/>
              <w:ind w:left="104"/>
              <w:rPr>
                <w:sz w:val="20"/>
              </w:rPr>
            </w:pPr>
            <w:r>
              <w:rPr>
                <w:sz w:val="20"/>
              </w:rPr>
              <w:t>0.999</w:t>
            </w:r>
          </w:p>
        </w:tc>
      </w:tr>
      <w:tr>
        <w:trPr>
          <w:trHeight w:val="315" w:hRule="atLeast"/>
        </w:trPr>
        <w:tc>
          <w:tcPr>
            <w:tcW w:w="3464"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Minor road, presence of bicycle lanes</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-1.4485</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0.674</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0.032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40"/>
              <w:ind w:left="103"/>
              <w:rPr>
                <w:sz w:val="20"/>
              </w:rPr>
            </w:pPr>
            <w:r>
              <w:rPr>
                <w:sz w:val="20"/>
              </w:rPr>
              <w:t>1.00098</w:t>
            </w:r>
          </w:p>
        </w:tc>
      </w:tr>
      <w:tr>
        <w:trPr>
          <w:trHeight w:val="315" w:hRule="atLeast"/>
        </w:trPr>
        <w:tc>
          <w:tcPr>
            <w:tcW w:w="3464"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Minor road, number of right-turn lanes</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2.216</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0.977</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0.023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40"/>
              <w:ind w:left="104"/>
              <w:rPr>
                <w:sz w:val="20"/>
              </w:rPr>
            </w:pPr>
            <w:r>
              <w:rPr>
                <w:sz w:val="20"/>
              </w:rPr>
              <w:t>0.235</w:t>
            </w:r>
          </w:p>
        </w:tc>
      </w:tr>
      <w:tr>
        <w:trPr>
          <w:trHeight w:val="313" w:hRule="atLeast"/>
        </w:trPr>
        <w:tc>
          <w:tcPr>
            <w:tcW w:w="3464" w:type="dxa"/>
            <w:tcBorders>
              <w:top w:val="single" w:sz="4" w:space="0" w:color="000000"/>
              <w:left w:val="nil"/>
              <w:bottom w:val="single" w:sz="4" w:space="0" w:color="000000"/>
              <w:right w:val="single" w:sz="4" w:space="0" w:color="000000"/>
            </w:tcBorders>
          </w:tcPr>
          <w:p>
            <w:pPr>
              <w:pStyle w:val="TableParagraph"/>
              <w:spacing w:before="38"/>
              <w:ind w:left="107"/>
              <w:rPr>
                <w:sz w:val="20"/>
              </w:rPr>
            </w:pPr>
            <w:r>
              <w:rPr>
                <w:sz w:val="20"/>
              </w:rPr>
              <w:t>Minor road, number of total traffic lanes</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38"/>
              <w:ind w:left="103"/>
              <w:rPr>
                <w:sz w:val="20"/>
              </w:rPr>
            </w:pPr>
            <w:r>
              <w:rPr>
                <w:sz w:val="20"/>
              </w:rPr>
              <w:t>-0.516</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38"/>
              <w:ind w:left="103"/>
              <w:rPr>
                <w:sz w:val="20"/>
              </w:rPr>
            </w:pPr>
            <w:r>
              <w:rPr>
                <w:sz w:val="20"/>
              </w:rPr>
              <w:t>0.282</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38"/>
              <w:ind w:left="103"/>
              <w:rPr>
                <w:sz w:val="20"/>
              </w:rPr>
            </w:pPr>
            <w:r>
              <w:rPr>
                <w:sz w:val="20"/>
              </w:rPr>
              <w:t>0.068</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38"/>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38"/>
              <w:ind w:left="104"/>
              <w:rPr>
                <w:sz w:val="20"/>
              </w:rPr>
            </w:pPr>
            <w:r>
              <w:rPr>
                <w:sz w:val="20"/>
              </w:rPr>
              <w:t>9.171</w:t>
            </w:r>
          </w:p>
        </w:tc>
      </w:tr>
      <w:tr>
        <w:trPr>
          <w:trHeight w:val="315" w:hRule="atLeast"/>
        </w:trPr>
        <w:tc>
          <w:tcPr>
            <w:tcW w:w="3464"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Major road AADT 2014</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-0.00013</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0.000049</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0.010</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40"/>
              <w:ind w:left="103"/>
              <w:rPr>
                <w:sz w:val="20"/>
              </w:rPr>
            </w:pPr>
            <w:r>
              <w:rPr>
                <w:sz w:val="20"/>
              </w:rPr>
              <w:t>0.597</w:t>
            </w:r>
          </w:p>
        </w:tc>
      </w:tr>
      <w:tr>
        <w:trPr>
          <w:trHeight w:val="315" w:hRule="atLeast"/>
        </w:trPr>
        <w:tc>
          <w:tcPr>
            <w:tcW w:w="3464"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Household density</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0.00098</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0.00041</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0.016</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40"/>
              <w:ind w:left="104"/>
              <w:rPr>
                <w:sz w:val="20"/>
              </w:rPr>
            </w:pPr>
            <w:r>
              <w:rPr>
                <w:sz w:val="20"/>
              </w:rPr>
              <w:t>0.999</w:t>
            </w:r>
          </w:p>
        </w:tc>
      </w:tr>
      <w:tr>
        <w:trPr>
          <w:trHeight w:val="315" w:hRule="atLeast"/>
        </w:trPr>
        <w:tc>
          <w:tcPr>
            <w:tcW w:w="3464" w:type="dxa"/>
            <w:tcBorders>
              <w:top w:val="single" w:sz="4" w:space="0" w:color="000000"/>
              <w:left w:val="nil"/>
              <w:bottom w:val="single" w:sz="4" w:space="0" w:color="000000"/>
              <w:right w:val="single" w:sz="4" w:space="0" w:color="000000"/>
            </w:tcBorders>
          </w:tcPr>
          <w:p>
            <w:pPr>
              <w:pStyle w:val="TableParagraph"/>
              <w:spacing w:before="40"/>
              <w:ind w:left="107"/>
              <w:rPr>
                <w:sz w:val="20"/>
              </w:rPr>
            </w:pPr>
            <w:r>
              <w:rPr>
                <w:sz w:val="20"/>
              </w:rPr>
              <w:t>Major road, number of right-turn lanes</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-1.533</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0.793</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0.053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40"/>
              <w:ind w:left="104"/>
              <w:rPr>
                <w:sz w:val="20"/>
              </w:rPr>
            </w:pPr>
            <w:r>
              <w:rPr>
                <w:sz w:val="20"/>
              </w:rPr>
              <w:t>0.216</w:t>
            </w:r>
          </w:p>
        </w:tc>
      </w:tr>
      <w:tr>
        <w:trPr>
          <w:trHeight w:val="460" w:hRule="atLeast"/>
        </w:trPr>
        <w:tc>
          <w:tcPr>
            <w:tcW w:w="3464" w:type="dxa"/>
            <w:tcBorders>
              <w:top w:val="single" w:sz="4" w:space="0" w:color="000000"/>
              <w:left w:val="nil"/>
              <w:bottom w:val="single" w:sz="4" w:space="0" w:color="000000"/>
              <w:right w:val="single" w:sz="4" w:space="0" w:color="000000"/>
            </w:tcBorders>
          </w:tcPr>
          <w:p>
            <w:pPr>
              <w:pStyle w:val="TableParagraph"/>
              <w:spacing w:line="227" w:lineRule="exact"/>
              <w:ind w:left="107"/>
              <w:rPr>
                <w:sz w:val="20"/>
              </w:rPr>
            </w:pPr>
            <w:r>
              <w:rPr>
                <w:sz w:val="20"/>
              </w:rPr>
              <w:t>Minor, road, presence of one-way</w:t>
            </w:r>
          </w:p>
          <w:p>
            <w:pPr>
              <w:pStyle w:val="TableParagraph"/>
              <w:spacing w:line="213" w:lineRule="exact"/>
              <w:ind w:left="107"/>
              <w:rPr>
                <w:sz w:val="20"/>
              </w:rPr>
            </w:pPr>
            <w:r>
              <w:rPr>
                <w:sz w:val="20"/>
              </w:rPr>
              <w:t>traffic</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1.957</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0.954</w:t>
            </w:r>
          </w:p>
        </w:tc>
        <w:tc>
          <w:tcPr>
            <w:tcW w:w="1314"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0.040</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w w:val="100"/>
                <w:sz w:val="20"/>
              </w:rPr>
              <w:t>*</w:t>
            </w:r>
          </w:p>
        </w:tc>
        <w:tc>
          <w:tcPr>
            <w:tcW w:w="1275" w:type="dxa"/>
            <w:tcBorders>
              <w:top w:val="single" w:sz="4" w:space="0" w:color="000000"/>
              <w:left w:val="single" w:sz="4" w:space="0" w:color="000000"/>
              <w:bottom w:val="single" w:sz="4" w:space="0" w:color="000000"/>
              <w:right w:val="nil"/>
            </w:tcBorders>
          </w:tcPr>
          <w:p>
            <w:pPr>
              <w:pStyle w:val="TableParagraph"/>
              <w:spacing w:before="112"/>
              <w:ind w:left="104"/>
              <w:rPr>
                <w:sz w:val="20"/>
              </w:rPr>
            </w:pPr>
            <w:r>
              <w:rPr>
                <w:sz w:val="20"/>
              </w:rPr>
              <w:t>7.077</w:t>
            </w:r>
          </w:p>
        </w:tc>
      </w:tr>
    </w:tbl>
    <w:p>
      <w:pPr>
        <w:spacing w:line="338" w:lineRule="auto" w:before="37"/>
        <w:ind w:left="227" w:right="3340" w:firstLine="0"/>
        <w:jc w:val="left"/>
        <w:rPr>
          <w:sz w:val="18"/>
        </w:rPr>
      </w:pPr>
      <w:r>
        <w:rPr/>
        <w:pict>
          <v:line style="position:absolute;mso-position-horizontal-relative:page;mso-position-vertical-relative:paragraph;z-index:-254272" from="61.98pt,15.950113pt" to="550.019pt,15.950113pt" stroked="true" strokeweight=".48pt" strokecolor="#000000">
            <v:stroke dashstyle="solid"/>
            <w10:wrap type="none"/>
          </v:line>
        </w:pict>
      </w:r>
      <w:r>
        <w:rPr/>
        <w:pict>
          <v:line style="position:absolute;mso-position-horizontal-relative:page;mso-position-vertical-relative:paragraph;z-index:-254248" from="61.98pt,32.210114pt" to="550.019pt,32.210114pt" stroked="true" strokeweight=".48pt" strokecolor="#000000">
            <v:stroke dashstyle="solid"/>
            <w10:wrap type="none"/>
          </v:line>
        </w:pict>
      </w:r>
      <w:r>
        <w:rPr/>
        <w:pict>
          <v:line style="position:absolute;mso-position-horizontal-relative:page;mso-position-vertical-relative:paragraph;z-index:4552" from="61.259998pt,48.980114pt" to="550.019998pt,48.980114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149.68 on 107 degrees of freedom Residual deviance (measure the goodness of fit of a logit model)</w:t>
      </w:r>
      <w:r>
        <w:rPr>
          <w:rFonts w:ascii="MS PGothic" w:eastAsia="MS PGothic" w:hint="eastAsia"/>
          <w:sz w:val="18"/>
        </w:rPr>
        <w:t>： </w:t>
      </w:r>
      <w:r>
        <w:rPr>
          <w:sz w:val="18"/>
        </w:rPr>
        <w:t>104.21 on 96 degrees of freedom AIC</w:t>
      </w:r>
      <w:r>
        <w:rPr>
          <w:rFonts w:ascii="MS PGothic" w:eastAsia="MS PGothic" w:hint="eastAsia"/>
          <w:sz w:val="18"/>
        </w:rPr>
        <w:t>： </w:t>
      </w:r>
      <w:r>
        <w:rPr>
          <w:sz w:val="18"/>
        </w:rPr>
        <w:t>128.21</w:t>
      </w:r>
    </w:p>
    <w:p>
      <w:pPr>
        <w:spacing w:line="209" w:lineRule="exact" w:before="0"/>
        <w:ind w:left="320" w:right="0" w:firstLine="0"/>
        <w:jc w:val="left"/>
        <w:rPr>
          <w:sz w:val="20"/>
        </w:rPr>
      </w:pPr>
      <w:r>
        <w:rPr>
          <w:sz w:val="20"/>
        </w:rPr>
        <w:t>Significant Code: 0 ‘***’; 0.001 ‘**’; 0.01 ‘*’; 0.05 ‘.’; 0.1 ‘‘.</w:t>
      </w:r>
    </w:p>
    <w:p>
      <w:pPr>
        <w:pStyle w:val="BodyText"/>
        <w:rPr>
          <w:sz w:val="22"/>
        </w:rPr>
      </w:pPr>
    </w:p>
    <w:p>
      <w:pPr>
        <w:pStyle w:val="BodyText"/>
        <w:spacing w:before="2"/>
        <w:rPr>
          <w:sz w:val="23"/>
        </w:rPr>
      </w:pPr>
    </w:p>
    <w:p>
      <w:pPr>
        <w:pStyle w:val="Heading3"/>
        <w:numPr>
          <w:ilvl w:val="1"/>
          <w:numId w:val="30"/>
        </w:numPr>
        <w:tabs>
          <w:tab w:pos="1039" w:val="left" w:leader="none"/>
          <w:tab w:pos="1040" w:val="left" w:leader="none"/>
        </w:tabs>
        <w:spacing w:line="240" w:lineRule="auto" w:before="0" w:after="0"/>
        <w:ind w:left="1039" w:right="0" w:hanging="719"/>
        <w:jc w:val="left"/>
      </w:pPr>
      <w:bookmarkStart w:name="_TOC_250020" w:id="229"/>
      <w:bookmarkStart w:name="6.2 BICYCLE MODELS" w:id="230"/>
      <w:r>
        <w:rPr>
          <w:b w:val="0"/>
        </w:rPr>
      </w:r>
      <w:bookmarkEnd w:id="230"/>
      <w:bookmarkStart w:name="6.2 BICYCLE MODELS" w:id="231"/>
      <w:r>
        <w:rPr/>
        <w:t>B</w:t>
      </w:r>
      <w:r>
        <w:rPr/>
        <w:t>ICYCLE</w:t>
      </w:r>
      <w:r>
        <w:rPr>
          <w:spacing w:val="-2"/>
        </w:rPr>
        <w:t> </w:t>
      </w:r>
      <w:bookmarkEnd w:id="229"/>
      <w:r>
        <w:rPr/>
        <w:t>MODELS</w:t>
      </w:r>
    </w:p>
    <w:p>
      <w:pPr>
        <w:pStyle w:val="BodyText"/>
        <w:spacing w:before="236"/>
        <w:ind w:left="319" w:right="1670"/>
      </w:pPr>
      <w:r>
        <w:rPr/>
        <w:t>This section provides the modeling results of four different bicycle models: 1) bicycle segment crash occurrence model; 2) bicycle intersection crash occurrence model; 3) bicycle segment crash severity model; and 4) bicycle intersection crash severity model.</w:t>
      </w:r>
    </w:p>
    <w:p>
      <w:pPr>
        <w:pStyle w:val="BodyText"/>
        <w:spacing w:before="2"/>
        <w:rPr>
          <w:sz w:val="21"/>
        </w:rPr>
      </w:pPr>
    </w:p>
    <w:p>
      <w:pPr>
        <w:pStyle w:val="Heading3"/>
        <w:numPr>
          <w:ilvl w:val="2"/>
          <w:numId w:val="30"/>
        </w:numPr>
        <w:tabs>
          <w:tab w:pos="1040" w:val="left" w:leader="none"/>
        </w:tabs>
        <w:spacing w:line="240" w:lineRule="auto" w:before="0" w:after="0"/>
        <w:ind w:left="1039" w:right="0" w:hanging="719"/>
        <w:jc w:val="left"/>
      </w:pPr>
      <w:bookmarkStart w:name="_TOC_250019" w:id="232"/>
      <w:bookmarkStart w:name="6.2.1 Crash Occurrence" w:id="233"/>
      <w:r>
        <w:rPr>
          <w:b w:val="0"/>
        </w:rPr>
      </w:r>
      <w:bookmarkEnd w:id="233"/>
      <w:bookmarkStart w:name="6.2.1 Crash Occurrence" w:id="234"/>
      <w:r>
        <w:rPr/>
        <w:t>C</w:t>
      </w:r>
      <w:r>
        <w:rPr/>
        <w:t>rash</w:t>
      </w:r>
      <w:r>
        <w:rPr>
          <w:spacing w:val="-1"/>
        </w:rPr>
        <w:t> </w:t>
      </w:r>
      <w:bookmarkEnd w:id="232"/>
      <w:r>
        <w:rPr/>
        <w:t>Occurrence</w:t>
      </w:r>
    </w:p>
    <w:p>
      <w:pPr>
        <w:pStyle w:val="BodyText"/>
        <w:spacing w:before="237"/>
        <w:ind w:left="320" w:right="2089"/>
      </w:pPr>
      <w:r>
        <w:rPr/>
        <w:t>A combined backward and forward stepwise method was used to determine the significant variables to be included in the final model. The project team manually tested a subset of</w:t>
      </w:r>
    </w:p>
    <w:p>
      <w:pPr>
        <w:spacing w:after="0"/>
        <w:sectPr>
          <w:pgSz w:w="12240" w:h="15840"/>
          <w:pgMar w:header="0" w:footer="709" w:top="920" w:bottom="940" w:left="1120" w:right="0"/>
        </w:sectPr>
      </w:pPr>
    </w:p>
    <w:p>
      <w:pPr>
        <w:pStyle w:val="BodyText"/>
        <w:spacing w:before="72"/>
        <w:ind w:left="320" w:right="1719"/>
      </w:pPr>
      <w:r>
        <w:rPr/>
        <w:t>significant variables that it deemed to be important by engineering judgment and previous relevant project experience. The variables of final bicycle segment crash occurrence model include the presence of crossing (no crossing is the base condition); AADT (factored to 2014); three-leg intersection density; and bike volume (per day). The coefficients, standard error, p- value, significance and odds ratios are show</w:t>
      </w:r>
      <w:hyperlink w:history="true" w:anchor="_bookmark47">
        <w:r>
          <w:rPr/>
          <w:t>n in Table 6.5</w:t>
        </w:r>
      </w:hyperlink>
      <w:r>
        <w:rPr/>
        <w:t>.</w:t>
      </w:r>
    </w:p>
    <w:p>
      <w:pPr>
        <w:pStyle w:val="BodyText"/>
        <w:spacing w:before="10"/>
        <w:rPr>
          <w:sz w:val="20"/>
        </w:rPr>
      </w:pPr>
    </w:p>
    <w:p>
      <w:pPr>
        <w:pStyle w:val="BodyText"/>
        <w:spacing w:before="1"/>
        <w:ind w:left="320" w:right="1453"/>
      </w:pPr>
      <w:r>
        <w:rPr/>
        <w:t>Unlike all the other crash occurrence model, very few variables were found to be significant in the model. The research team selected a final model that was based on judgment and lower confidence level threshold for variable inclusion. The model includes an exposure metric for bicycles per day and the sign is expected (as bicycles per day increase then probability also increases). The included variables significant variables also include the land-use variables related to intersection-type density. Three-leg intersection density (we hypothesize is associated with less connectivity) is associated with a positive increase in crash probability. The presence of crossings decreases the probability of bicycle crashes on the segments. We hypothesize that the presence of pedestrian crossings is related to the overall design of the roadway (i.e. a more non- motorized user-friendly character). Vehicle volume, represented by AADT in the model, has the positive coefficients as expected, indicating that high vehicle volume could lead to high risk for bicyclists on this</w:t>
      </w:r>
      <w:r>
        <w:rPr>
          <w:spacing w:val="-3"/>
        </w:rPr>
        <w:t> </w:t>
      </w:r>
      <w:r>
        <w:rPr/>
        <w:t>segment.</w:t>
      </w:r>
    </w:p>
    <w:p>
      <w:pPr>
        <w:pStyle w:val="BodyText"/>
        <w:spacing w:before="1"/>
        <w:rPr>
          <w:sz w:val="21"/>
        </w:rPr>
      </w:pPr>
    </w:p>
    <w:p>
      <w:pPr>
        <w:spacing w:before="0"/>
        <w:ind w:left="320" w:right="0" w:firstLine="0"/>
        <w:jc w:val="left"/>
        <w:rPr>
          <w:b/>
          <w:sz w:val="20"/>
        </w:rPr>
      </w:pPr>
      <w:bookmarkStart w:name="_bookmark47" w:id="235"/>
      <w:bookmarkEnd w:id="235"/>
      <w:r>
        <w:rPr/>
      </w:r>
      <w:r>
        <w:rPr>
          <w:b/>
          <w:sz w:val="20"/>
        </w:rPr>
        <w:t>Table 6.5: Model 5: Bicycle Segment Crash Occurrence Model Results</w:t>
      </w:r>
    </w:p>
    <w:tbl>
      <w:tblPr>
        <w:tblW w:w="0" w:type="auto"/>
        <w:jc w:val="left"/>
        <w:tblInd w:w="28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433"/>
        <w:gridCol w:w="1226"/>
        <w:gridCol w:w="1191"/>
        <w:gridCol w:w="1073"/>
        <w:gridCol w:w="1321"/>
        <w:gridCol w:w="1202"/>
      </w:tblGrid>
      <w:tr>
        <w:trPr>
          <w:trHeight w:val="460" w:hRule="atLeast"/>
        </w:trPr>
        <w:tc>
          <w:tcPr>
            <w:tcW w:w="3433" w:type="dxa"/>
            <w:tcBorders>
              <w:left w:val="nil"/>
              <w:right w:val="single" w:sz="4" w:space="0" w:color="000000"/>
            </w:tcBorders>
          </w:tcPr>
          <w:p>
            <w:pPr>
              <w:pStyle w:val="TableParagraph"/>
              <w:spacing w:before="114"/>
              <w:ind w:left="108"/>
              <w:rPr>
                <w:b/>
                <w:sz w:val="20"/>
              </w:rPr>
            </w:pPr>
            <w:r>
              <w:rPr>
                <w:b/>
                <w:sz w:val="20"/>
              </w:rPr>
              <w:t>Variable</w:t>
            </w:r>
          </w:p>
        </w:tc>
        <w:tc>
          <w:tcPr>
            <w:tcW w:w="1226" w:type="dxa"/>
            <w:tcBorders>
              <w:left w:val="single" w:sz="4" w:space="0" w:color="000000"/>
              <w:right w:val="single" w:sz="4" w:space="0" w:color="000000"/>
            </w:tcBorders>
          </w:tcPr>
          <w:p>
            <w:pPr>
              <w:pStyle w:val="TableParagraph"/>
              <w:spacing w:before="114"/>
              <w:ind w:left="103"/>
              <w:rPr>
                <w:b/>
                <w:sz w:val="20"/>
              </w:rPr>
            </w:pPr>
            <w:r>
              <w:rPr>
                <w:b/>
                <w:sz w:val="20"/>
              </w:rPr>
              <w:t>Coefficients</w:t>
            </w:r>
          </w:p>
        </w:tc>
        <w:tc>
          <w:tcPr>
            <w:tcW w:w="1191" w:type="dxa"/>
            <w:tcBorders>
              <w:left w:val="single" w:sz="4" w:space="0" w:color="000000"/>
              <w:right w:val="single" w:sz="4" w:space="0" w:color="000000"/>
            </w:tcBorders>
          </w:tcPr>
          <w:p>
            <w:pPr>
              <w:pStyle w:val="TableParagraph"/>
              <w:spacing w:line="230" w:lineRule="exact" w:before="2"/>
              <w:ind w:left="103" w:right="257"/>
              <w:rPr>
                <w:b/>
                <w:sz w:val="20"/>
              </w:rPr>
            </w:pPr>
            <w:r>
              <w:rPr>
                <w:b/>
                <w:sz w:val="20"/>
              </w:rPr>
              <w:t>Standard Error</w:t>
            </w:r>
          </w:p>
        </w:tc>
        <w:tc>
          <w:tcPr>
            <w:tcW w:w="1073" w:type="dxa"/>
            <w:tcBorders>
              <w:left w:val="single" w:sz="4" w:space="0" w:color="000000"/>
              <w:right w:val="single" w:sz="4" w:space="0" w:color="000000"/>
            </w:tcBorders>
          </w:tcPr>
          <w:p>
            <w:pPr>
              <w:pStyle w:val="TableParagraph"/>
              <w:spacing w:before="114"/>
              <w:ind w:left="102"/>
              <w:rPr>
                <w:b/>
                <w:sz w:val="20"/>
              </w:rPr>
            </w:pPr>
            <w:r>
              <w:rPr>
                <w:b/>
                <w:sz w:val="20"/>
              </w:rPr>
              <w:t>P-value</w:t>
            </w:r>
          </w:p>
        </w:tc>
        <w:tc>
          <w:tcPr>
            <w:tcW w:w="1321" w:type="dxa"/>
            <w:tcBorders>
              <w:left w:val="single" w:sz="4" w:space="0" w:color="000000"/>
              <w:right w:val="single" w:sz="4" w:space="0" w:color="000000"/>
            </w:tcBorders>
          </w:tcPr>
          <w:p>
            <w:pPr>
              <w:pStyle w:val="TableParagraph"/>
              <w:spacing w:before="114"/>
              <w:ind w:left="103"/>
              <w:rPr>
                <w:b/>
                <w:sz w:val="20"/>
              </w:rPr>
            </w:pPr>
            <w:r>
              <w:rPr>
                <w:b/>
                <w:sz w:val="20"/>
              </w:rPr>
              <w:t>Significance</w:t>
            </w:r>
          </w:p>
        </w:tc>
        <w:tc>
          <w:tcPr>
            <w:tcW w:w="1202" w:type="dxa"/>
            <w:tcBorders>
              <w:left w:val="single" w:sz="4" w:space="0" w:color="000000"/>
              <w:right w:val="nil"/>
            </w:tcBorders>
          </w:tcPr>
          <w:p>
            <w:pPr>
              <w:pStyle w:val="TableParagraph"/>
              <w:spacing w:before="114"/>
              <w:ind w:left="106"/>
              <w:rPr>
                <w:b/>
                <w:sz w:val="20"/>
              </w:rPr>
            </w:pPr>
            <w:r>
              <w:rPr>
                <w:b/>
                <w:sz w:val="20"/>
              </w:rPr>
              <w:t>Odds Ratio</w:t>
            </w:r>
          </w:p>
        </w:tc>
      </w:tr>
      <w:tr>
        <w:trPr>
          <w:trHeight w:val="458" w:hRule="atLeast"/>
        </w:trPr>
        <w:tc>
          <w:tcPr>
            <w:tcW w:w="3433" w:type="dxa"/>
            <w:tcBorders>
              <w:left w:val="nil"/>
              <w:bottom w:val="single" w:sz="4" w:space="0" w:color="000000"/>
              <w:right w:val="single" w:sz="4" w:space="0" w:color="000000"/>
            </w:tcBorders>
          </w:tcPr>
          <w:p>
            <w:pPr>
              <w:pStyle w:val="TableParagraph"/>
              <w:tabs>
                <w:tab w:pos="1147" w:val="left" w:leader="none"/>
                <w:tab w:pos="1641" w:val="left" w:leader="none"/>
                <w:tab w:pos="2569" w:val="left" w:leader="none"/>
              </w:tabs>
              <w:spacing w:line="225" w:lineRule="exact"/>
              <w:ind w:left="108"/>
              <w:rPr>
                <w:sz w:val="20"/>
              </w:rPr>
            </w:pPr>
            <w:r>
              <w:rPr>
                <w:sz w:val="20"/>
              </w:rPr>
              <w:t>Presence</w:t>
              <w:tab/>
              <w:t>of</w:t>
              <w:tab/>
              <w:t>marked</w:t>
              <w:tab/>
              <w:t>midblock</w:t>
            </w:r>
          </w:p>
          <w:p>
            <w:pPr>
              <w:pStyle w:val="TableParagraph"/>
              <w:spacing w:line="213" w:lineRule="exact"/>
              <w:ind w:left="108"/>
              <w:rPr>
                <w:sz w:val="20"/>
              </w:rPr>
            </w:pPr>
            <w:r>
              <w:rPr>
                <w:sz w:val="20"/>
              </w:rPr>
              <w:t>crosswalks within segment</w:t>
            </w:r>
          </w:p>
        </w:tc>
        <w:tc>
          <w:tcPr>
            <w:tcW w:w="1226"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-1.207</w:t>
            </w:r>
          </w:p>
        </w:tc>
        <w:tc>
          <w:tcPr>
            <w:tcW w:w="1191"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-3.662</w:t>
            </w:r>
          </w:p>
        </w:tc>
        <w:tc>
          <w:tcPr>
            <w:tcW w:w="1073"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0.000976</w:t>
            </w:r>
          </w:p>
        </w:tc>
        <w:tc>
          <w:tcPr>
            <w:tcW w:w="1321"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w:t>
            </w:r>
          </w:p>
        </w:tc>
        <w:tc>
          <w:tcPr>
            <w:tcW w:w="1202" w:type="dxa"/>
            <w:tcBorders>
              <w:left w:val="single" w:sz="4" w:space="0" w:color="000000"/>
              <w:bottom w:val="single" w:sz="4" w:space="0" w:color="000000"/>
              <w:right w:val="nil"/>
            </w:tcBorders>
          </w:tcPr>
          <w:p>
            <w:pPr>
              <w:pStyle w:val="TableParagraph"/>
              <w:spacing w:before="109"/>
              <w:ind w:left="106"/>
              <w:rPr>
                <w:sz w:val="20"/>
              </w:rPr>
            </w:pPr>
            <w:r>
              <w:rPr>
                <w:sz w:val="20"/>
              </w:rPr>
              <w:t>0.2991</w:t>
            </w:r>
          </w:p>
        </w:tc>
      </w:tr>
      <w:tr>
        <w:trPr>
          <w:trHeight w:val="299" w:hRule="atLeast"/>
        </w:trPr>
        <w:tc>
          <w:tcPr>
            <w:tcW w:w="3433" w:type="dxa"/>
            <w:tcBorders>
              <w:top w:val="single" w:sz="4" w:space="0" w:color="000000"/>
              <w:left w:val="nil"/>
              <w:bottom w:val="single" w:sz="4" w:space="0" w:color="000000"/>
              <w:right w:val="single" w:sz="4" w:space="0" w:color="000000"/>
            </w:tcBorders>
          </w:tcPr>
          <w:p>
            <w:pPr>
              <w:pStyle w:val="TableParagraph"/>
              <w:spacing w:before="31"/>
              <w:ind w:left="108"/>
              <w:rPr>
                <w:sz w:val="20"/>
              </w:rPr>
            </w:pPr>
            <w:r>
              <w:rPr>
                <w:sz w:val="20"/>
              </w:rPr>
              <w:t>AADT 2014</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0.00003187</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0.00002124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before="31"/>
              <w:ind w:left="103"/>
              <w:rPr>
                <w:sz w:val="20"/>
              </w:rPr>
            </w:pPr>
            <w:r>
              <w:rPr>
                <w:sz w:val="20"/>
              </w:rPr>
              <w:t>0.1336</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rPr>
                <w:sz w:val="22"/>
              </w:rPr>
            </w:pPr>
          </w:p>
        </w:tc>
        <w:tc>
          <w:tcPr>
            <w:tcW w:w="1202" w:type="dxa"/>
            <w:tcBorders>
              <w:top w:val="single" w:sz="4" w:space="0" w:color="000000"/>
              <w:left w:val="single" w:sz="4" w:space="0" w:color="000000"/>
              <w:bottom w:val="single" w:sz="4" w:space="0" w:color="000000"/>
              <w:right w:val="nil"/>
            </w:tcBorders>
          </w:tcPr>
          <w:p>
            <w:pPr>
              <w:pStyle w:val="TableParagraph"/>
              <w:spacing w:before="31"/>
              <w:ind w:left="106"/>
              <w:rPr>
                <w:sz w:val="20"/>
              </w:rPr>
            </w:pPr>
            <w:r>
              <w:rPr>
                <w:sz w:val="20"/>
              </w:rPr>
              <w:t>1.00003187</w:t>
            </w:r>
          </w:p>
        </w:tc>
      </w:tr>
      <w:tr>
        <w:trPr>
          <w:trHeight w:val="460" w:hRule="atLeast"/>
        </w:trPr>
        <w:tc>
          <w:tcPr>
            <w:tcW w:w="3433" w:type="dxa"/>
            <w:tcBorders>
              <w:top w:val="single" w:sz="4" w:space="0" w:color="000000"/>
              <w:left w:val="nil"/>
              <w:bottom w:val="single" w:sz="4" w:space="0" w:color="000000"/>
              <w:right w:val="single" w:sz="4" w:space="0" w:color="000000"/>
            </w:tcBorders>
          </w:tcPr>
          <w:p>
            <w:pPr>
              <w:pStyle w:val="TableParagraph"/>
              <w:tabs>
                <w:tab w:pos="1088" w:val="left" w:leader="none"/>
                <w:tab w:pos="2222" w:val="left" w:leader="none"/>
                <w:tab w:pos="3002" w:val="left" w:leader="none"/>
              </w:tabs>
              <w:spacing w:line="230" w:lineRule="exact"/>
              <w:ind w:left="108" w:right="102"/>
              <w:rPr>
                <w:sz w:val="20"/>
              </w:rPr>
            </w:pPr>
            <w:r>
              <w:rPr>
                <w:sz w:val="20"/>
              </w:rPr>
              <w:t>Three-leg</w:t>
              <w:tab/>
              <w:t>intersection</w:t>
              <w:tab/>
              <w:t>density</w:t>
              <w:tab/>
            </w:r>
            <w:r>
              <w:rPr>
                <w:spacing w:val="-5"/>
                <w:sz w:val="20"/>
              </w:rPr>
              <w:t>(per </w:t>
            </w:r>
            <w:r>
              <w:rPr>
                <w:sz w:val="20"/>
              </w:rPr>
              <w:t>square</w:t>
            </w:r>
            <w:r>
              <w:rPr>
                <w:spacing w:val="-1"/>
                <w:sz w:val="20"/>
              </w:rPr>
              <w:t> </w:t>
            </w:r>
            <w:r>
              <w:rPr>
                <w:sz w:val="20"/>
              </w:rPr>
              <w:t>mile)</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0.002087</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0.001486</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0.1602</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rPr>
                <w:sz w:val="22"/>
              </w:rPr>
            </w:pPr>
          </w:p>
        </w:tc>
        <w:tc>
          <w:tcPr>
            <w:tcW w:w="1202" w:type="dxa"/>
            <w:tcBorders>
              <w:top w:val="single" w:sz="4" w:space="0" w:color="000000"/>
              <w:left w:val="single" w:sz="4" w:space="0" w:color="000000"/>
              <w:bottom w:val="single" w:sz="4" w:space="0" w:color="000000"/>
              <w:right w:val="nil"/>
            </w:tcBorders>
          </w:tcPr>
          <w:p>
            <w:pPr>
              <w:pStyle w:val="TableParagraph"/>
              <w:spacing w:before="112"/>
              <w:ind w:left="106"/>
              <w:rPr>
                <w:sz w:val="20"/>
              </w:rPr>
            </w:pPr>
            <w:r>
              <w:rPr>
                <w:sz w:val="20"/>
              </w:rPr>
              <w:t>1.002089</w:t>
            </w:r>
          </w:p>
        </w:tc>
      </w:tr>
      <w:tr>
        <w:trPr>
          <w:trHeight w:val="315" w:hRule="atLeast"/>
        </w:trPr>
        <w:tc>
          <w:tcPr>
            <w:tcW w:w="3433"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Bicycles per day (STRAVA)</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0.001007</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0.000994</w:t>
            </w:r>
          </w:p>
        </w:tc>
        <w:tc>
          <w:tcPr>
            <w:tcW w:w="1073" w:type="dxa"/>
            <w:tcBorders>
              <w:top w:val="single" w:sz="4" w:space="0" w:color="000000"/>
              <w:left w:val="single" w:sz="4" w:space="0" w:color="000000"/>
              <w:bottom w:val="single" w:sz="4" w:space="0" w:color="000000"/>
              <w:right w:val="single" w:sz="4" w:space="0" w:color="000000"/>
            </w:tcBorders>
          </w:tcPr>
          <w:p>
            <w:pPr>
              <w:pStyle w:val="TableParagraph"/>
              <w:spacing w:before="40"/>
              <w:ind w:left="103"/>
              <w:rPr>
                <w:sz w:val="20"/>
              </w:rPr>
            </w:pPr>
            <w:r>
              <w:rPr>
                <w:sz w:val="20"/>
              </w:rPr>
              <w:t>0.3110</w:t>
            </w:r>
          </w:p>
        </w:tc>
        <w:tc>
          <w:tcPr>
            <w:tcW w:w="1321" w:type="dxa"/>
            <w:tcBorders>
              <w:top w:val="single" w:sz="4" w:space="0" w:color="000000"/>
              <w:left w:val="single" w:sz="4" w:space="0" w:color="000000"/>
              <w:bottom w:val="single" w:sz="4" w:space="0" w:color="000000"/>
              <w:right w:val="single" w:sz="4" w:space="0" w:color="000000"/>
            </w:tcBorders>
          </w:tcPr>
          <w:p>
            <w:pPr>
              <w:pStyle w:val="TableParagraph"/>
              <w:rPr>
                <w:sz w:val="22"/>
              </w:rPr>
            </w:pPr>
          </w:p>
        </w:tc>
        <w:tc>
          <w:tcPr>
            <w:tcW w:w="1202" w:type="dxa"/>
            <w:tcBorders>
              <w:top w:val="single" w:sz="4" w:space="0" w:color="000000"/>
              <w:left w:val="single" w:sz="4" w:space="0" w:color="000000"/>
              <w:bottom w:val="single" w:sz="4" w:space="0" w:color="000000"/>
              <w:right w:val="nil"/>
            </w:tcBorders>
          </w:tcPr>
          <w:p>
            <w:pPr>
              <w:pStyle w:val="TableParagraph"/>
              <w:spacing w:before="40"/>
              <w:ind w:left="106"/>
              <w:rPr>
                <w:sz w:val="20"/>
              </w:rPr>
            </w:pPr>
            <w:r>
              <w:rPr>
                <w:sz w:val="20"/>
              </w:rPr>
              <w:t>1.0010012</w:t>
            </w:r>
          </w:p>
        </w:tc>
      </w:tr>
    </w:tbl>
    <w:p>
      <w:pPr>
        <w:spacing w:line="338" w:lineRule="auto" w:before="37"/>
        <w:ind w:left="382" w:right="3340" w:firstLine="0"/>
        <w:jc w:val="left"/>
        <w:rPr>
          <w:sz w:val="18"/>
        </w:rPr>
      </w:pPr>
      <w:r>
        <w:rPr/>
        <w:pict>
          <v:line style="position:absolute;mso-position-horizontal-relative:page;mso-position-vertical-relative:paragraph;z-index:-254200" from="69.720001pt,16.009611pt" to="542.279001pt,16.009611pt" stroked="true" strokeweight=".481pt" strokecolor="#000000">
            <v:stroke dashstyle="solid"/>
            <w10:wrap type="none"/>
          </v:line>
        </w:pict>
      </w:r>
      <w:r>
        <w:rPr/>
        <w:pict>
          <v:line style="position:absolute;mso-position-horizontal-relative:page;mso-position-vertical-relative:paragraph;z-index:-254176" from="69.720001pt,32.20961pt" to="542.279001pt,32.20961pt" stroked="true" strokeweight=".481pt" strokecolor="#000000">
            <v:stroke dashstyle="solid"/>
            <w10:wrap type="none"/>
          </v:line>
        </w:pict>
      </w:r>
      <w:r>
        <w:rPr/>
        <w:pict>
          <v:line style="position:absolute;mso-position-horizontal-relative:page;mso-position-vertical-relative:paragraph;z-index:4624" from="69pt,48.98011pt" to="542.28pt,48.98011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240.60 on 188 degrees of freedom Residual deviance (measure the goodness of fit of a logit model)</w:t>
      </w:r>
      <w:r>
        <w:rPr>
          <w:rFonts w:ascii="MS PGothic" w:eastAsia="MS PGothic" w:hint="eastAsia"/>
          <w:sz w:val="18"/>
        </w:rPr>
        <w:t>： </w:t>
      </w:r>
      <w:r>
        <w:rPr>
          <w:sz w:val="18"/>
        </w:rPr>
        <w:t>220.35 on 183 degrees of freedom AIC</w:t>
      </w:r>
      <w:r>
        <w:rPr>
          <w:rFonts w:ascii="MS PGothic" w:eastAsia="MS PGothic" w:hint="eastAsia"/>
          <w:sz w:val="18"/>
        </w:rPr>
        <w:t>： </w:t>
      </w:r>
      <w:r>
        <w:rPr>
          <w:sz w:val="18"/>
        </w:rPr>
        <w:t>230.35</w:t>
      </w:r>
    </w:p>
    <w:p>
      <w:pPr>
        <w:spacing w:line="209" w:lineRule="exact" w:before="0"/>
        <w:ind w:left="320" w:right="0" w:firstLine="0"/>
        <w:jc w:val="left"/>
        <w:rPr>
          <w:sz w:val="20"/>
        </w:rPr>
      </w:pPr>
      <w:r>
        <w:rPr>
          <w:sz w:val="20"/>
        </w:rPr>
        <w:t>Significant Code: 0 ‘***’; 0.001 ‘**’; 0.01 ‘*’; 0.05 ‘.’; 0.1 ‘ ’.</w:t>
      </w:r>
    </w:p>
    <w:p>
      <w:pPr>
        <w:pStyle w:val="BodyText"/>
      </w:pPr>
    </w:p>
    <w:p>
      <w:pPr>
        <w:pStyle w:val="BodyText"/>
        <w:ind w:left="320" w:right="1443"/>
      </w:pPr>
      <w:r>
        <w:rPr/>
        <w:t>A similar backward and forward modeling exercise was conducted to estimate the model for intersections. At the intersection level, the bicycle models the significant variables in the final bicycle intersection crash occurrence model include bicycles per day, the number of transit stops, the minor road functional class, minor road total traffic lanes, and minor road right-turn lanes.</w:t>
      </w:r>
    </w:p>
    <w:p>
      <w:pPr>
        <w:pStyle w:val="BodyText"/>
        <w:ind w:left="319" w:right="1504"/>
      </w:pPr>
      <w:r>
        <w:rPr/>
        <w:t>The coefficients, standard error, p-value, significance and odds ratios are provided in </w:t>
      </w:r>
      <w:hyperlink w:history="true" w:anchor="_bookmark48">
        <w:r>
          <w:rPr/>
          <w:t>Table 6-6</w:t>
        </w:r>
      </w:hyperlink>
      <w:r>
        <w:rPr/>
        <w:t>. Clearly, the number of bicycles per day capture the increased exposure as volumes increase. The number of transit stops indicate a presence of other road users and possibly additional interactions with bus traffic. The number of lanes on the minor road can be interpreted as increasing the total intersection size.</w:t>
      </w:r>
    </w:p>
    <w:p>
      <w:pPr>
        <w:pStyle w:val="BodyText"/>
        <w:spacing w:before="1"/>
        <w:rPr>
          <w:sz w:val="21"/>
        </w:rPr>
      </w:pPr>
    </w:p>
    <w:p>
      <w:pPr>
        <w:spacing w:before="0"/>
        <w:ind w:left="320" w:right="0" w:firstLine="0"/>
        <w:jc w:val="left"/>
        <w:rPr>
          <w:b/>
          <w:sz w:val="20"/>
        </w:rPr>
      </w:pPr>
      <w:bookmarkStart w:name="_bookmark48" w:id="236"/>
      <w:bookmarkEnd w:id="236"/>
      <w:r>
        <w:rPr/>
      </w:r>
      <w:r>
        <w:rPr>
          <w:b/>
          <w:sz w:val="20"/>
        </w:rPr>
        <w:t>Table 6.6: Model 6: Bicycle Intersection Crash Occurrence Model Results Table</w:t>
      </w:r>
    </w:p>
    <w:tbl>
      <w:tblPr>
        <w:tblW w:w="0" w:type="auto"/>
        <w:jc w:val="left"/>
        <w:tblInd w:w="38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54"/>
        <w:gridCol w:w="1279"/>
        <w:gridCol w:w="1133"/>
        <w:gridCol w:w="1081"/>
        <w:gridCol w:w="1290"/>
        <w:gridCol w:w="1357"/>
      </w:tblGrid>
      <w:tr>
        <w:trPr>
          <w:trHeight w:val="460" w:hRule="atLeast"/>
        </w:trPr>
        <w:tc>
          <w:tcPr>
            <w:tcW w:w="3054" w:type="dxa"/>
            <w:tcBorders>
              <w:left w:val="nil"/>
              <w:right w:val="single" w:sz="4" w:space="0" w:color="000000"/>
            </w:tcBorders>
          </w:tcPr>
          <w:p>
            <w:pPr>
              <w:pStyle w:val="TableParagraph"/>
              <w:spacing w:before="114"/>
              <w:ind w:left="137"/>
              <w:rPr>
                <w:b/>
                <w:sz w:val="20"/>
              </w:rPr>
            </w:pPr>
            <w:r>
              <w:rPr>
                <w:b/>
                <w:sz w:val="20"/>
              </w:rPr>
              <w:t>Variable</w:t>
            </w:r>
          </w:p>
        </w:tc>
        <w:tc>
          <w:tcPr>
            <w:tcW w:w="1279" w:type="dxa"/>
            <w:tcBorders>
              <w:left w:val="single" w:sz="4" w:space="0" w:color="000000"/>
              <w:right w:val="single" w:sz="4" w:space="0" w:color="000000"/>
            </w:tcBorders>
          </w:tcPr>
          <w:p>
            <w:pPr>
              <w:pStyle w:val="TableParagraph"/>
              <w:spacing w:before="114"/>
              <w:ind w:left="117"/>
              <w:rPr>
                <w:b/>
                <w:sz w:val="20"/>
              </w:rPr>
            </w:pPr>
            <w:r>
              <w:rPr>
                <w:b/>
                <w:sz w:val="20"/>
              </w:rPr>
              <w:t>Coefficients</w:t>
            </w:r>
          </w:p>
        </w:tc>
        <w:tc>
          <w:tcPr>
            <w:tcW w:w="1133" w:type="dxa"/>
            <w:tcBorders>
              <w:left w:val="single" w:sz="4" w:space="0" w:color="000000"/>
              <w:right w:val="single" w:sz="4" w:space="0" w:color="000000"/>
            </w:tcBorders>
          </w:tcPr>
          <w:p>
            <w:pPr>
              <w:pStyle w:val="TableParagraph"/>
              <w:spacing w:line="230" w:lineRule="exact" w:before="2"/>
              <w:ind w:left="118" w:right="184"/>
              <w:rPr>
                <w:b/>
                <w:sz w:val="20"/>
              </w:rPr>
            </w:pPr>
            <w:r>
              <w:rPr>
                <w:b/>
                <w:sz w:val="20"/>
              </w:rPr>
              <w:t>Standard Error</w:t>
            </w:r>
          </w:p>
        </w:tc>
        <w:tc>
          <w:tcPr>
            <w:tcW w:w="1081" w:type="dxa"/>
            <w:tcBorders>
              <w:left w:val="single" w:sz="4" w:space="0" w:color="000000"/>
              <w:right w:val="single" w:sz="4" w:space="0" w:color="000000"/>
            </w:tcBorders>
          </w:tcPr>
          <w:p>
            <w:pPr>
              <w:pStyle w:val="TableParagraph"/>
              <w:spacing w:before="114"/>
              <w:ind w:left="118"/>
              <w:rPr>
                <w:b/>
                <w:sz w:val="20"/>
              </w:rPr>
            </w:pPr>
            <w:r>
              <w:rPr>
                <w:b/>
                <w:sz w:val="20"/>
              </w:rPr>
              <w:t>P-value</w:t>
            </w:r>
          </w:p>
        </w:tc>
        <w:tc>
          <w:tcPr>
            <w:tcW w:w="1290" w:type="dxa"/>
            <w:tcBorders>
              <w:left w:val="single" w:sz="4" w:space="0" w:color="000000"/>
              <w:right w:val="single" w:sz="4" w:space="0" w:color="000000"/>
            </w:tcBorders>
          </w:tcPr>
          <w:p>
            <w:pPr>
              <w:pStyle w:val="TableParagraph"/>
              <w:spacing w:before="114"/>
              <w:ind w:left="118"/>
              <w:rPr>
                <w:b/>
                <w:sz w:val="20"/>
              </w:rPr>
            </w:pPr>
            <w:r>
              <w:rPr>
                <w:b/>
                <w:sz w:val="20"/>
              </w:rPr>
              <w:t>Significance</w:t>
            </w:r>
          </w:p>
        </w:tc>
        <w:tc>
          <w:tcPr>
            <w:tcW w:w="1357" w:type="dxa"/>
            <w:tcBorders>
              <w:left w:val="single" w:sz="4" w:space="0" w:color="000000"/>
              <w:right w:val="nil"/>
            </w:tcBorders>
          </w:tcPr>
          <w:p>
            <w:pPr>
              <w:pStyle w:val="TableParagraph"/>
              <w:spacing w:before="114"/>
              <w:ind w:left="118"/>
              <w:rPr>
                <w:b/>
                <w:sz w:val="20"/>
              </w:rPr>
            </w:pPr>
            <w:r>
              <w:rPr>
                <w:b/>
                <w:sz w:val="20"/>
              </w:rPr>
              <w:t>Odds Ratio</w:t>
            </w:r>
          </w:p>
        </w:tc>
      </w:tr>
      <w:tr>
        <w:trPr>
          <w:trHeight w:val="382" w:hRule="atLeast"/>
        </w:trPr>
        <w:tc>
          <w:tcPr>
            <w:tcW w:w="3054" w:type="dxa"/>
            <w:tcBorders>
              <w:left w:val="nil"/>
              <w:bottom w:val="single" w:sz="4" w:space="0" w:color="000000"/>
              <w:right w:val="single" w:sz="4" w:space="0" w:color="000000"/>
            </w:tcBorders>
          </w:tcPr>
          <w:p>
            <w:pPr>
              <w:pStyle w:val="TableParagraph"/>
              <w:spacing w:before="72"/>
              <w:ind w:left="137"/>
              <w:rPr>
                <w:sz w:val="20"/>
              </w:rPr>
            </w:pPr>
            <w:r>
              <w:rPr>
                <w:sz w:val="20"/>
              </w:rPr>
              <w:t>Bicycles per day (STRAVA)</w:t>
            </w:r>
          </w:p>
        </w:tc>
        <w:tc>
          <w:tcPr>
            <w:tcW w:w="1279" w:type="dxa"/>
            <w:tcBorders>
              <w:left w:val="single" w:sz="4" w:space="0" w:color="000000"/>
              <w:bottom w:val="single" w:sz="4" w:space="0" w:color="000000"/>
              <w:right w:val="single" w:sz="4" w:space="0" w:color="000000"/>
            </w:tcBorders>
          </w:tcPr>
          <w:p>
            <w:pPr>
              <w:pStyle w:val="TableParagraph"/>
              <w:spacing w:before="72"/>
              <w:ind w:left="116"/>
              <w:rPr>
                <w:sz w:val="20"/>
              </w:rPr>
            </w:pPr>
            <w:r>
              <w:rPr>
                <w:sz w:val="20"/>
              </w:rPr>
              <w:t>0.00146</w:t>
            </w:r>
          </w:p>
        </w:tc>
        <w:tc>
          <w:tcPr>
            <w:tcW w:w="1133" w:type="dxa"/>
            <w:tcBorders>
              <w:left w:val="single" w:sz="4" w:space="0" w:color="000000"/>
              <w:bottom w:val="single" w:sz="4" w:space="0" w:color="000000"/>
              <w:right w:val="single" w:sz="4" w:space="0" w:color="000000"/>
            </w:tcBorders>
          </w:tcPr>
          <w:p>
            <w:pPr>
              <w:pStyle w:val="TableParagraph"/>
              <w:spacing w:before="72"/>
              <w:ind w:left="118"/>
              <w:rPr>
                <w:sz w:val="20"/>
              </w:rPr>
            </w:pPr>
            <w:r>
              <w:rPr>
                <w:sz w:val="20"/>
              </w:rPr>
              <w:t>0.00024</w:t>
            </w:r>
          </w:p>
        </w:tc>
        <w:tc>
          <w:tcPr>
            <w:tcW w:w="1081" w:type="dxa"/>
            <w:tcBorders>
              <w:left w:val="single" w:sz="4" w:space="0" w:color="000000"/>
              <w:bottom w:val="single" w:sz="4" w:space="0" w:color="000000"/>
              <w:right w:val="single" w:sz="4" w:space="0" w:color="000000"/>
            </w:tcBorders>
          </w:tcPr>
          <w:p>
            <w:pPr>
              <w:pStyle w:val="TableParagraph"/>
              <w:spacing w:before="72"/>
              <w:ind w:left="118"/>
              <w:rPr>
                <w:sz w:val="20"/>
              </w:rPr>
            </w:pPr>
            <w:r>
              <w:rPr>
                <w:sz w:val="20"/>
              </w:rPr>
              <w:t>0.0368</w:t>
            </w:r>
          </w:p>
        </w:tc>
        <w:tc>
          <w:tcPr>
            <w:tcW w:w="1290" w:type="dxa"/>
            <w:tcBorders>
              <w:left w:val="single" w:sz="4" w:space="0" w:color="000000"/>
              <w:bottom w:val="single" w:sz="4" w:space="0" w:color="000000"/>
              <w:right w:val="single" w:sz="4" w:space="0" w:color="000000"/>
            </w:tcBorders>
          </w:tcPr>
          <w:p>
            <w:pPr>
              <w:pStyle w:val="TableParagraph"/>
              <w:spacing w:before="72"/>
              <w:ind w:left="118"/>
              <w:rPr>
                <w:sz w:val="20"/>
              </w:rPr>
            </w:pPr>
            <w:r>
              <w:rPr>
                <w:w w:val="100"/>
                <w:sz w:val="20"/>
              </w:rPr>
              <w:t>*</w:t>
            </w:r>
          </w:p>
        </w:tc>
        <w:tc>
          <w:tcPr>
            <w:tcW w:w="1357" w:type="dxa"/>
            <w:tcBorders>
              <w:left w:val="single" w:sz="4" w:space="0" w:color="000000"/>
              <w:bottom w:val="single" w:sz="4" w:space="0" w:color="000000"/>
              <w:right w:val="nil"/>
            </w:tcBorders>
          </w:tcPr>
          <w:p>
            <w:pPr>
              <w:pStyle w:val="TableParagraph"/>
              <w:spacing w:before="72"/>
              <w:ind w:left="118"/>
              <w:rPr>
                <w:sz w:val="20"/>
              </w:rPr>
            </w:pPr>
            <w:r>
              <w:rPr>
                <w:sz w:val="20"/>
              </w:rPr>
              <w:t>1.001</w:t>
            </w:r>
          </w:p>
        </w:tc>
      </w:tr>
      <w:tr>
        <w:trPr>
          <w:trHeight w:val="299" w:hRule="atLeast"/>
        </w:trPr>
        <w:tc>
          <w:tcPr>
            <w:tcW w:w="3054" w:type="dxa"/>
            <w:tcBorders>
              <w:top w:val="single" w:sz="4" w:space="0" w:color="000000"/>
              <w:left w:val="nil"/>
              <w:bottom w:val="single" w:sz="4" w:space="0" w:color="000000"/>
              <w:right w:val="single" w:sz="4" w:space="0" w:color="000000"/>
            </w:tcBorders>
          </w:tcPr>
          <w:p>
            <w:pPr>
              <w:pStyle w:val="TableParagraph"/>
              <w:spacing w:before="31"/>
              <w:ind w:left="137"/>
              <w:rPr>
                <w:sz w:val="20"/>
              </w:rPr>
            </w:pPr>
            <w:r>
              <w:rPr>
                <w:sz w:val="20"/>
              </w:rPr>
              <w:t>Number of transit stops</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before="31"/>
              <w:ind w:left="116"/>
              <w:rPr>
                <w:sz w:val="20"/>
              </w:rPr>
            </w:pPr>
            <w:r>
              <w:rPr>
                <w:sz w:val="20"/>
              </w:rPr>
              <w:t>0.3507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before="31"/>
              <w:ind w:left="118"/>
              <w:rPr>
                <w:sz w:val="20"/>
              </w:rPr>
            </w:pPr>
            <w:r>
              <w:rPr>
                <w:sz w:val="20"/>
              </w:rPr>
              <w:t>0.1924</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before="31"/>
              <w:ind w:left="118"/>
              <w:rPr>
                <w:sz w:val="20"/>
              </w:rPr>
            </w:pPr>
            <w:r>
              <w:rPr>
                <w:sz w:val="20"/>
              </w:rPr>
              <w:t>0.0683</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before="31"/>
              <w:ind w:left="118"/>
              <w:rPr>
                <w:sz w:val="20"/>
              </w:rPr>
            </w:pPr>
            <w:r>
              <w:rPr>
                <w:w w:val="100"/>
                <w:sz w:val="20"/>
              </w:rPr>
              <w:t>.</w:t>
            </w:r>
          </w:p>
        </w:tc>
        <w:tc>
          <w:tcPr>
            <w:tcW w:w="1357" w:type="dxa"/>
            <w:tcBorders>
              <w:top w:val="single" w:sz="4" w:space="0" w:color="000000"/>
              <w:left w:val="single" w:sz="4" w:space="0" w:color="000000"/>
              <w:bottom w:val="single" w:sz="4" w:space="0" w:color="000000"/>
              <w:right w:val="nil"/>
            </w:tcBorders>
          </w:tcPr>
          <w:p>
            <w:pPr>
              <w:pStyle w:val="TableParagraph"/>
              <w:spacing w:before="31"/>
              <w:ind w:left="118"/>
              <w:rPr>
                <w:sz w:val="20"/>
              </w:rPr>
            </w:pPr>
            <w:r>
              <w:rPr>
                <w:sz w:val="20"/>
              </w:rPr>
              <w:t>1.420</w:t>
            </w:r>
          </w:p>
        </w:tc>
      </w:tr>
      <w:tr>
        <w:trPr>
          <w:trHeight w:val="460" w:hRule="atLeast"/>
        </w:trPr>
        <w:tc>
          <w:tcPr>
            <w:tcW w:w="3054" w:type="dxa"/>
            <w:tcBorders>
              <w:top w:val="single" w:sz="4" w:space="0" w:color="000000"/>
              <w:left w:val="nil"/>
              <w:right w:val="single" w:sz="4" w:space="0" w:color="000000"/>
            </w:tcBorders>
          </w:tcPr>
          <w:p>
            <w:pPr>
              <w:pStyle w:val="TableParagraph"/>
              <w:spacing w:line="227" w:lineRule="exact"/>
              <w:ind w:left="137"/>
              <w:rPr>
                <w:sz w:val="20"/>
              </w:rPr>
            </w:pPr>
            <w:r>
              <w:rPr>
                <w:sz w:val="20"/>
              </w:rPr>
              <w:t>Minor functional class (arterial as</w:t>
            </w:r>
          </w:p>
          <w:p>
            <w:pPr>
              <w:pStyle w:val="TableParagraph"/>
              <w:spacing w:line="214" w:lineRule="exact"/>
              <w:ind w:left="137"/>
              <w:rPr>
                <w:sz w:val="20"/>
              </w:rPr>
            </w:pPr>
            <w:r>
              <w:rPr>
                <w:sz w:val="20"/>
              </w:rPr>
              <w:t>base)</w:t>
            </w:r>
          </w:p>
        </w:tc>
        <w:tc>
          <w:tcPr>
            <w:tcW w:w="1279" w:type="dxa"/>
            <w:tcBorders>
              <w:top w:val="single" w:sz="4" w:space="0" w:color="000000"/>
              <w:left w:val="single" w:sz="4" w:space="0" w:color="000000"/>
              <w:right w:val="single" w:sz="4" w:space="0" w:color="000000"/>
            </w:tcBorders>
          </w:tcPr>
          <w:p>
            <w:pPr>
              <w:pStyle w:val="TableParagraph"/>
              <w:spacing w:before="112"/>
              <w:ind w:left="116"/>
              <w:rPr>
                <w:sz w:val="20"/>
              </w:rPr>
            </w:pPr>
            <w:r>
              <w:rPr>
                <w:sz w:val="20"/>
              </w:rPr>
              <w:t>-0.9096</w:t>
            </w:r>
          </w:p>
        </w:tc>
        <w:tc>
          <w:tcPr>
            <w:tcW w:w="1133" w:type="dxa"/>
            <w:tcBorders>
              <w:top w:val="single" w:sz="4" w:space="0" w:color="000000"/>
              <w:left w:val="single" w:sz="4" w:space="0" w:color="000000"/>
              <w:right w:val="single" w:sz="4" w:space="0" w:color="000000"/>
            </w:tcBorders>
          </w:tcPr>
          <w:p>
            <w:pPr>
              <w:pStyle w:val="TableParagraph"/>
              <w:spacing w:before="112"/>
              <w:ind w:left="118"/>
              <w:rPr>
                <w:sz w:val="20"/>
              </w:rPr>
            </w:pPr>
            <w:r>
              <w:rPr>
                <w:sz w:val="20"/>
              </w:rPr>
              <w:t>0.3585</w:t>
            </w:r>
          </w:p>
        </w:tc>
        <w:tc>
          <w:tcPr>
            <w:tcW w:w="1081" w:type="dxa"/>
            <w:tcBorders>
              <w:top w:val="single" w:sz="4" w:space="0" w:color="000000"/>
              <w:left w:val="single" w:sz="4" w:space="0" w:color="000000"/>
              <w:right w:val="single" w:sz="4" w:space="0" w:color="000000"/>
            </w:tcBorders>
          </w:tcPr>
          <w:p>
            <w:pPr>
              <w:pStyle w:val="TableParagraph"/>
              <w:spacing w:before="112"/>
              <w:ind w:left="118"/>
              <w:rPr>
                <w:sz w:val="20"/>
              </w:rPr>
            </w:pPr>
            <w:r>
              <w:rPr>
                <w:sz w:val="20"/>
              </w:rPr>
              <w:t>0.0112</w:t>
            </w:r>
          </w:p>
        </w:tc>
        <w:tc>
          <w:tcPr>
            <w:tcW w:w="1290" w:type="dxa"/>
            <w:tcBorders>
              <w:top w:val="single" w:sz="4" w:space="0" w:color="000000"/>
              <w:left w:val="single" w:sz="4" w:space="0" w:color="000000"/>
              <w:right w:val="single" w:sz="4" w:space="0" w:color="000000"/>
            </w:tcBorders>
          </w:tcPr>
          <w:p>
            <w:pPr>
              <w:pStyle w:val="TableParagraph"/>
              <w:spacing w:before="112"/>
              <w:ind w:left="118"/>
              <w:rPr>
                <w:sz w:val="20"/>
              </w:rPr>
            </w:pPr>
            <w:r>
              <w:rPr>
                <w:w w:val="100"/>
                <w:sz w:val="20"/>
              </w:rPr>
              <w:t>*</w:t>
            </w:r>
          </w:p>
        </w:tc>
        <w:tc>
          <w:tcPr>
            <w:tcW w:w="1357" w:type="dxa"/>
            <w:tcBorders>
              <w:top w:val="single" w:sz="4" w:space="0" w:color="000000"/>
              <w:left w:val="single" w:sz="4" w:space="0" w:color="000000"/>
              <w:right w:val="nil"/>
            </w:tcBorders>
          </w:tcPr>
          <w:p>
            <w:pPr>
              <w:pStyle w:val="TableParagraph"/>
              <w:spacing w:before="112"/>
              <w:ind w:left="118"/>
              <w:rPr>
                <w:sz w:val="20"/>
              </w:rPr>
            </w:pPr>
            <w:r>
              <w:rPr>
                <w:sz w:val="20"/>
              </w:rPr>
              <w:t>0.4027</w:t>
            </w:r>
          </w:p>
        </w:tc>
      </w:tr>
    </w:tbl>
    <w:p>
      <w:pPr>
        <w:spacing w:after="0"/>
        <w:rPr>
          <w:sz w:val="20"/>
        </w:rPr>
        <w:sectPr>
          <w:pgSz w:w="12240" w:h="15840"/>
          <w:pgMar w:header="0" w:footer="709" w:top="920" w:bottom="980" w:left="1120" w:right="0"/>
        </w:sectPr>
      </w:pPr>
    </w:p>
    <w:tbl>
      <w:tblPr>
        <w:tblW w:w="0" w:type="auto"/>
        <w:jc w:val="left"/>
        <w:tblInd w:w="41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40"/>
        <w:gridCol w:w="1280"/>
        <w:gridCol w:w="1134"/>
        <w:gridCol w:w="1082"/>
        <w:gridCol w:w="1291"/>
        <w:gridCol w:w="1358"/>
      </w:tblGrid>
      <w:tr>
        <w:trPr>
          <w:trHeight w:val="459" w:hRule="atLeast"/>
        </w:trPr>
        <w:tc>
          <w:tcPr>
            <w:tcW w:w="3040" w:type="dxa"/>
            <w:tcBorders>
              <w:left w:val="nil"/>
              <w:bottom w:val="single" w:sz="4" w:space="0" w:color="000000"/>
              <w:right w:val="single" w:sz="4" w:space="0" w:color="000000"/>
            </w:tcBorders>
          </w:tcPr>
          <w:p>
            <w:pPr>
              <w:pStyle w:val="TableParagraph"/>
              <w:spacing w:line="223" w:lineRule="exact"/>
              <w:ind w:left="108"/>
              <w:rPr>
                <w:sz w:val="20"/>
              </w:rPr>
            </w:pPr>
            <w:r>
              <w:rPr>
                <w:sz w:val="20"/>
              </w:rPr>
              <w:t>Minor road, total number of traffic</w:t>
            </w:r>
          </w:p>
          <w:p>
            <w:pPr>
              <w:pStyle w:val="TableParagraph"/>
              <w:spacing w:line="216" w:lineRule="exact"/>
              <w:ind w:left="108"/>
              <w:rPr>
                <w:sz w:val="20"/>
              </w:rPr>
            </w:pPr>
            <w:r>
              <w:rPr>
                <w:sz w:val="20"/>
              </w:rPr>
              <w:t>lanes</w:t>
            </w:r>
          </w:p>
        </w:tc>
        <w:tc>
          <w:tcPr>
            <w:tcW w:w="1280" w:type="dxa"/>
            <w:tcBorders>
              <w:left w:val="single" w:sz="4" w:space="0" w:color="000000"/>
              <w:bottom w:val="single" w:sz="4" w:space="0" w:color="000000"/>
              <w:right w:val="single" w:sz="4" w:space="0" w:color="000000"/>
            </w:tcBorders>
          </w:tcPr>
          <w:p>
            <w:pPr>
              <w:pStyle w:val="TableParagraph"/>
              <w:spacing w:before="108"/>
              <w:ind w:left="101"/>
              <w:rPr>
                <w:sz w:val="20"/>
              </w:rPr>
            </w:pPr>
            <w:r>
              <w:rPr>
                <w:sz w:val="20"/>
              </w:rPr>
              <w:t>0.49698</w:t>
            </w:r>
          </w:p>
        </w:tc>
        <w:tc>
          <w:tcPr>
            <w:tcW w:w="1134" w:type="dxa"/>
            <w:tcBorders>
              <w:left w:val="single" w:sz="4" w:space="0" w:color="000000"/>
              <w:bottom w:val="single" w:sz="4" w:space="0" w:color="000000"/>
              <w:right w:val="single" w:sz="4" w:space="0" w:color="000000"/>
            </w:tcBorders>
          </w:tcPr>
          <w:p>
            <w:pPr>
              <w:pStyle w:val="TableParagraph"/>
              <w:spacing w:before="108"/>
              <w:ind w:left="101"/>
              <w:rPr>
                <w:sz w:val="20"/>
              </w:rPr>
            </w:pPr>
            <w:r>
              <w:rPr>
                <w:sz w:val="20"/>
              </w:rPr>
              <w:t>0.2067</w:t>
            </w:r>
          </w:p>
        </w:tc>
        <w:tc>
          <w:tcPr>
            <w:tcW w:w="1082" w:type="dxa"/>
            <w:tcBorders>
              <w:left w:val="single" w:sz="4" w:space="0" w:color="000000"/>
              <w:bottom w:val="single" w:sz="4" w:space="0" w:color="000000"/>
              <w:right w:val="single" w:sz="4" w:space="0" w:color="000000"/>
            </w:tcBorders>
          </w:tcPr>
          <w:p>
            <w:pPr>
              <w:pStyle w:val="TableParagraph"/>
              <w:spacing w:before="108"/>
              <w:ind w:left="100"/>
              <w:rPr>
                <w:sz w:val="20"/>
              </w:rPr>
            </w:pPr>
            <w:r>
              <w:rPr>
                <w:sz w:val="20"/>
              </w:rPr>
              <w:t>0.0231</w:t>
            </w:r>
          </w:p>
        </w:tc>
        <w:tc>
          <w:tcPr>
            <w:tcW w:w="1291" w:type="dxa"/>
            <w:tcBorders>
              <w:left w:val="single" w:sz="4" w:space="0" w:color="000000"/>
              <w:bottom w:val="single" w:sz="4" w:space="0" w:color="000000"/>
              <w:right w:val="single" w:sz="4" w:space="0" w:color="000000"/>
            </w:tcBorders>
          </w:tcPr>
          <w:p>
            <w:pPr>
              <w:pStyle w:val="TableParagraph"/>
              <w:spacing w:before="108"/>
              <w:ind w:left="99"/>
              <w:rPr>
                <w:sz w:val="20"/>
              </w:rPr>
            </w:pPr>
            <w:r>
              <w:rPr>
                <w:w w:val="100"/>
                <w:sz w:val="20"/>
              </w:rPr>
              <w:t>*</w:t>
            </w:r>
          </w:p>
        </w:tc>
        <w:tc>
          <w:tcPr>
            <w:tcW w:w="1358" w:type="dxa"/>
            <w:tcBorders>
              <w:left w:val="single" w:sz="4" w:space="0" w:color="000000"/>
              <w:bottom w:val="single" w:sz="4" w:space="0" w:color="000000"/>
              <w:right w:val="nil"/>
            </w:tcBorders>
          </w:tcPr>
          <w:p>
            <w:pPr>
              <w:pStyle w:val="TableParagraph"/>
              <w:spacing w:before="108"/>
              <w:ind w:left="98"/>
              <w:rPr>
                <w:sz w:val="20"/>
              </w:rPr>
            </w:pPr>
            <w:r>
              <w:rPr>
                <w:sz w:val="20"/>
              </w:rPr>
              <w:t>1.644</w:t>
            </w:r>
          </w:p>
        </w:tc>
      </w:tr>
      <w:tr>
        <w:trPr>
          <w:trHeight w:val="460" w:hRule="atLeast"/>
        </w:trPr>
        <w:tc>
          <w:tcPr>
            <w:tcW w:w="3040" w:type="dxa"/>
            <w:tcBorders>
              <w:top w:val="single" w:sz="4" w:space="0" w:color="000000"/>
              <w:left w:val="nil"/>
              <w:bottom w:val="single" w:sz="4" w:space="0" w:color="000000"/>
              <w:right w:val="single" w:sz="4" w:space="0" w:color="000000"/>
            </w:tcBorders>
          </w:tcPr>
          <w:p>
            <w:pPr>
              <w:pStyle w:val="TableParagraph"/>
              <w:spacing w:line="223" w:lineRule="exact"/>
              <w:ind w:left="108"/>
              <w:rPr>
                <w:sz w:val="20"/>
              </w:rPr>
            </w:pPr>
            <w:r>
              <w:rPr>
                <w:sz w:val="20"/>
              </w:rPr>
              <w:t>Minor road, presence of right-turn</w:t>
            </w:r>
          </w:p>
          <w:p>
            <w:pPr>
              <w:pStyle w:val="TableParagraph"/>
              <w:spacing w:line="217" w:lineRule="exact"/>
              <w:ind w:left="108"/>
              <w:rPr>
                <w:sz w:val="20"/>
              </w:rPr>
            </w:pPr>
            <w:r>
              <w:rPr>
                <w:sz w:val="20"/>
              </w:rPr>
              <w:t>lane</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before="108"/>
              <w:ind w:left="101"/>
              <w:rPr>
                <w:sz w:val="20"/>
              </w:rPr>
            </w:pPr>
            <w:r>
              <w:rPr>
                <w:sz w:val="20"/>
              </w:rPr>
              <w:t>-0.7056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before="108"/>
              <w:ind w:left="101"/>
              <w:rPr>
                <w:sz w:val="20"/>
              </w:rPr>
            </w:pPr>
            <w:r>
              <w:rPr>
                <w:sz w:val="20"/>
              </w:rPr>
              <w:t>0.3581</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before="108"/>
              <w:ind w:left="100"/>
              <w:rPr>
                <w:sz w:val="20"/>
              </w:rPr>
            </w:pPr>
            <w:r>
              <w:rPr>
                <w:sz w:val="20"/>
              </w:rPr>
              <w:t>0.0488</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before="108"/>
              <w:ind w:left="99"/>
              <w:rPr>
                <w:sz w:val="20"/>
              </w:rPr>
            </w:pPr>
            <w:r>
              <w:rPr>
                <w:w w:val="100"/>
                <w:sz w:val="20"/>
              </w:rPr>
              <w:t>*</w:t>
            </w:r>
          </w:p>
        </w:tc>
        <w:tc>
          <w:tcPr>
            <w:tcW w:w="1358" w:type="dxa"/>
            <w:tcBorders>
              <w:top w:val="single" w:sz="4" w:space="0" w:color="000000"/>
              <w:left w:val="single" w:sz="4" w:space="0" w:color="000000"/>
              <w:bottom w:val="single" w:sz="4" w:space="0" w:color="000000"/>
              <w:right w:val="nil"/>
            </w:tcBorders>
          </w:tcPr>
          <w:p>
            <w:pPr>
              <w:pStyle w:val="TableParagraph"/>
              <w:spacing w:before="108"/>
              <w:ind w:left="98"/>
              <w:rPr>
                <w:sz w:val="20"/>
              </w:rPr>
            </w:pPr>
            <w:r>
              <w:rPr>
                <w:sz w:val="20"/>
              </w:rPr>
              <w:t>0.4938</w:t>
            </w:r>
          </w:p>
        </w:tc>
      </w:tr>
    </w:tbl>
    <w:p>
      <w:pPr>
        <w:spacing w:line="338" w:lineRule="auto" w:before="33"/>
        <w:ind w:left="518" w:right="3039" w:firstLine="0"/>
        <w:jc w:val="left"/>
        <w:rPr>
          <w:sz w:val="18"/>
        </w:rPr>
      </w:pPr>
      <w:r>
        <w:rPr/>
        <w:pict>
          <v:line style="position:absolute;mso-position-horizontal-relative:page;mso-position-vertical-relative:paragraph;z-index:-254128" from="76.5pt,15.809485pt" to="535.5pt,15.809485pt" stroked="true" strokeweight=".481pt" strokecolor="#000000">
            <v:stroke dashstyle="solid"/>
            <w10:wrap type="none"/>
          </v:line>
        </w:pict>
      </w:r>
      <w:r>
        <w:rPr/>
        <w:pict>
          <v:line style="position:absolute;mso-position-horizontal-relative:page;mso-position-vertical-relative:paragraph;z-index:-254104" from="76.5pt,32.069984pt" to="535.5pt,32.069984pt" stroked="true" strokeweight=".48pt" strokecolor="#000000">
            <v:stroke dashstyle="solid"/>
            <w10:wrap type="none"/>
          </v:line>
        </w:pict>
      </w:r>
      <w:r>
        <w:rPr/>
        <w:pict>
          <v:line style="position:absolute;mso-position-horizontal-relative:page;mso-position-vertical-relative:paragraph;z-index:4696" from="75.779999pt,48.779984pt" to="535.499999pt,48.779984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232.04 on 167 degrees of freedom Residual deviance (measure the goodness of fit of a logit model)</w:t>
      </w:r>
      <w:r>
        <w:rPr>
          <w:rFonts w:ascii="MS PGothic" w:eastAsia="MS PGothic" w:hint="eastAsia"/>
          <w:sz w:val="18"/>
        </w:rPr>
        <w:t>： </w:t>
      </w:r>
      <w:r>
        <w:rPr>
          <w:sz w:val="18"/>
        </w:rPr>
        <w:t>200.04 on 161 degrees of freedom AIC</w:t>
      </w:r>
      <w:r>
        <w:rPr>
          <w:rFonts w:ascii="MS PGothic" w:eastAsia="MS PGothic" w:hint="eastAsia"/>
          <w:sz w:val="18"/>
        </w:rPr>
        <w:t>： </w:t>
      </w:r>
      <w:r>
        <w:rPr>
          <w:sz w:val="18"/>
        </w:rPr>
        <w:t>214.04</w:t>
      </w:r>
    </w:p>
    <w:p>
      <w:pPr>
        <w:spacing w:line="209" w:lineRule="exact" w:before="0"/>
        <w:ind w:left="320" w:right="0" w:firstLine="0"/>
        <w:jc w:val="left"/>
        <w:rPr>
          <w:sz w:val="20"/>
        </w:rPr>
      </w:pPr>
      <w:r>
        <w:rPr>
          <w:sz w:val="20"/>
        </w:rPr>
        <w:t>Significant Code: 0 ‘***’; 0.001 ‘**’; 0.01 ‘*’; 0.05 ‘.’; 0.1 ‘ ’.</w:t>
      </w:r>
    </w:p>
    <w:p>
      <w:pPr>
        <w:pStyle w:val="BodyText"/>
        <w:spacing w:before="4"/>
        <w:rPr>
          <w:sz w:val="20"/>
        </w:rPr>
      </w:pPr>
    </w:p>
    <w:p>
      <w:pPr>
        <w:pStyle w:val="Heading3"/>
        <w:numPr>
          <w:ilvl w:val="2"/>
          <w:numId w:val="30"/>
        </w:numPr>
        <w:tabs>
          <w:tab w:pos="1109" w:val="left" w:leader="none"/>
          <w:tab w:pos="1110" w:val="left" w:leader="none"/>
        </w:tabs>
        <w:spacing w:line="240" w:lineRule="auto" w:before="0" w:after="0"/>
        <w:ind w:left="1109" w:right="0" w:hanging="789"/>
        <w:jc w:val="left"/>
      </w:pPr>
      <w:bookmarkStart w:name="_TOC_250018" w:id="237"/>
      <w:bookmarkStart w:name="6.2.2  Crash Severity" w:id="238"/>
      <w:r>
        <w:rPr>
          <w:b w:val="0"/>
        </w:rPr>
      </w:r>
      <w:bookmarkEnd w:id="238"/>
      <w:bookmarkStart w:name="6.2.2  Crash Severity" w:id="239"/>
      <w:r>
        <w:rPr/>
        <w:t>C</w:t>
      </w:r>
      <w:r>
        <w:rPr/>
        <w:t>rash</w:t>
      </w:r>
      <w:r>
        <w:rPr>
          <w:spacing w:val="-1"/>
        </w:rPr>
        <w:t> </w:t>
      </w:r>
      <w:bookmarkEnd w:id="237"/>
      <w:r>
        <w:rPr/>
        <w:t>Severity</w:t>
      </w:r>
    </w:p>
    <w:p>
      <w:pPr>
        <w:pStyle w:val="BodyText"/>
        <w:spacing w:before="236"/>
        <w:ind w:left="320" w:right="1503"/>
      </w:pPr>
      <w:hyperlink w:history="true" w:anchor="_bookmark49">
        <w:r>
          <w:rPr/>
          <w:t>Table 6.7</w:t>
        </w:r>
      </w:hyperlink>
      <w:r>
        <w:rPr/>
        <w:t> and </w:t>
      </w:r>
      <w:hyperlink w:history="true" w:anchor="_bookmark50">
        <w:r>
          <w:rPr/>
          <w:t>Table 6.8 </w:t>
        </w:r>
      </w:hyperlink>
      <w:r>
        <w:rPr/>
        <w:t>summarize the results of bicycle segment and intersection crash severity models. Since the model is binomial, the dependent variable is assigned as 0 or 1. Zero represents the property damage only (PDO) and Injury C-level crashes. One represents the fatal, Injury A-level and Injury B-level crashes. </w:t>
      </w:r>
      <w:hyperlink w:history="true" w:anchor="_bookmark49">
        <w:r>
          <w:rPr/>
          <w:t>Table 6.7</w:t>
        </w:r>
      </w:hyperlink>
      <w:r>
        <w:rPr/>
        <w:t> shows the odds ratio of the bicycle segment crash severity model. The crosswalk combination type is categorical data with four levels: A, B, C and N. Level A is referred to as the “base condition” in this model. The other three levels all have negative coefficients, which lead to odds ratios of less than 1. The sidewalk buffer width is a continuous variable with an odds ratio of 1.02293 for each increase of 1 foot of width. Due to poor model specification and results, we conclude that the models that try to capture severity are not adequate.</w:t>
      </w:r>
    </w:p>
    <w:p>
      <w:pPr>
        <w:spacing w:after="0"/>
        <w:sectPr>
          <w:pgSz w:w="12240" w:h="15840"/>
          <w:pgMar w:header="0" w:footer="709" w:top="1000" w:bottom="980" w:left="1120" w:right="0"/>
        </w:sectPr>
      </w:pPr>
    </w:p>
    <w:p>
      <w:pPr>
        <w:spacing w:before="75"/>
        <w:ind w:left="320" w:right="0" w:firstLine="0"/>
        <w:jc w:val="left"/>
        <w:rPr>
          <w:b/>
          <w:sz w:val="20"/>
        </w:rPr>
      </w:pPr>
      <w:bookmarkStart w:name="_bookmark49" w:id="240"/>
      <w:bookmarkEnd w:id="240"/>
      <w:r>
        <w:rPr/>
      </w:r>
      <w:r>
        <w:rPr>
          <w:b/>
          <w:sz w:val="20"/>
        </w:rPr>
        <w:t>Table 6.7: Model 7: Bicycle Segment Crash Severity Model Results</w:t>
      </w: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522"/>
        <w:gridCol w:w="1228"/>
        <w:gridCol w:w="1544"/>
        <w:gridCol w:w="858"/>
        <w:gridCol w:w="1252"/>
        <w:gridCol w:w="1178"/>
      </w:tblGrid>
      <w:tr>
        <w:trPr>
          <w:trHeight w:val="459" w:hRule="atLeast"/>
        </w:trPr>
        <w:tc>
          <w:tcPr>
            <w:tcW w:w="3522" w:type="dxa"/>
            <w:tcBorders>
              <w:left w:val="nil"/>
              <w:right w:val="single" w:sz="4" w:space="0" w:color="000000"/>
            </w:tcBorders>
          </w:tcPr>
          <w:p>
            <w:pPr>
              <w:pStyle w:val="TableParagraph"/>
              <w:spacing w:before="113"/>
              <w:ind w:left="108"/>
              <w:rPr>
                <w:b/>
                <w:sz w:val="20"/>
              </w:rPr>
            </w:pPr>
            <w:r>
              <w:rPr>
                <w:b/>
                <w:sz w:val="20"/>
              </w:rPr>
              <w:t>Variable</w:t>
            </w:r>
          </w:p>
        </w:tc>
        <w:tc>
          <w:tcPr>
            <w:tcW w:w="1228" w:type="dxa"/>
            <w:tcBorders>
              <w:left w:val="single" w:sz="4" w:space="0" w:color="000000"/>
              <w:right w:val="single" w:sz="4" w:space="0" w:color="000000"/>
            </w:tcBorders>
          </w:tcPr>
          <w:p>
            <w:pPr>
              <w:pStyle w:val="TableParagraph"/>
              <w:spacing w:before="113"/>
              <w:ind w:left="103"/>
              <w:rPr>
                <w:b/>
                <w:sz w:val="20"/>
              </w:rPr>
            </w:pPr>
            <w:r>
              <w:rPr>
                <w:b/>
                <w:sz w:val="20"/>
              </w:rPr>
              <w:t>Coefficients</w:t>
            </w:r>
          </w:p>
        </w:tc>
        <w:tc>
          <w:tcPr>
            <w:tcW w:w="1544" w:type="dxa"/>
            <w:tcBorders>
              <w:left w:val="single" w:sz="4" w:space="0" w:color="000000"/>
              <w:right w:val="single" w:sz="4" w:space="0" w:color="000000"/>
            </w:tcBorders>
          </w:tcPr>
          <w:p>
            <w:pPr>
              <w:pStyle w:val="TableParagraph"/>
              <w:spacing w:line="230" w:lineRule="exact" w:before="2"/>
              <w:ind w:left="101" w:right="612"/>
              <w:rPr>
                <w:b/>
                <w:sz w:val="20"/>
              </w:rPr>
            </w:pPr>
            <w:r>
              <w:rPr>
                <w:b/>
                <w:sz w:val="20"/>
              </w:rPr>
              <w:t>Standard Error</w:t>
            </w:r>
          </w:p>
        </w:tc>
        <w:tc>
          <w:tcPr>
            <w:tcW w:w="858" w:type="dxa"/>
            <w:tcBorders>
              <w:left w:val="single" w:sz="4" w:space="0" w:color="000000"/>
              <w:right w:val="single" w:sz="4" w:space="0" w:color="000000"/>
            </w:tcBorders>
          </w:tcPr>
          <w:p>
            <w:pPr>
              <w:pStyle w:val="TableParagraph"/>
              <w:spacing w:line="229" w:lineRule="exact"/>
              <w:ind w:left="101"/>
              <w:rPr>
                <w:b/>
                <w:sz w:val="20"/>
              </w:rPr>
            </w:pPr>
            <w:r>
              <w:rPr>
                <w:b/>
                <w:sz w:val="20"/>
              </w:rPr>
              <w:t>P-</w:t>
            </w:r>
          </w:p>
          <w:p>
            <w:pPr>
              <w:pStyle w:val="TableParagraph"/>
              <w:spacing w:line="211" w:lineRule="exact"/>
              <w:ind w:left="101"/>
              <w:rPr>
                <w:b/>
                <w:sz w:val="20"/>
              </w:rPr>
            </w:pPr>
            <w:r>
              <w:rPr>
                <w:b/>
                <w:sz w:val="20"/>
              </w:rPr>
              <w:t>value</w:t>
            </w:r>
          </w:p>
        </w:tc>
        <w:tc>
          <w:tcPr>
            <w:tcW w:w="1252" w:type="dxa"/>
            <w:tcBorders>
              <w:left w:val="single" w:sz="4" w:space="0" w:color="000000"/>
              <w:right w:val="single" w:sz="4" w:space="0" w:color="000000"/>
            </w:tcBorders>
          </w:tcPr>
          <w:p>
            <w:pPr>
              <w:pStyle w:val="TableParagraph"/>
              <w:spacing w:before="113"/>
              <w:ind w:left="100"/>
              <w:rPr>
                <w:b/>
                <w:sz w:val="20"/>
              </w:rPr>
            </w:pPr>
            <w:r>
              <w:rPr>
                <w:b/>
                <w:sz w:val="20"/>
              </w:rPr>
              <w:t>Significance</w:t>
            </w:r>
          </w:p>
        </w:tc>
        <w:tc>
          <w:tcPr>
            <w:tcW w:w="1178" w:type="dxa"/>
            <w:tcBorders>
              <w:left w:val="single" w:sz="4" w:space="0" w:color="000000"/>
              <w:right w:val="nil"/>
            </w:tcBorders>
          </w:tcPr>
          <w:p>
            <w:pPr>
              <w:pStyle w:val="TableParagraph"/>
              <w:spacing w:line="230" w:lineRule="exact" w:before="2"/>
              <w:ind w:left="99" w:right="587"/>
              <w:rPr>
                <w:b/>
                <w:sz w:val="20"/>
              </w:rPr>
            </w:pPr>
            <w:r>
              <w:rPr>
                <w:b/>
                <w:sz w:val="20"/>
              </w:rPr>
              <w:t>Odds Ratio</w:t>
            </w:r>
          </w:p>
        </w:tc>
      </w:tr>
      <w:tr>
        <w:trPr>
          <w:trHeight w:val="457" w:hRule="atLeast"/>
        </w:trPr>
        <w:tc>
          <w:tcPr>
            <w:tcW w:w="3522" w:type="dxa"/>
            <w:tcBorders>
              <w:left w:val="nil"/>
              <w:bottom w:val="single" w:sz="4" w:space="0" w:color="000000"/>
              <w:right w:val="single" w:sz="4" w:space="0" w:color="000000"/>
            </w:tcBorders>
          </w:tcPr>
          <w:p>
            <w:pPr>
              <w:pStyle w:val="TableParagraph"/>
              <w:spacing w:line="224" w:lineRule="exact"/>
              <w:ind w:left="108"/>
              <w:rPr>
                <w:sz w:val="20"/>
              </w:rPr>
            </w:pPr>
            <w:r>
              <w:rPr>
                <w:sz w:val="20"/>
              </w:rPr>
              <w:t>Cross combination type B (type A is</w:t>
            </w:r>
          </w:p>
          <w:p>
            <w:pPr>
              <w:pStyle w:val="TableParagraph"/>
              <w:spacing w:line="212" w:lineRule="exact"/>
              <w:ind w:left="108"/>
              <w:rPr>
                <w:sz w:val="20"/>
              </w:rPr>
            </w:pPr>
            <w:r>
              <w:rPr>
                <w:sz w:val="20"/>
              </w:rPr>
              <w:t>base)</w:t>
            </w:r>
          </w:p>
        </w:tc>
        <w:tc>
          <w:tcPr>
            <w:tcW w:w="1228" w:type="dxa"/>
            <w:tcBorders>
              <w:left w:val="single" w:sz="4" w:space="0" w:color="000000"/>
              <w:bottom w:val="single" w:sz="4" w:space="0" w:color="000000"/>
              <w:right w:val="single" w:sz="4" w:space="0" w:color="000000"/>
            </w:tcBorders>
          </w:tcPr>
          <w:p>
            <w:pPr>
              <w:pStyle w:val="TableParagraph"/>
              <w:spacing w:before="109"/>
              <w:ind w:left="103"/>
              <w:rPr>
                <w:sz w:val="20"/>
              </w:rPr>
            </w:pPr>
            <w:r>
              <w:rPr>
                <w:sz w:val="20"/>
              </w:rPr>
              <w:t>-0.26041</w:t>
            </w:r>
          </w:p>
        </w:tc>
        <w:tc>
          <w:tcPr>
            <w:tcW w:w="1544" w:type="dxa"/>
            <w:tcBorders>
              <w:left w:val="single" w:sz="4" w:space="0" w:color="000000"/>
              <w:bottom w:val="single" w:sz="4" w:space="0" w:color="000000"/>
              <w:right w:val="single" w:sz="4" w:space="0" w:color="000000"/>
            </w:tcBorders>
          </w:tcPr>
          <w:p>
            <w:pPr>
              <w:pStyle w:val="TableParagraph"/>
              <w:spacing w:before="109"/>
              <w:ind w:left="101"/>
              <w:rPr>
                <w:sz w:val="20"/>
              </w:rPr>
            </w:pPr>
            <w:r>
              <w:rPr>
                <w:sz w:val="20"/>
              </w:rPr>
              <w:t>0.10743</w:t>
            </w:r>
          </w:p>
        </w:tc>
        <w:tc>
          <w:tcPr>
            <w:tcW w:w="858" w:type="dxa"/>
            <w:tcBorders>
              <w:left w:val="single" w:sz="4" w:space="0" w:color="000000"/>
              <w:bottom w:val="single" w:sz="4" w:space="0" w:color="000000"/>
              <w:right w:val="single" w:sz="4" w:space="0" w:color="000000"/>
            </w:tcBorders>
          </w:tcPr>
          <w:p>
            <w:pPr>
              <w:pStyle w:val="TableParagraph"/>
              <w:spacing w:before="109"/>
              <w:ind w:left="83" w:right="175"/>
              <w:jc w:val="center"/>
              <w:rPr>
                <w:sz w:val="20"/>
              </w:rPr>
            </w:pPr>
            <w:r>
              <w:rPr>
                <w:sz w:val="20"/>
              </w:rPr>
              <w:t>0.0172</w:t>
            </w:r>
          </w:p>
        </w:tc>
        <w:tc>
          <w:tcPr>
            <w:tcW w:w="1252" w:type="dxa"/>
            <w:tcBorders>
              <w:left w:val="single" w:sz="4" w:space="0" w:color="000000"/>
              <w:bottom w:val="single" w:sz="4" w:space="0" w:color="000000"/>
              <w:right w:val="single" w:sz="4" w:space="0" w:color="000000"/>
            </w:tcBorders>
          </w:tcPr>
          <w:p>
            <w:pPr>
              <w:pStyle w:val="TableParagraph"/>
              <w:spacing w:before="109"/>
              <w:ind w:left="100"/>
              <w:rPr>
                <w:sz w:val="20"/>
              </w:rPr>
            </w:pPr>
            <w:r>
              <w:rPr>
                <w:w w:val="100"/>
                <w:sz w:val="20"/>
              </w:rPr>
              <w:t>*</w:t>
            </w:r>
          </w:p>
        </w:tc>
        <w:tc>
          <w:tcPr>
            <w:tcW w:w="1178" w:type="dxa"/>
            <w:tcBorders>
              <w:left w:val="single" w:sz="4" w:space="0" w:color="000000"/>
              <w:bottom w:val="single" w:sz="4" w:space="0" w:color="000000"/>
              <w:right w:val="nil"/>
            </w:tcBorders>
          </w:tcPr>
          <w:p>
            <w:pPr>
              <w:pStyle w:val="TableParagraph"/>
              <w:spacing w:before="109"/>
              <w:ind w:left="98"/>
              <w:rPr>
                <w:sz w:val="20"/>
              </w:rPr>
            </w:pPr>
            <w:r>
              <w:rPr>
                <w:sz w:val="20"/>
              </w:rPr>
              <w:t>0.77074</w:t>
            </w:r>
          </w:p>
        </w:tc>
      </w:tr>
      <w:tr>
        <w:trPr>
          <w:trHeight w:val="460" w:hRule="atLeast"/>
        </w:trPr>
        <w:tc>
          <w:tcPr>
            <w:tcW w:w="3522" w:type="dxa"/>
            <w:tcBorders>
              <w:top w:val="single" w:sz="4" w:space="0" w:color="000000"/>
              <w:left w:val="nil"/>
              <w:bottom w:val="single" w:sz="4" w:space="0" w:color="000000"/>
              <w:right w:val="single" w:sz="4" w:space="0" w:color="000000"/>
            </w:tcBorders>
          </w:tcPr>
          <w:p>
            <w:pPr>
              <w:pStyle w:val="TableParagraph"/>
              <w:spacing w:line="230" w:lineRule="exact"/>
              <w:ind w:left="108" w:right="85"/>
              <w:rPr>
                <w:sz w:val="20"/>
              </w:rPr>
            </w:pPr>
            <w:r>
              <w:rPr>
                <w:sz w:val="20"/>
              </w:rPr>
              <w:t>Cross combination type C (type A is base)</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-0.37745</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before="112"/>
              <w:ind w:left="101"/>
              <w:rPr>
                <w:sz w:val="20"/>
              </w:rPr>
            </w:pPr>
            <w:r>
              <w:rPr>
                <w:sz w:val="20"/>
              </w:rPr>
              <w:t>0.27695</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before="112"/>
              <w:ind w:left="83" w:right="175"/>
              <w:jc w:val="center"/>
              <w:rPr>
                <w:sz w:val="20"/>
              </w:rPr>
            </w:pPr>
            <w:r>
              <w:rPr>
                <w:sz w:val="20"/>
              </w:rPr>
              <w:t>0.1761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1178" w:type="dxa"/>
            <w:tcBorders>
              <w:top w:val="single" w:sz="4" w:space="0" w:color="000000"/>
              <w:left w:val="single" w:sz="4" w:space="0" w:color="000000"/>
              <w:bottom w:val="single" w:sz="4" w:space="0" w:color="000000"/>
              <w:right w:val="nil"/>
            </w:tcBorders>
          </w:tcPr>
          <w:p>
            <w:pPr>
              <w:pStyle w:val="TableParagraph"/>
              <w:spacing w:before="112"/>
              <w:ind w:left="98"/>
              <w:rPr>
                <w:sz w:val="20"/>
              </w:rPr>
            </w:pPr>
            <w:r>
              <w:rPr>
                <w:sz w:val="20"/>
              </w:rPr>
              <w:t>0.68561</w:t>
            </w:r>
          </w:p>
        </w:tc>
      </w:tr>
      <w:tr>
        <w:trPr>
          <w:trHeight w:val="460" w:hRule="atLeast"/>
        </w:trPr>
        <w:tc>
          <w:tcPr>
            <w:tcW w:w="3522" w:type="dxa"/>
            <w:tcBorders>
              <w:top w:val="single" w:sz="4" w:space="0" w:color="000000"/>
              <w:left w:val="nil"/>
              <w:bottom w:val="single" w:sz="4" w:space="0" w:color="000000"/>
              <w:right w:val="single" w:sz="4" w:space="0" w:color="000000"/>
            </w:tcBorders>
          </w:tcPr>
          <w:p>
            <w:pPr>
              <w:pStyle w:val="TableParagraph"/>
              <w:spacing w:line="227" w:lineRule="exact"/>
              <w:ind w:left="108"/>
              <w:rPr>
                <w:sz w:val="20"/>
              </w:rPr>
            </w:pPr>
            <w:r>
              <w:rPr>
                <w:sz w:val="20"/>
              </w:rPr>
              <w:t>Cross combination type N (type A is</w:t>
            </w:r>
          </w:p>
          <w:p>
            <w:pPr>
              <w:pStyle w:val="TableParagraph"/>
              <w:spacing w:line="213" w:lineRule="exact"/>
              <w:ind w:left="108"/>
              <w:rPr>
                <w:sz w:val="20"/>
              </w:rPr>
            </w:pPr>
            <w:r>
              <w:rPr>
                <w:sz w:val="20"/>
              </w:rPr>
              <w:t>base)</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112"/>
              <w:ind w:left="103"/>
              <w:rPr>
                <w:sz w:val="20"/>
              </w:rPr>
            </w:pPr>
            <w:r>
              <w:rPr>
                <w:sz w:val="20"/>
              </w:rPr>
              <w:t>-0.30769</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before="112"/>
              <w:ind w:left="101"/>
              <w:rPr>
                <w:sz w:val="20"/>
              </w:rPr>
            </w:pPr>
            <w:r>
              <w:rPr>
                <w:sz w:val="20"/>
              </w:rPr>
              <w:t>0.13241</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before="112"/>
              <w:ind w:left="83" w:right="175"/>
              <w:jc w:val="center"/>
              <w:rPr>
                <w:sz w:val="20"/>
              </w:rPr>
            </w:pPr>
            <w:r>
              <w:rPr>
                <w:sz w:val="20"/>
              </w:rPr>
              <w:t>0.0222</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before="112"/>
              <w:ind w:left="100"/>
              <w:rPr>
                <w:sz w:val="20"/>
              </w:rPr>
            </w:pPr>
            <w:r>
              <w:rPr>
                <w:w w:val="100"/>
                <w:sz w:val="20"/>
              </w:rPr>
              <w:t>*</w:t>
            </w:r>
          </w:p>
        </w:tc>
        <w:tc>
          <w:tcPr>
            <w:tcW w:w="1178" w:type="dxa"/>
            <w:tcBorders>
              <w:top w:val="single" w:sz="4" w:space="0" w:color="000000"/>
              <w:left w:val="single" w:sz="4" w:space="0" w:color="000000"/>
              <w:bottom w:val="single" w:sz="4" w:space="0" w:color="000000"/>
              <w:right w:val="nil"/>
            </w:tcBorders>
          </w:tcPr>
          <w:p>
            <w:pPr>
              <w:pStyle w:val="TableParagraph"/>
              <w:spacing w:before="112"/>
              <w:ind w:left="98"/>
              <w:rPr>
                <w:sz w:val="20"/>
              </w:rPr>
            </w:pPr>
            <w:r>
              <w:rPr>
                <w:sz w:val="20"/>
              </w:rPr>
              <w:t>0.73514</w:t>
            </w:r>
          </w:p>
        </w:tc>
      </w:tr>
      <w:tr>
        <w:trPr>
          <w:trHeight w:val="314" w:hRule="atLeast"/>
        </w:trPr>
        <w:tc>
          <w:tcPr>
            <w:tcW w:w="3522" w:type="dxa"/>
            <w:tcBorders>
              <w:top w:val="single" w:sz="4" w:space="0" w:color="000000"/>
              <w:left w:val="nil"/>
              <w:bottom w:val="single" w:sz="4" w:space="0" w:color="000000"/>
              <w:right w:val="single" w:sz="4" w:space="0" w:color="000000"/>
            </w:tcBorders>
          </w:tcPr>
          <w:p>
            <w:pPr>
              <w:pStyle w:val="TableParagraph"/>
              <w:spacing w:before="38"/>
              <w:ind w:left="108"/>
              <w:rPr>
                <w:sz w:val="20"/>
              </w:rPr>
            </w:pPr>
            <w:r>
              <w:rPr>
                <w:sz w:val="20"/>
              </w:rPr>
              <w:t>Width of sidewalk buffer (ft.)</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38"/>
              <w:ind w:left="102"/>
              <w:rPr>
                <w:sz w:val="20"/>
              </w:rPr>
            </w:pPr>
            <w:r>
              <w:rPr>
                <w:sz w:val="20"/>
              </w:rPr>
              <w:t>0.02268</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before="38"/>
              <w:ind w:left="101"/>
              <w:rPr>
                <w:sz w:val="20"/>
              </w:rPr>
            </w:pPr>
            <w:r>
              <w:rPr>
                <w:sz w:val="20"/>
              </w:rPr>
              <w:t>0.01284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before="38"/>
              <w:ind w:left="83" w:right="175"/>
              <w:jc w:val="center"/>
              <w:rPr>
                <w:sz w:val="20"/>
              </w:rPr>
            </w:pPr>
            <w:r>
              <w:rPr>
                <w:sz w:val="20"/>
              </w:rPr>
              <w:t>0.0804</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before="38"/>
              <w:ind w:left="100"/>
              <w:rPr>
                <w:sz w:val="20"/>
              </w:rPr>
            </w:pPr>
            <w:r>
              <w:rPr>
                <w:w w:val="100"/>
                <w:sz w:val="20"/>
              </w:rPr>
              <w:t>.</w:t>
            </w:r>
          </w:p>
        </w:tc>
        <w:tc>
          <w:tcPr>
            <w:tcW w:w="1178" w:type="dxa"/>
            <w:tcBorders>
              <w:top w:val="single" w:sz="4" w:space="0" w:color="000000"/>
              <w:left w:val="single" w:sz="4" w:space="0" w:color="000000"/>
              <w:bottom w:val="single" w:sz="4" w:space="0" w:color="000000"/>
              <w:right w:val="nil"/>
            </w:tcBorders>
          </w:tcPr>
          <w:p>
            <w:pPr>
              <w:pStyle w:val="TableParagraph"/>
              <w:spacing w:before="38"/>
              <w:ind w:left="98"/>
              <w:rPr>
                <w:sz w:val="20"/>
              </w:rPr>
            </w:pPr>
            <w:r>
              <w:rPr>
                <w:sz w:val="20"/>
              </w:rPr>
              <w:t>1.02293</w:t>
            </w:r>
          </w:p>
        </w:tc>
      </w:tr>
    </w:tbl>
    <w:p>
      <w:pPr>
        <w:spacing w:line="338" w:lineRule="auto" w:before="38"/>
        <w:ind w:left="320" w:right="3340" w:firstLine="0"/>
        <w:jc w:val="left"/>
        <w:rPr>
          <w:sz w:val="18"/>
        </w:rPr>
      </w:pPr>
      <w:r>
        <w:rPr/>
        <w:pict>
          <v:line style="position:absolute;mso-position-horizontal-relative:page;mso-position-vertical-relative:paragraph;z-index:-254056" from="66.599998pt,16.000017pt" to="545.399998pt,16.000017pt" stroked="true" strokeweight=".48pt" strokecolor="#000000">
            <v:stroke dashstyle="solid"/>
            <w10:wrap type="none"/>
          </v:line>
        </w:pict>
      </w:r>
      <w:r>
        <w:rPr/>
        <w:pict>
          <v:line style="position:absolute;mso-position-horizontal-relative:page;mso-position-vertical-relative:paragraph;z-index:-254032" from="66.599998pt,32.259518pt" to="545.399998pt,32.259518pt" stroked="true" strokeweight=".481pt" strokecolor="#000000">
            <v:stroke dashstyle="solid"/>
            <w10:wrap type="none"/>
          </v:line>
        </w:pict>
      </w:r>
      <w:r>
        <w:rPr/>
        <w:pict>
          <v:line style="position:absolute;mso-position-horizontal-relative:page;mso-position-vertical-relative:paragraph;z-index:4768" from="65.879997pt,49.030018pt" to="545.399997pt,49.030018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23.703 on 100 degrees of freedom Residual deviance (measure the goodness of fit of a logit model)</w:t>
      </w:r>
      <w:r>
        <w:rPr>
          <w:rFonts w:ascii="MS PGothic" w:eastAsia="MS PGothic" w:hint="eastAsia"/>
          <w:sz w:val="18"/>
        </w:rPr>
        <w:t>： </w:t>
      </w:r>
      <w:r>
        <w:rPr>
          <w:sz w:val="18"/>
        </w:rPr>
        <w:t>20.587 on 96 degrees of freedom AIC</w:t>
      </w:r>
      <w:r>
        <w:rPr>
          <w:rFonts w:ascii="MS PGothic" w:eastAsia="MS PGothic" w:hint="eastAsia"/>
          <w:sz w:val="18"/>
        </w:rPr>
        <w:t>： </w:t>
      </w:r>
      <w:r>
        <w:rPr>
          <w:sz w:val="18"/>
        </w:rPr>
        <w:t>137.99</w:t>
      </w:r>
    </w:p>
    <w:p>
      <w:pPr>
        <w:spacing w:line="209" w:lineRule="exact" w:before="0"/>
        <w:ind w:left="320" w:right="0" w:firstLine="0"/>
        <w:jc w:val="left"/>
        <w:rPr>
          <w:sz w:val="20"/>
        </w:rPr>
      </w:pPr>
      <w:r>
        <w:rPr>
          <w:sz w:val="20"/>
        </w:rPr>
        <w:t>Significant Code: 0 ‘***’; 0.001 ‘**’; 0.01 ‘*’; 0.05 ‘.’; 0.1 ‘ ’.</w:t>
      </w:r>
    </w:p>
    <w:p>
      <w:pPr>
        <w:pStyle w:val="BodyText"/>
        <w:spacing w:before="7"/>
        <w:rPr>
          <w:sz w:val="30"/>
        </w:rPr>
      </w:pPr>
    </w:p>
    <w:p>
      <w:pPr>
        <w:spacing w:before="0"/>
        <w:ind w:left="320" w:right="0" w:firstLine="0"/>
        <w:jc w:val="left"/>
        <w:rPr>
          <w:b/>
          <w:sz w:val="20"/>
        </w:rPr>
      </w:pPr>
      <w:bookmarkStart w:name="_bookmark50" w:id="241"/>
      <w:bookmarkEnd w:id="241"/>
      <w:r>
        <w:rPr/>
      </w:r>
      <w:r>
        <w:rPr>
          <w:b/>
          <w:sz w:val="20"/>
        </w:rPr>
        <w:t>Table 6.8: Model 8: Bicycle Intersection Crash Severity Model Results</w:t>
      </w: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408"/>
        <w:gridCol w:w="1228"/>
        <w:gridCol w:w="1530"/>
        <w:gridCol w:w="988"/>
        <w:gridCol w:w="1251"/>
        <w:gridCol w:w="1173"/>
      </w:tblGrid>
      <w:tr>
        <w:trPr>
          <w:trHeight w:val="459" w:hRule="atLeast"/>
        </w:trPr>
        <w:tc>
          <w:tcPr>
            <w:tcW w:w="3408" w:type="dxa"/>
            <w:tcBorders>
              <w:left w:val="nil"/>
              <w:right w:val="single" w:sz="4" w:space="0" w:color="000000"/>
            </w:tcBorders>
          </w:tcPr>
          <w:p>
            <w:pPr>
              <w:pStyle w:val="TableParagraph"/>
              <w:spacing w:before="114"/>
              <w:ind w:left="108"/>
              <w:rPr>
                <w:b/>
                <w:sz w:val="20"/>
              </w:rPr>
            </w:pPr>
            <w:r>
              <w:rPr>
                <w:b/>
                <w:sz w:val="20"/>
              </w:rPr>
              <w:t>Variable</w:t>
            </w:r>
          </w:p>
        </w:tc>
        <w:tc>
          <w:tcPr>
            <w:tcW w:w="1228" w:type="dxa"/>
            <w:tcBorders>
              <w:left w:val="single" w:sz="4" w:space="0" w:color="000000"/>
              <w:right w:val="single" w:sz="4" w:space="0" w:color="000000"/>
            </w:tcBorders>
          </w:tcPr>
          <w:p>
            <w:pPr>
              <w:pStyle w:val="TableParagraph"/>
              <w:spacing w:before="114"/>
              <w:ind w:left="83" w:right="83"/>
              <w:jc w:val="center"/>
              <w:rPr>
                <w:b/>
                <w:sz w:val="20"/>
              </w:rPr>
            </w:pPr>
            <w:r>
              <w:rPr>
                <w:b/>
                <w:sz w:val="20"/>
              </w:rPr>
              <w:t>Coefficients</w:t>
            </w:r>
          </w:p>
        </w:tc>
        <w:tc>
          <w:tcPr>
            <w:tcW w:w="1530" w:type="dxa"/>
            <w:tcBorders>
              <w:left w:val="single" w:sz="4" w:space="0" w:color="000000"/>
              <w:right w:val="single" w:sz="4" w:space="0" w:color="000000"/>
            </w:tcBorders>
          </w:tcPr>
          <w:p>
            <w:pPr>
              <w:pStyle w:val="TableParagraph"/>
              <w:spacing w:line="230" w:lineRule="exact" w:before="2"/>
              <w:ind w:left="102" w:right="597"/>
              <w:rPr>
                <w:b/>
                <w:sz w:val="20"/>
              </w:rPr>
            </w:pPr>
            <w:r>
              <w:rPr>
                <w:b/>
                <w:sz w:val="20"/>
              </w:rPr>
              <w:t>Standard Error</w:t>
            </w:r>
          </w:p>
        </w:tc>
        <w:tc>
          <w:tcPr>
            <w:tcW w:w="988" w:type="dxa"/>
            <w:tcBorders>
              <w:left w:val="single" w:sz="4" w:space="0" w:color="000000"/>
              <w:right w:val="single" w:sz="4" w:space="0" w:color="000000"/>
            </w:tcBorders>
          </w:tcPr>
          <w:p>
            <w:pPr>
              <w:pStyle w:val="TableParagraph"/>
              <w:spacing w:before="114"/>
              <w:ind w:left="102"/>
              <w:rPr>
                <w:b/>
                <w:sz w:val="20"/>
              </w:rPr>
            </w:pPr>
            <w:r>
              <w:rPr>
                <w:b/>
                <w:sz w:val="20"/>
              </w:rPr>
              <w:t>P-value</w:t>
            </w:r>
          </w:p>
        </w:tc>
        <w:tc>
          <w:tcPr>
            <w:tcW w:w="1251" w:type="dxa"/>
            <w:tcBorders>
              <w:left w:val="single" w:sz="4" w:space="0" w:color="000000"/>
              <w:right w:val="single" w:sz="4" w:space="0" w:color="000000"/>
            </w:tcBorders>
          </w:tcPr>
          <w:p>
            <w:pPr>
              <w:pStyle w:val="TableParagraph"/>
              <w:spacing w:before="114"/>
              <w:ind w:left="102"/>
              <w:rPr>
                <w:b/>
                <w:sz w:val="20"/>
              </w:rPr>
            </w:pPr>
            <w:r>
              <w:rPr>
                <w:b/>
                <w:sz w:val="20"/>
              </w:rPr>
              <w:t>Significance</w:t>
            </w:r>
          </w:p>
        </w:tc>
        <w:tc>
          <w:tcPr>
            <w:tcW w:w="1173" w:type="dxa"/>
            <w:tcBorders>
              <w:left w:val="single" w:sz="4" w:space="0" w:color="000000"/>
              <w:right w:val="nil"/>
            </w:tcBorders>
          </w:tcPr>
          <w:p>
            <w:pPr>
              <w:pStyle w:val="TableParagraph"/>
              <w:spacing w:line="230" w:lineRule="exact" w:before="2"/>
              <w:ind w:left="100" w:right="581"/>
              <w:rPr>
                <w:b/>
                <w:sz w:val="20"/>
              </w:rPr>
            </w:pPr>
            <w:r>
              <w:rPr>
                <w:b/>
                <w:sz w:val="20"/>
              </w:rPr>
              <w:t>Odds Ratio</w:t>
            </w:r>
          </w:p>
        </w:tc>
      </w:tr>
      <w:tr>
        <w:trPr>
          <w:trHeight w:val="457" w:hRule="atLeast"/>
        </w:trPr>
        <w:tc>
          <w:tcPr>
            <w:tcW w:w="3408" w:type="dxa"/>
            <w:tcBorders>
              <w:left w:val="nil"/>
              <w:bottom w:val="single" w:sz="4" w:space="0" w:color="000000"/>
              <w:right w:val="single" w:sz="4" w:space="0" w:color="000000"/>
            </w:tcBorders>
          </w:tcPr>
          <w:p>
            <w:pPr>
              <w:pStyle w:val="TableParagraph"/>
              <w:spacing w:line="224" w:lineRule="exact"/>
              <w:ind w:left="108"/>
              <w:rPr>
                <w:sz w:val="20"/>
              </w:rPr>
            </w:pPr>
            <w:r>
              <w:rPr>
                <w:sz w:val="20"/>
              </w:rPr>
              <w:t>Total population density (per square</w:t>
            </w:r>
          </w:p>
          <w:p>
            <w:pPr>
              <w:pStyle w:val="TableParagraph"/>
              <w:spacing w:line="212" w:lineRule="exact"/>
              <w:ind w:left="108"/>
              <w:rPr>
                <w:sz w:val="20"/>
              </w:rPr>
            </w:pPr>
            <w:r>
              <w:rPr>
                <w:sz w:val="20"/>
              </w:rPr>
              <w:t>mile)</w:t>
            </w:r>
          </w:p>
        </w:tc>
        <w:tc>
          <w:tcPr>
            <w:tcW w:w="1228" w:type="dxa"/>
            <w:tcBorders>
              <w:left w:val="single" w:sz="4" w:space="0" w:color="000000"/>
              <w:bottom w:val="single" w:sz="4" w:space="0" w:color="000000"/>
              <w:right w:val="single" w:sz="4" w:space="0" w:color="000000"/>
            </w:tcBorders>
          </w:tcPr>
          <w:p>
            <w:pPr>
              <w:pStyle w:val="TableParagraph"/>
              <w:spacing w:before="109"/>
              <w:ind w:left="83" w:right="175"/>
              <w:jc w:val="center"/>
              <w:rPr>
                <w:sz w:val="20"/>
              </w:rPr>
            </w:pPr>
            <w:r>
              <w:rPr>
                <w:sz w:val="20"/>
              </w:rPr>
              <w:t>-0.0010641</w:t>
            </w:r>
          </w:p>
        </w:tc>
        <w:tc>
          <w:tcPr>
            <w:tcW w:w="1530"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0.0002584</w:t>
            </w:r>
          </w:p>
        </w:tc>
        <w:tc>
          <w:tcPr>
            <w:tcW w:w="988"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3.83e-05</w:t>
            </w:r>
          </w:p>
        </w:tc>
        <w:tc>
          <w:tcPr>
            <w:tcW w:w="1251" w:type="dxa"/>
            <w:tcBorders>
              <w:left w:val="single" w:sz="4" w:space="0" w:color="000000"/>
              <w:bottom w:val="single" w:sz="4" w:space="0" w:color="000000"/>
              <w:right w:val="single" w:sz="4" w:space="0" w:color="000000"/>
            </w:tcBorders>
          </w:tcPr>
          <w:p>
            <w:pPr>
              <w:pStyle w:val="TableParagraph"/>
              <w:spacing w:before="109"/>
              <w:ind w:left="102"/>
              <w:rPr>
                <w:sz w:val="20"/>
              </w:rPr>
            </w:pPr>
            <w:r>
              <w:rPr>
                <w:sz w:val="20"/>
              </w:rPr>
              <w:t>***</w:t>
            </w:r>
          </w:p>
        </w:tc>
        <w:tc>
          <w:tcPr>
            <w:tcW w:w="1173" w:type="dxa"/>
            <w:tcBorders>
              <w:left w:val="single" w:sz="4" w:space="0" w:color="000000"/>
              <w:bottom w:val="single" w:sz="4" w:space="0" w:color="000000"/>
              <w:right w:val="nil"/>
            </w:tcBorders>
          </w:tcPr>
          <w:p>
            <w:pPr>
              <w:pStyle w:val="TableParagraph"/>
              <w:spacing w:before="109"/>
              <w:ind w:left="100"/>
              <w:rPr>
                <w:sz w:val="20"/>
              </w:rPr>
            </w:pPr>
            <w:r>
              <w:rPr>
                <w:sz w:val="20"/>
              </w:rPr>
              <w:t>0.99905</w:t>
            </w:r>
          </w:p>
        </w:tc>
      </w:tr>
      <w:tr>
        <w:trPr>
          <w:trHeight w:val="300" w:hRule="atLeast"/>
        </w:trPr>
        <w:tc>
          <w:tcPr>
            <w:tcW w:w="3408" w:type="dxa"/>
            <w:tcBorders>
              <w:top w:val="single" w:sz="4" w:space="0" w:color="000000"/>
              <w:left w:val="nil"/>
              <w:bottom w:val="single" w:sz="4" w:space="0" w:color="000000"/>
              <w:right w:val="single" w:sz="4" w:space="0" w:color="000000"/>
            </w:tcBorders>
          </w:tcPr>
          <w:p>
            <w:pPr>
              <w:pStyle w:val="TableParagraph"/>
              <w:spacing w:before="32"/>
              <w:ind w:left="108"/>
              <w:rPr>
                <w:sz w:val="20"/>
              </w:rPr>
            </w:pPr>
            <w:r>
              <w:rPr>
                <w:sz w:val="20"/>
              </w:rPr>
              <w:t>Household density (per acre)</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32"/>
              <w:ind w:left="16" w:right="176"/>
              <w:jc w:val="center"/>
              <w:rPr>
                <w:sz w:val="20"/>
              </w:rPr>
            </w:pPr>
            <w:r>
              <w:rPr>
                <w:sz w:val="20"/>
              </w:rPr>
              <w:t>0.0017755</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0.0004257</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3.03e-05</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before="32"/>
              <w:ind w:left="102"/>
              <w:rPr>
                <w:sz w:val="20"/>
              </w:rPr>
            </w:pPr>
            <w:r>
              <w:rPr>
                <w:sz w:val="20"/>
              </w:rPr>
              <w:t>***</w:t>
            </w:r>
          </w:p>
        </w:tc>
        <w:tc>
          <w:tcPr>
            <w:tcW w:w="1173" w:type="dxa"/>
            <w:tcBorders>
              <w:top w:val="single" w:sz="4" w:space="0" w:color="000000"/>
              <w:left w:val="single" w:sz="4" w:space="0" w:color="000000"/>
              <w:bottom w:val="single" w:sz="4" w:space="0" w:color="000000"/>
              <w:right w:val="nil"/>
            </w:tcBorders>
          </w:tcPr>
          <w:p>
            <w:pPr>
              <w:pStyle w:val="TableParagraph"/>
              <w:spacing w:before="32"/>
              <w:ind w:left="100"/>
              <w:rPr>
                <w:sz w:val="20"/>
              </w:rPr>
            </w:pPr>
            <w:r>
              <w:rPr>
                <w:sz w:val="20"/>
              </w:rPr>
              <w:t>1.001621</w:t>
            </w:r>
          </w:p>
        </w:tc>
      </w:tr>
      <w:tr>
        <w:trPr>
          <w:trHeight w:val="299" w:hRule="atLeast"/>
        </w:trPr>
        <w:tc>
          <w:tcPr>
            <w:tcW w:w="3408" w:type="dxa"/>
            <w:tcBorders>
              <w:top w:val="single" w:sz="4" w:space="0" w:color="000000"/>
              <w:left w:val="nil"/>
              <w:bottom w:val="single" w:sz="4" w:space="0" w:color="000000"/>
              <w:right w:val="single" w:sz="4" w:space="0" w:color="000000"/>
            </w:tcBorders>
          </w:tcPr>
          <w:p>
            <w:pPr>
              <w:pStyle w:val="TableParagraph"/>
              <w:spacing w:before="31"/>
              <w:ind w:left="108"/>
              <w:rPr>
                <w:sz w:val="20"/>
              </w:rPr>
            </w:pPr>
            <w:r>
              <w:rPr>
                <w:sz w:val="20"/>
              </w:rPr>
              <w:t>Household size</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31"/>
              <w:ind w:left="16" w:right="176"/>
              <w:jc w:val="center"/>
              <w:rPr>
                <w:sz w:val="20"/>
              </w:rPr>
            </w:pPr>
            <w:r>
              <w:rPr>
                <w:sz w:val="20"/>
              </w:rPr>
              <w:t>3.3000403</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0.8386549</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8.32e-05</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before="31"/>
              <w:ind w:left="102"/>
              <w:rPr>
                <w:sz w:val="20"/>
              </w:rPr>
            </w:pPr>
            <w:r>
              <w:rPr>
                <w:sz w:val="20"/>
              </w:rPr>
              <w:t>***</w:t>
            </w:r>
          </w:p>
        </w:tc>
        <w:tc>
          <w:tcPr>
            <w:tcW w:w="1173" w:type="dxa"/>
            <w:tcBorders>
              <w:top w:val="single" w:sz="4" w:space="0" w:color="000000"/>
              <w:left w:val="single" w:sz="4" w:space="0" w:color="000000"/>
              <w:bottom w:val="single" w:sz="4" w:space="0" w:color="000000"/>
              <w:right w:val="nil"/>
            </w:tcBorders>
          </w:tcPr>
          <w:p>
            <w:pPr>
              <w:pStyle w:val="TableParagraph"/>
              <w:spacing w:before="31"/>
              <w:ind w:left="100"/>
              <w:rPr>
                <w:sz w:val="20"/>
              </w:rPr>
            </w:pPr>
            <w:r>
              <w:rPr>
                <w:sz w:val="20"/>
              </w:rPr>
              <w:t>20.65588</w:t>
            </w:r>
          </w:p>
        </w:tc>
      </w:tr>
      <w:tr>
        <w:trPr>
          <w:trHeight w:val="315" w:hRule="atLeast"/>
        </w:trPr>
        <w:tc>
          <w:tcPr>
            <w:tcW w:w="3408"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Minor road, number of right-turn lanes</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40"/>
              <w:ind w:left="83" w:right="176"/>
              <w:jc w:val="center"/>
              <w:rPr>
                <w:sz w:val="20"/>
              </w:rPr>
            </w:pPr>
            <w:r>
              <w:rPr>
                <w:sz w:val="20"/>
              </w:rPr>
              <w:t>-0.7263629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0.4346123</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0.09466</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w w:val="100"/>
                <w:sz w:val="20"/>
              </w:rPr>
              <w:t>.</w:t>
            </w:r>
          </w:p>
        </w:tc>
        <w:tc>
          <w:tcPr>
            <w:tcW w:w="1173" w:type="dxa"/>
            <w:tcBorders>
              <w:top w:val="single" w:sz="4" w:space="0" w:color="000000"/>
              <w:left w:val="single" w:sz="4" w:space="0" w:color="000000"/>
              <w:bottom w:val="single" w:sz="4" w:space="0" w:color="000000"/>
              <w:right w:val="nil"/>
            </w:tcBorders>
          </w:tcPr>
          <w:p>
            <w:pPr>
              <w:pStyle w:val="TableParagraph"/>
              <w:spacing w:before="40"/>
              <w:ind w:left="100"/>
              <w:rPr>
                <w:sz w:val="20"/>
              </w:rPr>
            </w:pPr>
            <w:r>
              <w:rPr>
                <w:sz w:val="20"/>
              </w:rPr>
              <w:t>0.48366</w:t>
            </w:r>
          </w:p>
        </w:tc>
      </w:tr>
      <w:tr>
        <w:trPr>
          <w:trHeight w:val="315" w:hRule="atLeast"/>
        </w:trPr>
        <w:tc>
          <w:tcPr>
            <w:tcW w:w="3408" w:type="dxa"/>
            <w:tcBorders>
              <w:top w:val="single" w:sz="4" w:space="0" w:color="000000"/>
              <w:left w:val="nil"/>
              <w:bottom w:val="single" w:sz="4" w:space="0" w:color="000000"/>
              <w:right w:val="single" w:sz="4" w:space="0" w:color="000000"/>
            </w:tcBorders>
          </w:tcPr>
          <w:p>
            <w:pPr>
              <w:pStyle w:val="TableParagraph"/>
              <w:spacing w:before="40"/>
              <w:ind w:left="108"/>
              <w:rPr>
                <w:sz w:val="20"/>
              </w:rPr>
            </w:pPr>
            <w:r>
              <w:rPr>
                <w:sz w:val="20"/>
              </w:rPr>
              <w:t>Major road, number of left-turn lanes</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40"/>
              <w:ind w:left="83" w:right="175"/>
              <w:jc w:val="center"/>
              <w:rPr>
                <w:sz w:val="20"/>
              </w:rPr>
            </w:pPr>
            <w:r>
              <w:rPr>
                <w:sz w:val="20"/>
              </w:rPr>
              <w:t>-1.5006639</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0.5498043</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0.00634</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before="40"/>
              <w:ind w:left="102"/>
              <w:rPr>
                <w:sz w:val="20"/>
              </w:rPr>
            </w:pPr>
            <w:r>
              <w:rPr>
                <w:sz w:val="20"/>
              </w:rPr>
              <w:t>**</w:t>
            </w:r>
          </w:p>
        </w:tc>
        <w:tc>
          <w:tcPr>
            <w:tcW w:w="1173" w:type="dxa"/>
            <w:tcBorders>
              <w:top w:val="single" w:sz="4" w:space="0" w:color="000000"/>
              <w:left w:val="single" w:sz="4" w:space="0" w:color="000000"/>
              <w:bottom w:val="single" w:sz="4" w:space="0" w:color="000000"/>
              <w:right w:val="nil"/>
            </w:tcBorders>
          </w:tcPr>
          <w:p>
            <w:pPr>
              <w:pStyle w:val="TableParagraph"/>
              <w:spacing w:before="40"/>
              <w:ind w:left="100"/>
              <w:rPr>
                <w:sz w:val="20"/>
              </w:rPr>
            </w:pPr>
            <w:r>
              <w:rPr>
                <w:sz w:val="20"/>
              </w:rPr>
              <w:t>0.216752</w:t>
            </w:r>
          </w:p>
        </w:tc>
      </w:tr>
      <w:tr>
        <w:trPr>
          <w:trHeight w:val="315" w:hRule="atLeast"/>
        </w:trPr>
        <w:tc>
          <w:tcPr>
            <w:tcW w:w="3408" w:type="dxa"/>
            <w:tcBorders>
              <w:top w:val="single" w:sz="4" w:space="0" w:color="000000"/>
              <w:left w:val="nil"/>
              <w:bottom w:val="single" w:sz="4" w:space="0" w:color="000000"/>
              <w:right w:val="single" w:sz="4" w:space="0" w:color="000000"/>
            </w:tcBorders>
          </w:tcPr>
          <w:p>
            <w:pPr>
              <w:pStyle w:val="TableParagraph"/>
              <w:spacing w:before="38"/>
              <w:ind w:left="108"/>
              <w:rPr>
                <w:sz w:val="20"/>
              </w:rPr>
            </w:pPr>
            <w:r>
              <w:rPr>
                <w:sz w:val="20"/>
              </w:rPr>
              <w:t>Minor road, number of left-turn lanes</w:t>
            </w:r>
          </w:p>
        </w:tc>
        <w:tc>
          <w:tcPr>
            <w:tcW w:w="1228" w:type="dxa"/>
            <w:tcBorders>
              <w:top w:val="single" w:sz="4" w:space="0" w:color="000000"/>
              <w:left w:val="single" w:sz="4" w:space="0" w:color="000000"/>
              <w:bottom w:val="single" w:sz="4" w:space="0" w:color="000000"/>
              <w:right w:val="single" w:sz="4" w:space="0" w:color="000000"/>
            </w:tcBorders>
          </w:tcPr>
          <w:p>
            <w:pPr>
              <w:pStyle w:val="TableParagraph"/>
              <w:spacing w:before="38"/>
              <w:ind w:left="16" w:right="176"/>
              <w:jc w:val="center"/>
              <w:rPr>
                <w:sz w:val="20"/>
              </w:rPr>
            </w:pPr>
            <w:r>
              <w:rPr>
                <w:sz w:val="20"/>
              </w:rPr>
              <w:t>1.3020888</w:t>
            </w:r>
          </w:p>
        </w:tc>
        <w:tc>
          <w:tcPr>
            <w:tcW w:w="1530" w:type="dxa"/>
            <w:tcBorders>
              <w:top w:val="single" w:sz="4" w:space="0" w:color="000000"/>
              <w:left w:val="single" w:sz="4" w:space="0" w:color="000000"/>
              <w:bottom w:val="single" w:sz="4" w:space="0" w:color="000000"/>
              <w:right w:val="single" w:sz="4" w:space="0" w:color="000000"/>
            </w:tcBorders>
          </w:tcPr>
          <w:p>
            <w:pPr>
              <w:pStyle w:val="TableParagraph"/>
              <w:spacing w:before="38"/>
              <w:ind w:left="102"/>
              <w:rPr>
                <w:sz w:val="20"/>
              </w:rPr>
            </w:pPr>
            <w:r>
              <w:rPr>
                <w:sz w:val="20"/>
              </w:rPr>
              <w:t>0.4949559</w:t>
            </w: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before="38"/>
              <w:ind w:left="102"/>
              <w:rPr>
                <w:sz w:val="20"/>
              </w:rPr>
            </w:pPr>
            <w:r>
              <w:rPr>
                <w:sz w:val="20"/>
              </w:rPr>
              <w:t>0.00852</w:t>
            </w:r>
          </w:p>
        </w:tc>
        <w:tc>
          <w:tcPr>
            <w:tcW w:w="1251" w:type="dxa"/>
            <w:tcBorders>
              <w:top w:val="single" w:sz="4" w:space="0" w:color="000000"/>
              <w:left w:val="single" w:sz="4" w:space="0" w:color="000000"/>
              <w:bottom w:val="single" w:sz="4" w:space="0" w:color="000000"/>
              <w:right w:val="single" w:sz="4" w:space="0" w:color="000000"/>
            </w:tcBorders>
          </w:tcPr>
          <w:p>
            <w:pPr>
              <w:pStyle w:val="TableParagraph"/>
              <w:spacing w:before="38"/>
              <w:ind w:left="102"/>
              <w:rPr>
                <w:sz w:val="20"/>
              </w:rPr>
            </w:pPr>
            <w:r>
              <w:rPr>
                <w:sz w:val="20"/>
              </w:rPr>
              <w:t>**</w:t>
            </w:r>
          </w:p>
        </w:tc>
        <w:tc>
          <w:tcPr>
            <w:tcW w:w="1173" w:type="dxa"/>
            <w:tcBorders>
              <w:top w:val="single" w:sz="4" w:space="0" w:color="000000"/>
              <w:left w:val="single" w:sz="4" w:space="0" w:color="000000"/>
              <w:bottom w:val="single" w:sz="4" w:space="0" w:color="000000"/>
              <w:right w:val="nil"/>
            </w:tcBorders>
          </w:tcPr>
          <w:p>
            <w:pPr>
              <w:pStyle w:val="TableParagraph"/>
              <w:spacing w:before="38"/>
              <w:ind w:left="100"/>
              <w:rPr>
                <w:sz w:val="20"/>
              </w:rPr>
            </w:pPr>
            <w:r>
              <w:rPr>
                <w:sz w:val="20"/>
              </w:rPr>
              <w:t>3.575124</w:t>
            </w:r>
          </w:p>
        </w:tc>
      </w:tr>
    </w:tbl>
    <w:p>
      <w:pPr>
        <w:spacing w:line="338" w:lineRule="auto" w:before="37"/>
        <w:ind w:left="320" w:right="3340" w:firstLine="0"/>
        <w:jc w:val="left"/>
        <w:rPr>
          <w:sz w:val="18"/>
        </w:rPr>
      </w:pPr>
      <w:r>
        <w:rPr/>
        <w:pict>
          <v:line style="position:absolute;mso-position-horizontal-relative:page;mso-position-vertical-relative:paragraph;z-index:-253984" from="66.599998pt,15.949506pt" to="545.399998pt,15.949506pt" stroked="true" strokeweight=".481pt" strokecolor="#000000">
            <v:stroke dashstyle="solid"/>
            <w10:wrap type="none"/>
          </v:line>
        </w:pict>
      </w:r>
      <w:r>
        <w:rPr/>
        <w:pict>
          <v:line style="position:absolute;mso-position-horizontal-relative:page;mso-position-vertical-relative:paragraph;z-index:-253960" from="66.599998pt,32.210007pt" to="545.399998pt,32.210007pt" stroked="true" strokeweight=".48pt" strokecolor="#000000">
            <v:stroke dashstyle="solid"/>
            <w10:wrap type="none"/>
          </v:line>
        </w:pict>
      </w:r>
      <w:r>
        <w:rPr/>
        <w:pict>
          <v:line style="position:absolute;mso-position-horizontal-relative:page;mso-position-vertical-relative:paragraph;z-index:4840" from="65.879997pt,48.980007pt" to="545.399997pt,48.980007pt" stroked="true" strokeweight="1.5pt" strokecolor="#000000">
            <v:stroke dashstyle="solid"/>
            <w10:wrap type="none"/>
          </v:line>
        </w:pict>
      </w:r>
      <w:r>
        <w:rPr>
          <w:sz w:val="18"/>
        </w:rPr>
        <w:t>Null deviance (measure the goodness of fit of a logit model)</w:t>
      </w:r>
      <w:r>
        <w:rPr>
          <w:rFonts w:ascii="MS PGothic" w:eastAsia="MS PGothic" w:hint="eastAsia"/>
          <w:sz w:val="18"/>
        </w:rPr>
        <w:t>： </w:t>
      </w:r>
      <w:r>
        <w:rPr>
          <w:sz w:val="18"/>
        </w:rPr>
        <w:t>169.31 on 139 degrees of freedom Residual deviance (measure the goodness of fit of a logit model)</w:t>
      </w:r>
      <w:r>
        <w:rPr>
          <w:rFonts w:ascii="MS PGothic" w:eastAsia="MS PGothic" w:hint="eastAsia"/>
          <w:sz w:val="18"/>
        </w:rPr>
        <w:t>： </w:t>
      </w:r>
      <w:r>
        <w:rPr>
          <w:sz w:val="18"/>
        </w:rPr>
        <w:t>132.27 on 133 degrees of freedom AIC</w:t>
      </w:r>
      <w:r>
        <w:rPr>
          <w:rFonts w:ascii="MS PGothic" w:eastAsia="MS PGothic" w:hint="eastAsia"/>
          <w:sz w:val="18"/>
        </w:rPr>
        <w:t>： </w:t>
      </w:r>
      <w:r>
        <w:rPr>
          <w:sz w:val="18"/>
        </w:rPr>
        <w:t>146.27</w:t>
      </w:r>
    </w:p>
    <w:p>
      <w:pPr>
        <w:spacing w:line="209" w:lineRule="exact" w:before="0"/>
        <w:ind w:left="320" w:right="0" w:firstLine="0"/>
        <w:jc w:val="left"/>
        <w:rPr>
          <w:sz w:val="20"/>
        </w:rPr>
      </w:pPr>
      <w:r>
        <w:rPr>
          <w:sz w:val="20"/>
        </w:rPr>
        <w:t>Significant Code: 0 ‘***’; 0.001 ‘**’; 0.01 ‘*’; 0.05 ‘.’; 0.1 ‘‘.</w:t>
      </w:r>
    </w:p>
    <w:p>
      <w:pPr>
        <w:pStyle w:val="BodyText"/>
        <w:spacing w:before="3"/>
      </w:pPr>
    </w:p>
    <w:p>
      <w:pPr>
        <w:pStyle w:val="Heading3"/>
        <w:numPr>
          <w:ilvl w:val="1"/>
          <w:numId w:val="30"/>
        </w:numPr>
        <w:tabs>
          <w:tab w:pos="1039" w:val="left" w:leader="none"/>
          <w:tab w:pos="1040" w:val="left" w:leader="none"/>
        </w:tabs>
        <w:spacing w:line="240" w:lineRule="auto" w:before="1" w:after="0"/>
        <w:ind w:left="1039" w:right="0" w:hanging="719"/>
        <w:jc w:val="left"/>
      </w:pPr>
      <w:bookmarkStart w:name="_TOC_250017" w:id="242"/>
      <w:bookmarkStart w:name="6.3 SUMMARY" w:id="243"/>
      <w:r>
        <w:rPr>
          <w:b w:val="0"/>
        </w:rPr>
      </w:r>
      <w:bookmarkEnd w:id="243"/>
      <w:bookmarkStart w:name="6.3 SUMMARY" w:id="244"/>
      <w:r>
        <w:rPr/>
        <w:t>S</w:t>
      </w:r>
      <w:bookmarkEnd w:id="242"/>
      <w:r>
        <w:rPr/>
        <w:t>UMMARY</w:t>
      </w:r>
    </w:p>
    <w:p>
      <w:pPr>
        <w:pStyle w:val="BodyText"/>
        <w:spacing w:before="236"/>
        <w:ind w:left="320" w:right="1474"/>
      </w:pPr>
      <w:r>
        <w:rPr/>
        <w:t>The research team developed logistic regression models for both crash occurrence (crash or not) and crash severity models. The models related to crash severity were not robust and did not prove useful. This is most likely due to the few segments and intersections with severe crashes</w:t>
      </w:r>
      <w:r>
        <w:rPr>
          <w:spacing w:val="-21"/>
        </w:rPr>
        <w:t> </w:t>
      </w:r>
      <w:r>
        <w:rPr/>
        <w:t>in the dataset. The crash occurrence models produced more plausible models and significant variables, including a blend of exposure and geometric/operational variables hypothesized to relate to risk</w:t>
      </w:r>
      <w:hyperlink w:history="true" w:anchor="_bookmark51">
        <w:r>
          <w:rPr/>
          <w:t>. Table 6.9 </w:t>
        </w:r>
      </w:hyperlink>
      <w:r>
        <w:rPr/>
        <w:t>and </w:t>
      </w:r>
      <w:hyperlink w:history="true" w:anchor="_bookmark52">
        <w:r>
          <w:rPr/>
          <w:t>Table 6.10</w:t>
        </w:r>
      </w:hyperlink>
      <w:r>
        <w:rPr/>
        <w:t> show the list of the significant variables identified in the modeling effort. The table highlights that there are a number of common explanatory variables. A comparison between </w:t>
      </w:r>
      <w:hyperlink w:history="true" w:anchor="_bookmark51">
        <w:r>
          <w:rPr/>
          <w:t>Table 6.9</w:t>
        </w:r>
      </w:hyperlink>
      <w:r>
        <w:rPr/>
        <w:t> and </w:t>
      </w:r>
      <w:hyperlink w:history="true" w:anchor="_bookmark52">
        <w:r>
          <w:rPr/>
          <w:t>Table 6.10 </w:t>
        </w:r>
      </w:hyperlink>
      <w:r>
        <w:rPr/>
        <w:t>shows that generally, the bicycle models capture fewer significant variables than those pedestrian models, which is consistent with other studies. The crash occurrence models are converted to risk scoring tools in the next</w:t>
      </w:r>
      <w:r>
        <w:rPr>
          <w:spacing w:val="-13"/>
        </w:rPr>
        <w:t> </w:t>
      </w:r>
      <w:r>
        <w:rPr/>
        <w:t>chapter</w:t>
      </w:r>
    </w:p>
    <w:p>
      <w:pPr>
        <w:spacing w:after="0"/>
        <w:sectPr>
          <w:pgSz w:w="12240" w:h="15840"/>
          <w:pgMar w:header="0" w:footer="709" w:top="920" w:bottom="980" w:left="1120" w:right="0"/>
        </w:sectPr>
      </w:pPr>
    </w:p>
    <w:p>
      <w:pPr>
        <w:spacing w:before="75"/>
        <w:ind w:left="320" w:right="0" w:firstLine="0"/>
        <w:jc w:val="left"/>
        <w:rPr>
          <w:b/>
          <w:sz w:val="20"/>
        </w:rPr>
      </w:pPr>
      <w:bookmarkStart w:name="_bookmark51" w:id="245"/>
      <w:bookmarkEnd w:id="245"/>
      <w:r>
        <w:rPr/>
      </w:r>
      <w:r>
        <w:rPr>
          <w:b/>
          <w:sz w:val="20"/>
        </w:rPr>
        <w:t>Table 6.9: Summary of Significant Variables in the Pedestrian Models</w:t>
      </w:r>
    </w:p>
    <w:tbl>
      <w:tblPr>
        <w:tblW w:w="0" w:type="auto"/>
        <w:jc w:val="left"/>
        <w:tblInd w:w="4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36"/>
        <w:gridCol w:w="2410"/>
        <w:gridCol w:w="2127"/>
        <w:gridCol w:w="2410"/>
      </w:tblGrid>
      <w:tr>
        <w:trPr>
          <w:trHeight w:val="365" w:hRule="atLeast"/>
        </w:trPr>
        <w:tc>
          <w:tcPr>
            <w:tcW w:w="4546" w:type="dxa"/>
            <w:gridSpan w:val="2"/>
            <w:tcBorders>
              <w:left w:val="nil"/>
              <w:bottom w:val="single" w:sz="4" w:space="0" w:color="000000"/>
              <w:right w:val="single" w:sz="4" w:space="0" w:color="000000"/>
            </w:tcBorders>
          </w:tcPr>
          <w:p>
            <w:pPr>
              <w:pStyle w:val="TableParagraph"/>
              <w:spacing w:before="66"/>
              <w:ind w:left="1509"/>
              <w:rPr>
                <w:b/>
                <w:sz w:val="20"/>
              </w:rPr>
            </w:pPr>
            <w:r>
              <w:rPr>
                <w:b/>
                <w:sz w:val="20"/>
              </w:rPr>
              <w:t>Crash Occurrence</w:t>
            </w:r>
          </w:p>
        </w:tc>
        <w:tc>
          <w:tcPr>
            <w:tcW w:w="4537" w:type="dxa"/>
            <w:gridSpan w:val="2"/>
            <w:tcBorders>
              <w:left w:val="single" w:sz="4" w:space="0" w:color="000000"/>
              <w:bottom w:val="single" w:sz="4" w:space="0" w:color="000000"/>
              <w:right w:val="nil"/>
            </w:tcBorders>
          </w:tcPr>
          <w:p>
            <w:pPr>
              <w:pStyle w:val="TableParagraph"/>
              <w:spacing w:before="66"/>
              <w:ind w:left="1621" w:right="1598"/>
              <w:jc w:val="center"/>
              <w:rPr>
                <w:b/>
                <w:sz w:val="20"/>
              </w:rPr>
            </w:pPr>
            <w:r>
              <w:rPr>
                <w:b/>
                <w:sz w:val="20"/>
              </w:rPr>
              <w:t>Crash Severity</w:t>
            </w:r>
          </w:p>
        </w:tc>
      </w:tr>
      <w:tr>
        <w:trPr>
          <w:trHeight w:val="350" w:hRule="atLeast"/>
        </w:trPr>
        <w:tc>
          <w:tcPr>
            <w:tcW w:w="2136" w:type="dxa"/>
            <w:tcBorders>
              <w:top w:val="single" w:sz="4" w:space="0" w:color="000000"/>
              <w:left w:val="nil"/>
              <w:right w:val="single" w:sz="4" w:space="0" w:color="000000"/>
            </w:tcBorders>
          </w:tcPr>
          <w:p>
            <w:pPr>
              <w:pStyle w:val="TableParagraph"/>
              <w:spacing w:before="59"/>
              <w:ind w:left="137"/>
              <w:rPr>
                <w:b/>
                <w:sz w:val="20"/>
              </w:rPr>
            </w:pPr>
            <w:r>
              <w:rPr>
                <w:b/>
                <w:sz w:val="20"/>
              </w:rPr>
              <w:t>Model 1 Segment</w:t>
            </w:r>
          </w:p>
        </w:tc>
        <w:tc>
          <w:tcPr>
            <w:tcW w:w="2410" w:type="dxa"/>
            <w:tcBorders>
              <w:top w:val="single" w:sz="4" w:space="0" w:color="000000"/>
              <w:left w:val="single" w:sz="4" w:space="0" w:color="000000"/>
              <w:right w:val="single" w:sz="4" w:space="0" w:color="000000"/>
            </w:tcBorders>
          </w:tcPr>
          <w:p>
            <w:pPr>
              <w:pStyle w:val="TableParagraph"/>
              <w:spacing w:before="59"/>
              <w:ind w:left="118"/>
              <w:rPr>
                <w:b/>
                <w:sz w:val="20"/>
              </w:rPr>
            </w:pPr>
            <w:r>
              <w:rPr>
                <w:b/>
                <w:sz w:val="20"/>
              </w:rPr>
              <w:t>Model 2 Intersection</w:t>
            </w:r>
          </w:p>
        </w:tc>
        <w:tc>
          <w:tcPr>
            <w:tcW w:w="2127" w:type="dxa"/>
            <w:tcBorders>
              <w:top w:val="single" w:sz="4" w:space="0" w:color="000000"/>
              <w:left w:val="single" w:sz="4" w:space="0" w:color="000000"/>
              <w:right w:val="single" w:sz="4" w:space="0" w:color="000000"/>
            </w:tcBorders>
          </w:tcPr>
          <w:p>
            <w:pPr>
              <w:pStyle w:val="TableParagraph"/>
              <w:spacing w:before="59"/>
              <w:ind w:left="117"/>
              <w:rPr>
                <w:b/>
                <w:sz w:val="20"/>
              </w:rPr>
            </w:pPr>
            <w:r>
              <w:rPr>
                <w:b/>
                <w:sz w:val="20"/>
              </w:rPr>
              <w:t>Model 3 Segment</w:t>
            </w:r>
          </w:p>
        </w:tc>
        <w:tc>
          <w:tcPr>
            <w:tcW w:w="2410" w:type="dxa"/>
            <w:tcBorders>
              <w:top w:val="single" w:sz="4" w:space="0" w:color="000000"/>
              <w:left w:val="single" w:sz="4" w:space="0" w:color="000000"/>
              <w:right w:val="nil"/>
            </w:tcBorders>
          </w:tcPr>
          <w:p>
            <w:pPr>
              <w:pStyle w:val="TableParagraph"/>
              <w:spacing w:before="59"/>
              <w:ind w:left="117"/>
              <w:rPr>
                <w:b/>
                <w:sz w:val="20"/>
              </w:rPr>
            </w:pPr>
            <w:r>
              <w:rPr>
                <w:b/>
                <w:sz w:val="20"/>
              </w:rPr>
              <w:t>Model 4 Intersection</w:t>
            </w:r>
          </w:p>
        </w:tc>
      </w:tr>
      <w:tr>
        <w:trPr>
          <w:trHeight w:val="459" w:hRule="atLeast"/>
        </w:trPr>
        <w:tc>
          <w:tcPr>
            <w:tcW w:w="2136" w:type="dxa"/>
            <w:tcBorders>
              <w:left w:val="nil"/>
              <w:bottom w:val="single" w:sz="4" w:space="0" w:color="000000"/>
              <w:right w:val="single" w:sz="4" w:space="0" w:color="000000"/>
            </w:tcBorders>
          </w:tcPr>
          <w:p>
            <w:pPr>
              <w:pStyle w:val="TableParagraph"/>
              <w:spacing w:line="230" w:lineRule="exact"/>
              <w:ind w:left="137" w:right="108"/>
              <w:rPr>
                <w:sz w:val="20"/>
              </w:rPr>
            </w:pPr>
            <w:r>
              <w:rPr>
                <w:sz w:val="20"/>
              </w:rPr>
              <w:t>Traffic directions (one- way is base)</w:t>
            </w:r>
          </w:p>
        </w:tc>
        <w:tc>
          <w:tcPr>
            <w:tcW w:w="2410" w:type="dxa"/>
            <w:tcBorders>
              <w:left w:val="single" w:sz="4" w:space="0" w:color="000000"/>
              <w:bottom w:val="single" w:sz="4" w:space="0" w:color="000000"/>
              <w:right w:val="single" w:sz="4" w:space="0" w:color="000000"/>
            </w:tcBorders>
          </w:tcPr>
          <w:p>
            <w:pPr>
              <w:pStyle w:val="TableParagraph"/>
              <w:spacing w:line="230" w:lineRule="exact"/>
              <w:ind w:left="118" w:right="306"/>
              <w:rPr>
                <w:sz w:val="20"/>
              </w:rPr>
            </w:pPr>
            <w:r>
              <w:rPr>
                <w:sz w:val="20"/>
              </w:rPr>
              <w:t>Total population density (per square mile)</w:t>
            </w:r>
          </w:p>
        </w:tc>
        <w:tc>
          <w:tcPr>
            <w:tcW w:w="2127" w:type="dxa"/>
            <w:tcBorders>
              <w:left w:val="single" w:sz="4" w:space="0" w:color="000000"/>
              <w:bottom w:val="single" w:sz="4" w:space="0" w:color="000000"/>
              <w:right w:val="single" w:sz="4" w:space="0" w:color="000000"/>
            </w:tcBorders>
          </w:tcPr>
          <w:p>
            <w:pPr>
              <w:pStyle w:val="TableParagraph"/>
              <w:spacing w:line="230" w:lineRule="exact"/>
              <w:ind w:left="117" w:right="502"/>
              <w:rPr>
                <w:sz w:val="20"/>
              </w:rPr>
            </w:pPr>
            <w:r>
              <w:rPr>
                <w:sz w:val="20"/>
              </w:rPr>
              <w:t>Retail density (per acre)</w:t>
            </w:r>
          </w:p>
        </w:tc>
        <w:tc>
          <w:tcPr>
            <w:tcW w:w="2410" w:type="dxa"/>
            <w:tcBorders>
              <w:left w:val="single" w:sz="4" w:space="0" w:color="000000"/>
              <w:bottom w:val="single" w:sz="4" w:space="0" w:color="000000"/>
              <w:right w:val="nil"/>
            </w:tcBorders>
          </w:tcPr>
          <w:p>
            <w:pPr>
              <w:pStyle w:val="TableParagraph"/>
              <w:spacing w:line="230" w:lineRule="exact"/>
              <w:ind w:left="117" w:right="346"/>
              <w:rPr>
                <w:sz w:val="20"/>
              </w:rPr>
            </w:pPr>
            <w:r>
              <w:rPr>
                <w:sz w:val="20"/>
              </w:rPr>
              <w:t>Major road. Presence of total traffic lanes</w:t>
            </w:r>
          </w:p>
        </w:tc>
      </w:tr>
      <w:tr>
        <w:trPr>
          <w:trHeight w:val="459" w:hRule="atLeast"/>
        </w:trPr>
        <w:tc>
          <w:tcPr>
            <w:tcW w:w="2136" w:type="dxa"/>
            <w:tcBorders>
              <w:top w:val="single" w:sz="4" w:space="0" w:color="000000"/>
              <w:left w:val="nil"/>
              <w:bottom w:val="single" w:sz="4" w:space="0" w:color="000000"/>
              <w:right w:val="single" w:sz="4" w:space="0" w:color="000000"/>
            </w:tcBorders>
          </w:tcPr>
          <w:p>
            <w:pPr>
              <w:pStyle w:val="TableParagraph"/>
              <w:spacing w:line="226" w:lineRule="exact"/>
              <w:ind w:left="137"/>
              <w:rPr>
                <w:sz w:val="20"/>
              </w:rPr>
            </w:pPr>
            <w:r>
              <w:rPr>
                <w:sz w:val="20"/>
              </w:rPr>
              <w:t>Presence of on-street</w:t>
            </w:r>
          </w:p>
          <w:p>
            <w:pPr>
              <w:pStyle w:val="TableParagraph"/>
              <w:spacing w:line="213" w:lineRule="exact"/>
              <w:ind w:left="137"/>
              <w:rPr>
                <w:sz w:val="20"/>
              </w:rPr>
            </w:pPr>
            <w:r>
              <w:rPr>
                <w:sz w:val="20"/>
              </w:rPr>
              <w:t>Parking</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18"/>
              <w:rPr>
                <w:sz w:val="20"/>
              </w:rPr>
            </w:pPr>
            <w:r>
              <w:rPr>
                <w:sz w:val="20"/>
              </w:rPr>
              <w:t>Number of transit lines go</w:t>
            </w:r>
          </w:p>
          <w:p>
            <w:pPr>
              <w:pStyle w:val="TableParagraph"/>
              <w:spacing w:line="213" w:lineRule="exact"/>
              <w:ind w:left="118"/>
              <w:rPr>
                <w:sz w:val="20"/>
              </w:rPr>
            </w:pPr>
            <w:r>
              <w:rPr>
                <w:sz w:val="20"/>
              </w:rPr>
              <w:t>through the segment</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111"/>
              <w:ind w:left="117"/>
              <w:rPr>
                <w:sz w:val="20"/>
              </w:rPr>
            </w:pPr>
            <w:r>
              <w:rPr>
                <w:sz w:val="20"/>
              </w:rPr>
              <w:t>AADT 2014</w:t>
            </w:r>
          </w:p>
        </w:tc>
        <w:tc>
          <w:tcPr>
            <w:tcW w:w="2410" w:type="dxa"/>
            <w:tcBorders>
              <w:top w:val="single" w:sz="4" w:space="0" w:color="000000"/>
              <w:left w:val="single" w:sz="4" w:space="0" w:color="000000"/>
              <w:bottom w:val="single" w:sz="4" w:space="0" w:color="000000"/>
              <w:right w:val="nil"/>
            </w:tcBorders>
          </w:tcPr>
          <w:p>
            <w:pPr>
              <w:pStyle w:val="TableParagraph"/>
              <w:spacing w:line="226" w:lineRule="exact"/>
              <w:ind w:left="117"/>
              <w:rPr>
                <w:sz w:val="20"/>
              </w:rPr>
            </w:pPr>
            <w:r>
              <w:rPr>
                <w:sz w:val="20"/>
              </w:rPr>
              <w:t>3-leg intersection density</w:t>
            </w:r>
          </w:p>
          <w:p>
            <w:pPr>
              <w:pStyle w:val="TableParagraph"/>
              <w:spacing w:line="213" w:lineRule="exact"/>
              <w:ind w:left="117"/>
              <w:rPr>
                <w:sz w:val="20"/>
              </w:rPr>
            </w:pPr>
            <w:r>
              <w:rPr>
                <w:sz w:val="20"/>
              </w:rPr>
              <w:t>(per square mile)</w:t>
            </w:r>
          </w:p>
        </w:tc>
      </w:tr>
      <w:tr>
        <w:trPr>
          <w:trHeight w:val="459" w:hRule="atLeast"/>
        </w:trPr>
        <w:tc>
          <w:tcPr>
            <w:tcW w:w="2136" w:type="dxa"/>
            <w:tcBorders>
              <w:top w:val="single" w:sz="4" w:space="0" w:color="000000"/>
              <w:left w:val="nil"/>
              <w:bottom w:val="single" w:sz="4" w:space="0" w:color="000000"/>
              <w:right w:val="single" w:sz="4" w:space="0" w:color="000000"/>
            </w:tcBorders>
          </w:tcPr>
          <w:p>
            <w:pPr>
              <w:pStyle w:val="TableParagraph"/>
              <w:spacing w:before="112"/>
              <w:ind w:left="137"/>
              <w:rPr>
                <w:sz w:val="20"/>
              </w:rPr>
            </w:pPr>
            <w:r>
              <w:rPr>
                <w:sz w:val="20"/>
              </w:rPr>
              <w:t>Presence of TWLTL</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8"/>
              <w:rPr>
                <w:sz w:val="20"/>
              </w:rPr>
            </w:pPr>
            <w:r>
              <w:rPr>
                <w:sz w:val="20"/>
              </w:rPr>
              <w:t>Major road, Presence of</w:t>
            </w:r>
          </w:p>
          <w:p>
            <w:pPr>
              <w:pStyle w:val="TableParagraph"/>
              <w:spacing w:line="212" w:lineRule="exact"/>
              <w:ind w:left="118"/>
              <w:rPr>
                <w:sz w:val="20"/>
              </w:rPr>
            </w:pPr>
            <w:r>
              <w:rPr>
                <w:sz w:val="20"/>
              </w:rPr>
              <w:t>right turn lanes</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112"/>
              <w:ind w:left="117"/>
              <w:rPr>
                <w:sz w:val="20"/>
              </w:rPr>
            </w:pPr>
            <w:r>
              <w:rPr>
                <w:sz w:val="20"/>
              </w:rPr>
              <w:t>Presence of lighting</w:t>
            </w:r>
          </w:p>
        </w:tc>
        <w:tc>
          <w:tcPr>
            <w:tcW w:w="2410" w:type="dxa"/>
            <w:tcBorders>
              <w:top w:val="single" w:sz="4" w:space="0" w:color="000000"/>
              <w:left w:val="single" w:sz="4" w:space="0" w:color="000000"/>
              <w:bottom w:val="single" w:sz="4" w:space="0" w:color="000000"/>
              <w:right w:val="nil"/>
            </w:tcBorders>
          </w:tcPr>
          <w:p>
            <w:pPr>
              <w:pStyle w:val="TableParagraph"/>
              <w:spacing w:line="227" w:lineRule="exact"/>
              <w:ind w:left="117"/>
              <w:rPr>
                <w:sz w:val="20"/>
              </w:rPr>
            </w:pPr>
            <w:r>
              <w:rPr>
                <w:sz w:val="20"/>
              </w:rPr>
              <w:t>4-leg intersection density</w:t>
            </w:r>
          </w:p>
          <w:p>
            <w:pPr>
              <w:pStyle w:val="TableParagraph"/>
              <w:spacing w:line="212" w:lineRule="exact"/>
              <w:ind w:left="117"/>
              <w:rPr>
                <w:sz w:val="20"/>
              </w:rPr>
            </w:pPr>
            <w:r>
              <w:rPr>
                <w:sz w:val="20"/>
              </w:rPr>
              <w:t>(per square mile)</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spacing w:line="230" w:lineRule="exact"/>
              <w:ind w:left="137" w:right="507"/>
              <w:rPr>
                <w:sz w:val="20"/>
              </w:rPr>
            </w:pPr>
            <w:r>
              <w:rPr>
                <w:sz w:val="20"/>
              </w:rPr>
              <w:t>Posted speed limit (mph)</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Pr>
                <w:sz w:val="20"/>
              </w:rPr>
            </w:pPr>
            <w:r>
              <w:rPr>
                <w:sz w:val="20"/>
              </w:rPr>
              <w:t>Major road. AADT 2014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30" w:lineRule="exact"/>
              <w:ind w:left="117" w:right="312"/>
              <w:rPr>
                <w:sz w:val="20"/>
              </w:rPr>
            </w:pPr>
            <w:r>
              <w:rPr>
                <w:sz w:val="20"/>
              </w:rPr>
              <w:t>Total population density (per square mile)</w:t>
            </w:r>
          </w:p>
        </w:tc>
      </w:tr>
      <w:tr>
        <w:trPr>
          <w:trHeight w:val="689" w:hRule="atLeast"/>
        </w:trPr>
        <w:tc>
          <w:tcPr>
            <w:tcW w:w="2136" w:type="dxa"/>
            <w:tcBorders>
              <w:top w:val="single" w:sz="4" w:space="0" w:color="000000"/>
              <w:left w:val="nil"/>
              <w:bottom w:val="single" w:sz="4" w:space="0" w:color="000000"/>
              <w:right w:val="single" w:sz="4" w:space="0" w:color="000000"/>
            </w:tcBorders>
          </w:tcPr>
          <w:p>
            <w:pPr>
              <w:pStyle w:val="TableParagraph"/>
              <w:spacing w:line="227" w:lineRule="exact"/>
              <w:ind w:left="137"/>
              <w:rPr>
                <w:sz w:val="20"/>
              </w:rPr>
            </w:pPr>
            <w:r>
              <w:rPr>
                <w:sz w:val="20"/>
              </w:rPr>
              <w:t>Total population</w:t>
            </w:r>
          </w:p>
          <w:p>
            <w:pPr>
              <w:pStyle w:val="TableParagraph"/>
              <w:spacing w:line="230" w:lineRule="exact" w:before="3"/>
              <w:ind w:left="137" w:right="452"/>
              <w:rPr>
                <w:sz w:val="20"/>
              </w:rPr>
            </w:pPr>
            <w:r>
              <w:rPr>
                <w:sz w:val="20"/>
              </w:rPr>
              <w:t>density (per square mile)</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ight="329"/>
              <w:rPr>
                <w:sz w:val="20"/>
              </w:rPr>
            </w:pPr>
            <w:r>
              <w:rPr>
                <w:sz w:val="20"/>
              </w:rPr>
              <w:t>Minor road. Presence of median</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before="112"/>
              <w:ind w:left="117" w:right="335"/>
              <w:rPr>
                <w:sz w:val="20"/>
              </w:rPr>
            </w:pPr>
            <w:r>
              <w:rPr>
                <w:sz w:val="20"/>
              </w:rPr>
              <w:t>Minor road, Presence of bicycle lanes</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spacing w:line="227" w:lineRule="exact"/>
              <w:ind w:left="137"/>
              <w:rPr>
                <w:sz w:val="20"/>
              </w:rPr>
            </w:pPr>
            <w:r>
              <w:rPr>
                <w:sz w:val="20"/>
              </w:rPr>
              <w:t>Number of total traffic</w:t>
            </w:r>
          </w:p>
          <w:p>
            <w:pPr>
              <w:pStyle w:val="TableParagraph"/>
              <w:spacing w:line="213" w:lineRule="exact"/>
              <w:ind w:left="137"/>
              <w:rPr>
                <w:sz w:val="20"/>
              </w:rPr>
            </w:pPr>
            <w:r>
              <w:rPr>
                <w:sz w:val="20"/>
              </w:rPr>
              <w:t>lane</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8"/>
              <w:rPr>
                <w:sz w:val="20"/>
              </w:rPr>
            </w:pPr>
            <w:r>
              <w:rPr>
                <w:sz w:val="20"/>
              </w:rPr>
              <w:t>Minor road. Presence of</w:t>
            </w:r>
          </w:p>
          <w:p>
            <w:pPr>
              <w:pStyle w:val="TableParagraph"/>
              <w:spacing w:line="213" w:lineRule="exact"/>
              <w:ind w:left="118"/>
              <w:rPr>
                <w:sz w:val="20"/>
              </w:rPr>
            </w:pPr>
            <w:r>
              <w:rPr>
                <w:sz w:val="20"/>
              </w:rPr>
              <w:t>right turn lanes</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27" w:lineRule="exact"/>
              <w:ind w:left="117"/>
              <w:rPr>
                <w:sz w:val="20"/>
              </w:rPr>
            </w:pPr>
            <w:r>
              <w:rPr>
                <w:sz w:val="20"/>
              </w:rPr>
              <w:t>Minor road, Presence of</w:t>
            </w:r>
          </w:p>
          <w:p>
            <w:pPr>
              <w:pStyle w:val="TableParagraph"/>
              <w:spacing w:line="213" w:lineRule="exact"/>
              <w:ind w:left="117"/>
              <w:rPr>
                <w:sz w:val="20"/>
              </w:rPr>
            </w:pPr>
            <w:r>
              <w:rPr>
                <w:sz w:val="20"/>
              </w:rPr>
              <w:t>right turn lanes</w:t>
            </w:r>
          </w:p>
        </w:tc>
      </w:tr>
      <w:tr>
        <w:trPr>
          <w:trHeight w:val="459" w:hRule="atLeast"/>
        </w:trPr>
        <w:tc>
          <w:tcPr>
            <w:tcW w:w="2136" w:type="dxa"/>
            <w:tcBorders>
              <w:top w:val="single" w:sz="4" w:space="0" w:color="000000"/>
              <w:left w:val="nil"/>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27" w:lineRule="exact"/>
              <w:ind w:left="117"/>
              <w:rPr>
                <w:sz w:val="20"/>
              </w:rPr>
            </w:pPr>
            <w:r>
              <w:rPr>
                <w:sz w:val="20"/>
              </w:rPr>
              <w:t>Minor road, Number of</w:t>
            </w:r>
          </w:p>
          <w:p>
            <w:pPr>
              <w:pStyle w:val="TableParagraph"/>
              <w:spacing w:line="212" w:lineRule="exact"/>
              <w:ind w:left="117"/>
              <w:rPr>
                <w:sz w:val="20"/>
              </w:rPr>
            </w:pPr>
            <w:r>
              <w:rPr>
                <w:sz w:val="20"/>
              </w:rPr>
              <w:t>total traffic lanes</w:t>
            </w:r>
          </w:p>
        </w:tc>
      </w:tr>
      <w:tr>
        <w:trPr>
          <w:trHeight w:val="432" w:hRule="atLeast"/>
        </w:trPr>
        <w:tc>
          <w:tcPr>
            <w:tcW w:w="2136" w:type="dxa"/>
            <w:tcBorders>
              <w:top w:val="single" w:sz="4" w:space="0" w:color="000000"/>
              <w:left w:val="nil"/>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before="98"/>
              <w:ind w:left="117"/>
              <w:rPr>
                <w:sz w:val="20"/>
              </w:rPr>
            </w:pPr>
            <w:r>
              <w:rPr>
                <w:sz w:val="20"/>
              </w:rPr>
              <w:t>Major road, AADT 2014</w:t>
            </w:r>
          </w:p>
        </w:tc>
      </w:tr>
      <w:tr>
        <w:trPr>
          <w:trHeight w:val="459" w:hRule="atLeast"/>
        </w:trPr>
        <w:tc>
          <w:tcPr>
            <w:tcW w:w="2136" w:type="dxa"/>
            <w:tcBorders>
              <w:top w:val="single" w:sz="4" w:space="0" w:color="000000"/>
              <w:left w:val="nil"/>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27" w:lineRule="exact"/>
              <w:ind w:left="117"/>
              <w:rPr>
                <w:sz w:val="20"/>
              </w:rPr>
            </w:pPr>
            <w:r>
              <w:rPr>
                <w:sz w:val="20"/>
              </w:rPr>
              <w:t>Household density (per</w:t>
            </w:r>
          </w:p>
          <w:p>
            <w:pPr>
              <w:pStyle w:val="TableParagraph"/>
              <w:spacing w:line="212" w:lineRule="exact"/>
              <w:ind w:left="117"/>
              <w:rPr>
                <w:sz w:val="20"/>
              </w:rPr>
            </w:pPr>
            <w:r>
              <w:rPr>
                <w:sz w:val="20"/>
              </w:rPr>
              <w:t>acre)</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30" w:lineRule="exact"/>
              <w:ind w:left="117" w:right="90"/>
              <w:rPr>
                <w:sz w:val="20"/>
              </w:rPr>
            </w:pPr>
            <w:r>
              <w:rPr>
                <w:sz w:val="20"/>
              </w:rPr>
              <w:t>Major number. Presence of right turn lanes</w:t>
            </w:r>
          </w:p>
        </w:tc>
      </w:tr>
      <w:tr>
        <w:trPr>
          <w:trHeight w:val="460" w:hRule="atLeast"/>
        </w:trPr>
        <w:tc>
          <w:tcPr>
            <w:tcW w:w="2136" w:type="dxa"/>
            <w:tcBorders>
              <w:top w:val="single" w:sz="4" w:space="0" w:color="000000"/>
              <w:left w:val="nil"/>
              <w:right w:val="single" w:sz="4" w:space="0" w:color="000000"/>
            </w:tcBorders>
          </w:tcPr>
          <w:p>
            <w:pPr>
              <w:pStyle w:val="TableParagraph"/>
              <w:rPr>
                <w:sz w:val="20"/>
              </w:rPr>
            </w:pPr>
          </w:p>
        </w:tc>
        <w:tc>
          <w:tcPr>
            <w:tcW w:w="2410" w:type="dxa"/>
            <w:tcBorders>
              <w:top w:val="single" w:sz="4" w:space="0" w:color="000000"/>
              <w:left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right w:val="nil"/>
            </w:tcBorders>
          </w:tcPr>
          <w:p>
            <w:pPr>
              <w:pStyle w:val="TableParagraph"/>
              <w:spacing w:line="227" w:lineRule="exact"/>
              <w:ind w:left="117"/>
              <w:rPr>
                <w:sz w:val="20"/>
              </w:rPr>
            </w:pPr>
            <w:r>
              <w:rPr>
                <w:sz w:val="20"/>
              </w:rPr>
              <w:t>Minor road. Traffic</w:t>
            </w:r>
          </w:p>
          <w:p>
            <w:pPr>
              <w:pStyle w:val="TableParagraph"/>
              <w:spacing w:line="214" w:lineRule="exact"/>
              <w:ind w:left="117"/>
              <w:rPr>
                <w:sz w:val="20"/>
              </w:rPr>
            </w:pPr>
            <w:r>
              <w:rPr>
                <w:sz w:val="20"/>
              </w:rPr>
              <w:t>direction</w:t>
            </w:r>
          </w:p>
        </w:tc>
      </w:tr>
    </w:tbl>
    <w:p>
      <w:pPr>
        <w:spacing w:after="0" w:line="214" w:lineRule="exact"/>
        <w:rPr>
          <w:sz w:val="20"/>
        </w:rPr>
        <w:sectPr>
          <w:pgSz w:w="12240" w:h="15840"/>
          <w:pgMar w:header="0" w:footer="709" w:top="920" w:bottom="980" w:left="1120" w:right="0"/>
        </w:sectPr>
      </w:pPr>
    </w:p>
    <w:p>
      <w:pPr>
        <w:spacing w:before="75"/>
        <w:ind w:left="320" w:right="0" w:firstLine="0"/>
        <w:jc w:val="left"/>
        <w:rPr>
          <w:b/>
          <w:sz w:val="20"/>
        </w:rPr>
      </w:pPr>
      <w:bookmarkStart w:name="_bookmark52" w:id="246"/>
      <w:bookmarkEnd w:id="246"/>
      <w:r>
        <w:rPr/>
      </w:r>
      <w:r>
        <w:rPr>
          <w:b/>
          <w:sz w:val="20"/>
        </w:rPr>
        <w:t>Table 6.10: Summary of Significant Variables in the Bicycle Models</w:t>
      </w:r>
    </w:p>
    <w:tbl>
      <w:tblPr>
        <w:tblW w:w="0" w:type="auto"/>
        <w:jc w:val="left"/>
        <w:tblInd w:w="4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36"/>
        <w:gridCol w:w="2410"/>
        <w:gridCol w:w="2127"/>
        <w:gridCol w:w="2410"/>
      </w:tblGrid>
      <w:tr>
        <w:trPr>
          <w:trHeight w:val="365" w:hRule="atLeast"/>
        </w:trPr>
        <w:tc>
          <w:tcPr>
            <w:tcW w:w="4546" w:type="dxa"/>
            <w:gridSpan w:val="2"/>
            <w:tcBorders>
              <w:left w:val="nil"/>
              <w:bottom w:val="single" w:sz="4" w:space="0" w:color="000000"/>
              <w:right w:val="single" w:sz="4" w:space="0" w:color="000000"/>
            </w:tcBorders>
          </w:tcPr>
          <w:p>
            <w:pPr>
              <w:pStyle w:val="TableParagraph"/>
              <w:spacing w:before="66"/>
              <w:ind w:left="1508"/>
              <w:rPr>
                <w:b/>
                <w:sz w:val="20"/>
              </w:rPr>
            </w:pPr>
            <w:r>
              <w:rPr>
                <w:b/>
                <w:sz w:val="20"/>
              </w:rPr>
              <w:t>Crash Occurrence</w:t>
            </w:r>
          </w:p>
        </w:tc>
        <w:tc>
          <w:tcPr>
            <w:tcW w:w="4537" w:type="dxa"/>
            <w:gridSpan w:val="2"/>
            <w:tcBorders>
              <w:left w:val="single" w:sz="4" w:space="0" w:color="000000"/>
              <w:bottom w:val="single" w:sz="4" w:space="0" w:color="000000"/>
              <w:right w:val="nil"/>
            </w:tcBorders>
          </w:tcPr>
          <w:p>
            <w:pPr>
              <w:pStyle w:val="TableParagraph"/>
              <w:spacing w:before="66"/>
              <w:ind w:left="1621" w:right="1598"/>
              <w:jc w:val="center"/>
              <w:rPr>
                <w:b/>
                <w:sz w:val="20"/>
              </w:rPr>
            </w:pPr>
            <w:r>
              <w:rPr>
                <w:b/>
                <w:sz w:val="20"/>
              </w:rPr>
              <w:t>Crash Severity</w:t>
            </w:r>
          </w:p>
        </w:tc>
      </w:tr>
      <w:tr>
        <w:trPr>
          <w:trHeight w:val="448" w:hRule="atLeast"/>
        </w:trPr>
        <w:tc>
          <w:tcPr>
            <w:tcW w:w="2136" w:type="dxa"/>
            <w:tcBorders>
              <w:top w:val="single" w:sz="4" w:space="0" w:color="000000"/>
              <w:left w:val="nil"/>
              <w:right w:val="single" w:sz="4" w:space="0" w:color="000000"/>
            </w:tcBorders>
          </w:tcPr>
          <w:p>
            <w:pPr>
              <w:pStyle w:val="TableParagraph"/>
              <w:spacing w:before="108"/>
              <w:ind w:left="137"/>
              <w:rPr>
                <w:b/>
                <w:sz w:val="20"/>
              </w:rPr>
            </w:pPr>
            <w:r>
              <w:rPr>
                <w:b/>
                <w:sz w:val="20"/>
              </w:rPr>
              <w:t>Model 5 - Segment</w:t>
            </w:r>
          </w:p>
        </w:tc>
        <w:tc>
          <w:tcPr>
            <w:tcW w:w="2410" w:type="dxa"/>
            <w:tcBorders>
              <w:top w:val="single" w:sz="4" w:space="0" w:color="000000"/>
              <w:left w:val="single" w:sz="4" w:space="0" w:color="000000"/>
              <w:right w:val="single" w:sz="4" w:space="0" w:color="000000"/>
            </w:tcBorders>
          </w:tcPr>
          <w:p>
            <w:pPr>
              <w:pStyle w:val="TableParagraph"/>
              <w:spacing w:before="108"/>
              <w:ind w:left="118"/>
              <w:rPr>
                <w:b/>
                <w:sz w:val="20"/>
              </w:rPr>
            </w:pPr>
            <w:r>
              <w:rPr>
                <w:b/>
                <w:sz w:val="20"/>
              </w:rPr>
              <w:t>Model 6 - Intersection</w:t>
            </w:r>
          </w:p>
        </w:tc>
        <w:tc>
          <w:tcPr>
            <w:tcW w:w="2127" w:type="dxa"/>
            <w:tcBorders>
              <w:top w:val="single" w:sz="4" w:space="0" w:color="000000"/>
              <w:left w:val="single" w:sz="4" w:space="0" w:color="000000"/>
              <w:right w:val="single" w:sz="4" w:space="0" w:color="000000"/>
            </w:tcBorders>
          </w:tcPr>
          <w:p>
            <w:pPr>
              <w:pStyle w:val="TableParagraph"/>
              <w:spacing w:before="108"/>
              <w:ind w:left="117"/>
              <w:rPr>
                <w:b/>
                <w:sz w:val="20"/>
              </w:rPr>
            </w:pPr>
            <w:r>
              <w:rPr>
                <w:b/>
                <w:sz w:val="20"/>
              </w:rPr>
              <w:t>Model 7 - Segment</w:t>
            </w:r>
          </w:p>
        </w:tc>
        <w:tc>
          <w:tcPr>
            <w:tcW w:w="2410" w:type="dxa"/>
            <w:tcBorders>
              <w:top w:val="single" w:sz="4" w:space="0" w:color="000000"/>
              <w:left w:val="single" w:sz="4" w:space="0" w:color="000000"/>
              <w:right w:val="nil"/>
            </w:tcBorders>
          </w:tcPr>
          <w:p>
            <w:pPr>
              <w:pStyle w:val="TableParagraph"/>
              <w:spacing w:before="108"/>
              <w:ind w:left="117"/>
              <w:rPr>
                <w:b/>
                <w:sz w:val="20"/>
              </w:rPr>
            </w:pPr>
            <w:r>
              <w:rPr>
                <w:b/>
                <w:sz w:val="20"/>
              </w:rPr>
              <w:t>Model 8 - Intersection</w:t>
            </w:r>
          </w:p>
        </w:tc>
      </w:tr>
      <w:tr>
        <w:trPr>
          <w:trHeight w:val="459" w:hRule="atLeast"/>
        </w:trPr>
        <w:tc>
          <w:tcPr>
            <w:tcW w:w="2136" w:type="dxa"/>
            <w:tcBorders>
              <w:left w:val="nil"/>
              <w:bottom w:val="single" w:sz="4" w:space="0" w:color="000000"/>
              <w:right w:val="single" w:sz="4" w:space="0" w:color="000000"/>
            </w:tcBorders>
          </w:tcPr>
          <w:p>
            <w:pPr>
              <w:pStyle w:val="TableParagraph"/>
              <w:spacing w:before="112"/>
              <w:ind w:left="137"/>
              <w:rPr>
                <w:sz w:val="20"/>
              </w:rPr>
            </w:pPr>
            <w:r>
              <w:rPr>
                <w:sz w:val="20"/>
              </w:rPr>
              <w:t>Presence of crossing</w:t>
            </w:r>
          </w:p>
        </w:tc>
        <w:tc>
          <w:tcPr>
            <w:tcW w:w="2410" w:type="dxa"/>
            <w:tcBorders>
              <w:left w:val="single" w:sz="4" w:space="0" w:color="000000"/>
              <w:bottom w:val="single" w:sz="4" w:space="0" w:color="000000"/>
              <w:right w:val="single" w:sz="4" w:space="0" w:color="000000"/>
            </w:tcBorders>
          </w:tcPr>
          <w:p>
            <w:pPr>
              <w:pStyle w:val="TableParagraph"/>
              <w:spacing w:line="227" w:lineRule="exact"/>
              <w:ind w:left="118"/>
              <w:rPr>
                <w:sz w:val="20"/>
              </w:rPr>
            </w:pPr>
            <w:r>
              <w:rPr>
                <w:sz w:val="20"/>
              </w:rPr>
              <w:t>Bicycles per day</w:t>
            </w:r>
          </w:p>
          <w:p>
            <w:pPr>
              <w:pStyle w:val="TableParagraph"/>
              <w:spacing w:line="212" w:lineRule="exact"/>
              <w:ind w:left="118"/>
              <w:rPr>
                <w:sz w:val="20"/>
              </w:rPr>
            </w:pPr>
            <w:r>
              <w:rPr>
                <w:sz w:val="20"/>
              </w:rPr>
              <w:t>(STRAVA)</w:t>
            </w:r>
          </w:p>
        </w:tc>
        <w:tc>
          <w:tcPr>
            <w:tcW w:w="2127" w:type="dxa"/>
            <w:tcBorders>
              <w:left w:val="single" w:sz="4" w:space="0" w:color="000000"/>
              <w:bottom w:val="single" w:sz="4" w:space="0" w:color="000000"/>
              <w:right w:val="single" w:sz="4" w:space="0" w:color="000000"/>
            </w:tcBorders>
          </w:tcPr>
          <w:p>
            <w:pPr>
              <w:pStyle w:val="TableParagraph"/>
              <w:spacing w:line="227" w:lineRule="exact"/>
              <w:ind w:left="117"/>
              <w:rPr>
                <w:sz w:val="20"/>
              </w:rPr>
            </w:pPr>
            <w:r>
              <w:rPr>
                <w:sz w:val="20"/>
              </w:rPr>
              <w:t>Cross combination type</w:t>
            </w:r>
          </w:p>
          <w:p>
            <w:pPr>
              <w:pStyle w:val="TableParagraph"/>
              <w:spacing w:line="212" w:lineRule="exact"/>
              <w:ind w:left="117"/>
              <w:rPr>
                <w:sz w:val="20"/>
              </w:rPr>
            </w:pPr>
            <w:r>
              <w:rPr>
                <w:sz w:val="20"/>
              </w:rPr>
              <w:t>B (type A is base)</w:t>
            </w:r>
          </w:p>
        </w:tc>
        <w:tc>
          <w:tcPr>
            <w:tcW w:w="2410" w:type="dxa"/>
            <w:tcBorders>
              <w:left w:val="single" w:sz="4" w:space="0" w:color="000000"/>
              <w:bottom w:val="single" w:sz="4" w:space="0" w:color="000000"/>
              <w:right w:val="nil"/>
            </w:tcBorders>
          </w:tcPr>
          <w:p>
            <w:pPr>
              <w:pStyle w:val="TableParagraph"/>
              <w:spacing w:line="227" w:lineRule="exact"/>
              <w:ind w:left="117"/>
              <w:rPr>
                <w:sz w:val="20"/>
              </w:rPr>
            </w:pPr>
            <w:r>
              <w:rPr>
                <w:sz w:val="20"/>
              </w:rPr>
              <w:t>Total population density</w:t>
            </w:r>
          </w:p>
          <w:p>
            <w:pPr>
              <w:pStyle w:val="TableParagraph"/>
              <w:spacing w:line="212" w:lineRule="exact"/>
              <w:ind w:left="117"/>
              <w:rPr>
                <w:sz w:val="20"/>
              </w:rPr>
            </w:pPr>
            <w:r>
              <w:rPr>
                <w:sz w:val="20"/>
              </w:rPr>
              <w:t>(per square mile)</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spacing w:before="113"/>
              <w:ind w:left="137"/>
              <w:rPr>
                <w:sz w:val="20"/>
              </w:rPr>
            </w:pPr>
            <w:r>
              <w:rPr>
                <w:sz w:val="20"/>
              </w:rPr>
              <w:t>AADT (2014)</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8" w:right="162"/>
              <w:rPr>
                <w:sz w:val="20"/>
              </w:rPr>
            </w:pPr>
            <w:r>
              <w:rPr>
                <w:sz w:val="20"/>
              </w:rPr>
              <w:t>Number of transit lines go through the intersection</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7" w:right="80"/>
              <w:rPr>
                <w:sz w:val="20"/>
              </w:rPr>
            </w:pPr>
            <w:r>
              <w:rPr>
                <w:sz w:val="20"/>
              </w:rPr>
              <w:t>Cross combination type C (type A is base)</w:t>
            </w:r>
          </w:p>
        </w:tc>
        <w:tc>
          <w:tcPr>
            <w:tcW w:w="2410" w:type="dxa"/>
            <w:tcBorders>
              <w:top w:val="single" w:sz="4" w:space="0" w:color="000000"/>
              <w:left w:val="single" w:sz="4" w:space="0" w:color="000000"/>
              <w:bottom w:val="single" w:sz="4" w:space="0" w:color="000000"/>
              <w:right w:val="nil"/>
            </w:tcBorders>
          </w:tcPr>
          <w:p>
            <w:pPr>
              <w:pStyle w:val="TableParagraph"/>
              <w:spacing w:line="230" w:lineRule="exact"/>
              <w:ind w:left="117" w:right="401"/>
              <w:rPr>
                <w:sz w:val="20"/>
              </w:rPr>
            </w:pPr>
            <w:r>
              <w:rPr>
                <w:sz w:val="20"/>
              </w:rPr>
              <w:t>Household density (per acre)</w:t>
            </w:r>
          </w:p>
        </w:tc>
      </w:tr>
      <w:tr>
        <w:trPr>
          <w:trHeight w:val="689" w:hRule="atLeast"/>
        </w:trPr>
        <w:tc>
          <w:tcPr>
            <w:tcW w:w="2136" w:type="dxa"/>
            <w:tcBorders>
              <w:top w:val="single" w:sz="4" w:space="0" w:color="000000"/>
              <w:left w:val="nil"/>
              <w:bottom w:val="single" w:sz="4" w:space="0" w:color="000000"/>
              <w:right w:val="single" w:sz="4" w:space="0" w:color="000000"/>
            </w:tcBorders>
          </w:tcPr>
          <w:p>
            <w:pPr>
              <w:pStyle w:val="TableParagraph"/>
              <w:ind w:left="137" w:right="452"/>
              <w:rPr>
                <w:sz w:val="20"/>
              </w:rPr>
            </w:pPr>
            <w:r>
              <w:rPr>
                <w:sz w:val="20"/>
              </w:rPr>
              <w:t>3-Leg intersection density (per square</w:t>
            </w:r>
          </w:p>
          <w:p>
            <w:pPr>
              <w:pStyle w:val="TableParagraph"/>
              <w:spacing w:line="212" w:lineRule="exact"/>
              <w:ind w:left="137"/>
              <w:rPr>
                <w:sz w:val="20"/>
              </w:rPr>
            </w:pPr>
            <w:r>
              <w:rPr>
                <w:sz w:val="20"/>
              </w:rPr>
              <w:t>mile)</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ight="401"/>
              <w:rPr>
                <w:sz w:val="20"/>
              </w:rPr>
            </w:pPr>
            <w:r>
              <w:rPr>
                <w:sz w:val="20"/>
              </w:rPr>
              <w:t>Minor road. Functional class</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before="112"/>
              <w:ind w:left="117" w:right="81" w:hanging="1"/>
              <w:rPr>
                <w:sz w:val="20"/>
              </w:rPr>
            </w:pPr>
            <w:r>
              <w:rPr>
                <w:sz w:val="20"/>
              </w:rPr>
              <w:t>Cross combination type N (type A is base)</w:t>
            </w:r>
          </w:p>
        </w:tc>
        <w:tc>
          <w:tcPr>
            <w:tcW w:w="2410" w:type="dxa"/>
            <w:tcBorders>
              <w:top w:val="single" w:sz="4" w:space="0" w:color="000000"/>
              <w:left w:val="single" w:sz="4" w:space="0" w:color="000000"/>
              <w:bottom w:val="single" w:sz="4" w:space="0" w:color="000000"/>
              <w:right w:val="nil"/>
            </w:tcBorders>
          </w:tcPr>
          <w:p>
            <w:pPr>
              <w:pStyle w:val="TableParagraph"/>
              <w:spacing w:before="8"/>
              <w:rPr>
                <w:b/>
                <w:sz w:val="19"/>
              </w:rPr>
            </w:pPr>
          </w:p>
          <w:p>
            <w:pPr>
              <w:pStyle w:val="TableParagraph"/>
              <w:ind w:left="117"/>
              <w:rPr>
                <w:sz w:val="20"/>
              </w:rPr>
            </w:pPr>
            <w:r>
              <w:rPr>
                <w:sz w:val="20"/>
              </w:rPr>
              <w:t>Household size</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spacing w:line="230" w:lineRule="exact"/>
              <w:ind w:left="137" w:right="874"/>
              <w:rPr>
                <w:sz w:val="20"/>
              </w:rPr>
            </w:pPr>
            <w:r>
              <w:rPr>
                <w:sz w:val="20"/>
              </w:rPr>
              <w:t>Bikes per day (STRAVA)</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8" w:right="384"/>
              <w:rPr>
                <w:sz w:val="20"/>
              </w:rPr>
            </w:pPr>
            <w:r>
              <w:rPr>
                <w:sz w:val="20"/>
              </w:rPr>
              <w:t>Minor road. Number of total traffic lanes</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7" w:right="502"/>
              <w:rPr>
                <w:sz w:val="20"/>
              </w:rPr>
            </w:pPr>
            <w:r>
              <w:rPr>
                <w:sz w:val="20"/>
              </w:rPr>
              <w:t>Width of sidewalk buffer</w:t>
            </w:r>
          </w:p>
        </w:tc>
        <w:tc>
          <w:tcPr>
            <w:tcW w:w="2410" w:type="dxa"/>
            <w:tcBorders>
              <w:top w:val="single" w:sz="4" w:space="0" w:color="000000"/>
              <w:left w:val="single" w:sz="4" w:space="0" w:color="000000"/>
              <w:bottom w:val="single" w:sz="4" w:space="0" w:color="000000"/>
              <w:right w:val="nil"/>
            </w:tcBorders>
          </w:tcPr>
          <w:p>
            <w:pPr>
              <w:pStyle w:val="TableParagraph"/>
              <w:spacing w:line="230" w:lineRule="exact"/>
              <w:ind w:left="117" w:right="335"/>
              <w:rPr>
                <w:sz w:val="20"/>
              </w:rPr>
            </w:pPr>
            <w:r>
              <w:rPr>
                <w:sz w:val="20"/>
              </w:rPr>
              <w:t>Minor road, Presence of right turn lanes</w:t>
            </w:r>
          </w:p>
        </w:tc>
      </w:tr>
      <w:tr>
        <w:trPr>
          <w:trHeight w:val="460" w:hRule="atLeast"/>
        </w:trPr>
        <w:tc>
          <w:tcPr>
            <w:tcW w:w="2136" w:type="dxa"/>
            <w:tcBorders>
              <w:top w:val="single" w:sz="4" w:space="0" w:color="000000"/>
              <w:left w:val="nil"/>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bottom w:val="single" w:sz="4" w:space="0" w:color="000000"/>
              <w:right w:val="nil"/>
            </w:tcBorders>
          </w:tcPr>
          <w:p>
            <w:pPr>
              <w:pStyle w:val="TableParagraph"/>
              <w:spacing w:line="227" w:lineRule="exact"/>
              <w:ind w:left="117"/>
              <w:rPr>
                <w:sz w:val="20"/>
              </w:rPr>
            </w:pPr>
            <w:r>
              <w:rPr>
                <w:sz w:val="20"/>
              </w:rPr>
              <w:t>Major road. Presence of</w:t>
            </w:r>
          </w:p>
          <w:p>
            <w:pPr>
              <w:pStyle w:val="TableParagraph"/>
              <w:spacing w:line="213" w:lineRule="exact"/>
              <w:ind w:left="117"/>
              <w:rPr>
                <w:sz w:val="20"/>
              </w:rPr>
            </w:pPr>
            <w:r>
              <w:rPr>
                <w:sz w:val="20"/>
              </w:rPr>
              <w:t>left turn lanes</w:t>
            </w:r>
          </w:p>
        </w:tc>
      </w:tr>
      <w:tr>
        <w:trPr>
          <w:trHeight w:val="459" w:hRule="atLeast"/>
        </w:trPr>
        <w:tc>
          <w:tcPr>
            <w:tcW w:w="2136" w:type="dxa"/>
            <w:tcBorders>
              <w:top w:val="single" w:sz="4" w:space="0" w:color="000000"/>
              <w:left w:val="nil"/>
              <w:right w:val="single" w:sz="4" w:space="0" w:color="000000"/>
            </w:tcBorders>
          </w:tcPr>
          <w:p>
            <w:pPr>
              <w:pStyle w:val="TableParagraph"/>
              <w:rPr>
                <w:sz w:val="20"/>
              </w:rPr>
            </w:pPr>
          </w:p>
        </w:tc>
        <w:tc>
          <w:tcPr>
            <w:tcW w:w="2410" w:type="dxa"/>
            <w:tcBorders>
              <w:top w:val="single" w:sz="4" w:space="0" w:color="000000"/>
              <w:left w:val="single" w:sz="4" w:space="0" w:color="000000"/>
              <w:right w:val="single" w:sz="4" w:space="0" w:color="000000"/>
            </w:tcBorders>
          </w:tcPr>
          <w:p>
            <w:pPr>
              <w:pStyle w:val="TableParagraph"/>
              <w:rPr>
                <w:sz w:val="20"/>
              </w:rPr>
            </w:pPr>
          </w:p>
        </w:tc>
        <w:tc>
          <w:tcPr>
            <w:tcW w:w="2127" w:type="dxa"/>
            <w:tcBorders>
              <w:top w:val="single" w:sz="4" w:space="0" w:color="000000"/>
              <w:left w:val="single" w:sz="4" w:space="0" w:color="000000"/>
              <w:right w:val="single" w:sz="4" w:space="0" w:color="000000"/>
            </w:tcBorders>
          </w:tcPr>
          <w:p>
            <w:pPr>
              <w:pStyle w:val="TableParagraph"/>
              <w:rPr>
                <w:sz w:val="20"/>
              </w:rPr>
            </w:pPr>
          </w:p>
        </w:tc>
        <w:tc>
          <w:tcPr>
            <w:tcW w:w="2410" w:type="dxa"/>
            <w:tcBorders>
              <w:top w:val="single" w:sz="4" w:space="0" w:color="000000"/>
              <w:left w:val="single" w:sz="4" w:space="0" w:color="000000"/>
              <w:right w:val="nil"/>
            </w:tcBorders>
          </w:tcPr>
          <w:p>
            <w:pPr>
              <w:pStyle w:val="TableParagraph"/>
              <w:spacing w:line="227" w:lineRule="exact"/>
              <w:ind w:left="117"/>
              <w:rPr>
                <w:sz w:val="20"/>
              </w:rPr>
            </w:pPr>
            <w:r>
              <w:rPr>
                <w:sz w:val="20"/>
              </w:rPr>
              <w:t>Minor road. Presence of</w:t>
            </w:r>
          </w:p>
          <w:p>
            <w:pPr>
              <w:pStyle w:val="TableParagraph"/>
              <w:spacing w:line="212" w:lineRule="exact"/>
              <w:ind w:left="117"/>
              <w:rPr>
                <w:sz w:val="20"/>
              </w:rPr>
            </w:pPr>
            <w:r>
              <w:rPr>
                <w:sz w:val="20"/>
              </w:rPr>
              <w:t>left turn lanes</w:t>
            </w:r>
          </w:p>
        </w:tc>
      </w:tr>
    </w:tbl>
    <w:p>
      <w:pPr>
        <w:spacing w:after="0" w:line="212" w:lineRule="exact"/>
        <w:rPr>
          <w:sz w:val="20"/>
        </w:rPr>
        <w:sectPr>
          <w:pgSz w:w="12240" w:h="15840"/>
          <w:pgMar w:header="0" w:footer="709" w:top="920" w:bottom="980" w:left="1120" w:right="0"/>
        </w:sectPr>
      </w:pPr>
    </w:p>
    <w:p>
      <w:pPr>
        <w:pStyle w:val="BodyText"/>
        <w:spacing w:before="4"/>
        <w:rPr>
          <w:sz w:val="17"/>
        </w:rPr>
      </w:pPr>
    </w:p>
    <w:p>
      <w:pPr>
        <w:spacing w:after="0"/>
        <w:rPr>
          <w:sz w:val="17"/>
        </w:rPr>
        <w:sectPr>
          <w:pgSz w:w="12240" w:h="15840"/>
          <w:pgMar w:header="0" w:footer="709" w:top="1500" w:bottom="900" w:left="1120" w:right="0"/>
        </w:sectPr>
      </w:pPr>
    </w:p>
    <w:p>
      <w:pPr>
        <w:pStyle w:val="Heading2"/>
        <w:numPr>
          <w:ilvl w:val="1"/>
          <w:numId w:val="31"/>
        </w:numPr>
        <w:tabs>
          <w:tab w:pos="3671" w:val="left" w:leader="none"/>
          <w:tab w:pos="3672" w:val="left" w:leader="none"/>
        </w:tabs>
        <w:spacing w:line="240" w:lineRule="auto" w:before="75" w:after="0"/>
        <w:ind w:left="3671" w:right="0" w:hanging="720"/>
        <w:jc w:val="left"/>
      </w:pPr>
      <w:bookmarkStart w:name="_TOC_250016" w:id="247"/>
      <w:bookmarkStart w:name="7.0 RISK-SCORING TOOL" w:id="248"/>
      <w:r>
        <w:rPr>
          <w:b w:val="0"/>
        </w:rPr>
      </w:r>
      <w:bookmarkEnd w:id="248"/>
      <w:bookmarkStart w:name="7.0 RISK-SCORING TOOL" w:id="249"/>
      <w:r>
        <w:rPr/>
        <w:t>R</w:t>
      </w:r>
      <w:r>
        <w:rPr/>
        <w:t>ISK-SCORING</w:t>
      </w:r>
      <w:r>
        <w:rPr>
          <w:spacing w:val="-6"/>
        </w:rPr>
        <w:t> </w:t>
      </w:r>
      <w:bookmarkEnd w:id="247"/>
      <w:r>
        <w:rPr>
          <w:spacing w:val="-3"/>
        </w:rPr>
        <w:t>TOOL</w:t>
      </w:r>
    </w:p>
    <w:p>
      <w:pPr>
        <w:pStyle w:val="BodyText"/>
        <w:spacing w:before="6"/>
        <w:rPr>
          <w:b/>
          <w:sz w:val="41"/>
        </w:rPr>
      </w:pPr>
    </w:p>
    <w:p>
      <w:pPr>
        <w:pStyle w:val="BodyText"/>
        <w:ind w:left="319" w:right="1682"/>
      </w:pPr>
      <w:r>
        <w:rPr/>
        <w:t>This chapter describes the risk-scoring tool for pedestrians and bicycles at segments and intersections (four scoring tools in total) that was created using the crash occurrence models. This chapter first presents the method used to create the actual risk scores, and then each of the risk-score tables is presented. The risk-scoring method was applied to all segments and intersections in the modeling dataset. The method is applied to the entire modeling set and a distribution of the risk scores is presented.</w:t>
      </w:r>
    </w:p>
    <w:p>
      <w:pPr>
        <w:pStyle w:val="BodyText"/>
        <w:spacing w:before="2"/>
        <w:rPr>
          <w:sz w:val="21"/>
        </w:rPr>
      </w:pPr>
    </w:p>
    <w:p>
      <w:pPr>
        <w:pStyle w:val="Heading3"/>
        <w:numPr>
          <w:ilvl w:val="1"/>
          <w:numId w:val="31"/>
        </w:numPr>
        <w:tabs>
          <w:tab w:pos="1039" w:val="left" w:leader="none"/>
          <w:tab w:pos="1040" w:val="left" w:leader="none"/>
        </w:tabs>
        <w:spacing w:line="240" w:lineRule="auto" w:before="1" w:after="0"/>
        <w:ind w:left="1039" w:right="0" w:hanging="719"/>
        <w:jc w:val="left"/>
      </w:pPr>
      <w:bookmarkStart w:name="_TOC_250015" w:id="250"/>
      <w:bookmarkStart w:name="7.1 METHOD TO DEVELOP RISK SCORE" w:id="251"/>
      <w:r>
        <w:rPr>
          <w:b w:val="0"/>
        </w:rPr>
      </w:r>
      <w:bookmarkEnd w:id="251"/>
      <w:bookmarkStart w:name="7.1 METHOD TO DEVELOP RISK SCORE" w:id="252"/>
      <w:r>
        <w:rPr/>
        <w:t>M</w:t>
      </w:r>
      <w:r>
        <w:rPr/>
        <w:t>ETHOD TO DEVELOP RISK</w:t>
      </w:r>
      <w:r>
        <w:rPr>
          <w:spacing w:val="-3"/>
        </w:rPr>
        <w:t> </w:t>
      </w:r>
      <w:bookmarkEnd w:id="250"/>
      <w:r>
        <w:rPr/>
        <w:t>SCORE</w:t>
      </w:r>
    </w:p>
    <w:p>
      <w:pPr>
        <w:pStyle w:val="BodyText"/>
        <w:spacing w:before="236"/>
        <w:ind w:left="320" w:right="1441"/>
      </w:pPr>
      <w:r>
        <w:rPr/>
        <w:t>The results of the logit occurrence models (crash / no crash) were used to develop the risk scores. The purpose of developing a risk score is to assign a value that can be used to prioritize locations with increased or elevated risk. Risk is defined as a probability or threat of damage, injury, liability, loss, or any other negative occurrence that is caused by external or internal vulnerabilities, and that may be avoided through preemptive actions. Thus, the risk scores include both elements of exposure and likely outcomes. For each score matrix, the maximum</w:t>
      </w:r>
      <w:r>
        <w:rPr>
          <w:spacing w:val="-20"/>
        </w:rPr>
        <w:t> </w:t>
      </w:r>
      <w:r>
        <w:rPr/>
        <w:t>risk score is set to</w:t>
      </w:r>
      <w:r>
        <w:rPr>
          <w:spacing w:val="-2"/>
        </w:rPr>
        <w:t> </w:t>
      </w:r>
      <w:r>
        <w:rPr/>
        <w:t>100.</w:t>
      </w:r>
    </w:p>
    <w:p>
      <w:pPr>
        <w:pStyle w:val="BodyText"/>
        <w:spacing w:before="10"/>
        <w:rPr>
          <w:sz w:val="20"/>
        </w:rPr>
      </w:pPr>
    </w:p>
    <w:p>
      <w:pPr>
        <w:pStyle w:val="BodyText"/>
        <w:ind w:left="320" w:right="1469"/>
      </w:pPr>
      <w:r>
        <w:rPr/>
        <w:t>To convert the model results to a risk score, the research team used the odds ratio. A higher odds ratio indicates that there is a higher probability of having crashes in the segment. Before calculating risk scores it is necessary to transform the “base condition” to the condition with minimum odds ratio in order to make all risk scores positive. We then assign each variable a component of the risk score based on the overall contribution. For ease of use in the calculation tool, levels or categories are created for continuous variables. This method is demonstrated using the pedestrian segment model.</w:t>
      </w:r>
    </w:p>
    <w:p>
      <w:pPr>
        <w:pStyle w:val="BodyText"/>
        <w:spacing w:before="10"/>
        <w:rPr>
          <w:sz w:val="20"/>
        </w:rPr>
      </w:pPr>
    </w:p>
    <w:p>
      <w:pPr>
        <w:pStyle w:val="BodyText"/>
        <w:ind w:left="319" w:right="1480"/>
      </w:pPr>
      <w:r>
        <w:rPr>
          <w:i/>
        </w:rPr>
        <w:t>Step 1: Calculate internal weights for categorical variables</w:t>
      </w:r>
      <w:r>
        <w:rPr/>
        <w:t>. For categorical variables, the value with a coefficient 0 is considered as the base condition in the model. We need to transform the base condition to the level with the lowest odds ratio in order to make all ratios larger than 1. For example, in Table 7-1 “Traffic Direction,” the lowest odds ratio is from level “Two-Way.” When the level “Two-Way” is selected as the new base condition, a transformed odds ratio will be calculated. The new odds ratio of “one-way traffic” is 1/0.2755=3.6292, which indicates that the probability of having pedestrian crashes on a one-way segment would be 3.6 times more than the two-way segments when the other variable</w:t>
      </w:r>
      <w:r>
        <w:rPr>
          <w:spacing w:val="-3"/>
        </w:rPr>
        <w:t> </w:t>
      </w:r>
      <w:r>
        <w:rPr/>
        <w:t>holds.</w:t>
      </w:r>
    </w:p>
    <w:p>
      <w:pPr>
        <w:pStyle w:val="BodyText"/>
        <w:spacing w:before="4"/>
        <w:rPr>
          <w:sz w:val="21"/>
        </w:rPr>
      </w:pPr>
    </w:p>
    <w:p>
      <w:pPr>
        <w:pStyle w:val="BodyText"/>
        <w:spacing w:line="232" w:lineRule="auto"/>
        <w:ind w:left="319" w:right="1475"/>
      </w:pPr>
      <w:r>
        <w:rPr>
          <w:i/>
        </w:rPr>
        <w:t>Step 2: Select levels of continuous variables, calculate the internal weight</w:t>
      </w:r>
      <w:r>
        <w:rPr/>
        <w:t>. Continuous variables are assigned levels for convenience. The level breaks are based on the underlying data distribution of the modeling dataset. First, the median value of the variable is used to calculate the odds ratio for each level. For example, the total population density variable was divided into five categories: 1-1000, 1001-3000, 3001-5000, 5001-7000 and &gt;7000. Similar to categorical variables, the odds ratio of increasing one unit of total population density when other variables hol</w:t>
      </w:r>
      <w:r>
        <w:rPr>
          <w:w w:val="99"/>
        </w:rPr>
        <w:t>ds</w:t>
      </w:r>
      <w:r>
        <w:rPr/>
        <w:t> i</w:t>
      </w:r>
      <w:r>
        <w:rPr>
          <w:w w:val="99"/>
        </w:rPr>
        <w:t>s</w:t>
      </w:r>
      <w:r>
        <w:rPr/>
        <w:t> </w:t>
      </w:r>
      <w:r>
        <w:rPr>
          <w:rFonts w:ascii="Cambria Math" w:hAnsi="Cambria Math" w:eastAsia="Cambria Math"/>
          <w:w w:val="37"/>
        </w:rPr>
        <w:t>𝐵𝐵</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w:t>
      </w:r>
      <w:r>
        <w:rPr>
          <w:rFonts w:ascii="Cambria Math" w:hAnsi="Cambria Math" w:eastAsia="Cambria Math"/>
          <w:position w:val="9"/>
          <w:sz w:val="17"/>
        </w:rPr>
        <w:t>  </w:t>
      </w:r>
      <w:r>
        <w:rPr>
          <w:rFonts w:ascii="Cambria Math" w:hAnsi="Cambria Math" w:eastAsia="Cambria Math"/>
        </w:rPr>
        <w:t>= 1.00024</w:t>
      </w:r>
      <w:r>
        <w:rPr/>
        <w:t>, </w:t>
      </w:r>
      <w:r>
        <w:rPr>
          <w:w w:val="99"/>
        </w:rPr>
        <w:t>w</w:t>
      </w:r>
      <w:r>
        <w:rPr/>
        <w:t>hich indicate</w:t>
      </w:r>
      <w:r>
        <w:rPr>
          <w:w w:val="99"/>
        </w:rPr>
        <w:t>s</w:t>
      </w:r>
      <w:r>
        <w:rPr/>
        <w:t> that the logit difference </w:t>
      </w:r>
      <w:r>
        <w:rPr>
          <w:w w:val="99"/>
        </w:rPr>
        <w:t>w</w:t>
      </w:r>
      <w:r>
        <w:rPr/>
        <w:t>ould be 1.00024 compared to the density is 0. In level 1-1000, a median 500 is used to calculate the odds ratio, meaning that the logit difference i</w:t>
      </w:r>
      <w:r>
        <w:rPr>
          <w:w w:val="99"/>
        </w:rPr>
        <w:t>s</w:t>
      </w:r>
      <w:r>
        <w:rPr/>
        <w:t> </w:t>
      </w:r>
      <w:r>
        <w:rPr>
          <w:rFonts w:ascii="Cambria Math" w:hAnsi="Cambria Math" w:eastAsia="Cambria Math"/>
          <w:w w:val="37"/>
        </w:rPr>
        <w:t>𝐵𝐵</w:t>
      </w:r>
      <w:r>
        <w:rPr>
          <w:rFonts w:ascii="Cambria Math" w:hAnsi="Cambria Math" w:eastAsia="Cambria Math"/>
          <w:w w:val="104"/>
          <w:position w:val="9"/>
          <w:sz w:val="17"/>
        </w:rPr>
        <w:t>500</w:t>
      </w:r>
      <w:r>
        <w:rPr>
          <w:rFonts w:ascii="Cambria Math" w:hAnsi="Cambria Math" w:eastAsia="Cambria Math"/>
          <w:w w:val="100"/>
          <w:position w:val="9"/>
          <w:sz w:val="17"/>
        </w:rPr>
        <w:t>∗</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w:t>
      </w:r>
      <w:r>
        <w:rPr>
          <w:rFonts w:ascii="Cambria Math" w:hAnsi="Cambria Math" w:eastAsia="Cambria Math"/>
          <w:position w:val="9"/>
          <w:sz w:val="17"/>
        </w:rPr>
        <w:t>  </w:t>
      </w:r>
      <w:r>
        <w:rPr>
          <w:rFonts w:ascii="Cambria Math" w:hAnsi="Cambria Math" w:eastAsia="Cambria Math"/>
        </w:rPr>
        <w:t>= 1.13 </w:t>
      </w:r>
      <w:r>
        <w:rPr/>
        <w:t>compared to the de</w:t>
      </w:r>
      <w:r>
        <w:rPr>
          <w:w w:val="99"/>
        </w:rPr>
        <w:t>ns</w:t>
      </w:r>
      <w:r>
        <w:rPr/>
        <w:t>ity i</w:t>
      </w:r>
      <w:r>
        <w:rPr>
          <w:w w:val="99"/>
        </w:rPr>
        <w:t>s</w:t>
      </w:r>
      <w:r>
        <w:rPr/>
        <w:t> 0. </w:t>
      </w:r>
      <w:r>
        <w:rPr>
          <w:w w:val="99"/>
        </w:rPr>
        <w:t>S</w:t>
      </w:r>
      <w:r>
        <w:rPr/>
        <w:t>imilarly, the odds ratio of level 1001-3000 i</w:t>
      </w:r>
      <w:r>
        <w:rPr>
          <w:w w:val="99"/>
        </w:rPr>
        <w:t>s</w:t>
      </w:r>
      <w:r>
        <w:rPr/>
        <w:t> </w:t>
      </w:r>
      <w:r>
        <w:rPr>
          <w:rFonts w:ascii="Cambria Math" w:hAnsi="Cambria Math" w:eastAsia="Cambria Math"/>
          <w:w w:val="37"/>
        </w:rPr>
        <w:t>𝐵𝐵</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w:t>
      </w:r>
      <w:r>
        <w:rPr>
          <w:rFonts w:ascii="Cambria Math" w:hAnsi="Cambria Math" w:eastAsia="Cambria Math"/>
          <w:w w:val="100"/>
          <w:position w:val="9"/>
          <w:sz w:val="17"/>
        </w:rPr>
        <w:t>∗</w:t>
      </w:r>
      <w:r>
        <w:rPr>
          <w:rFonts w:ascii="Cambria Math" w:hAnsi="Cambria Math" w:eastAsia="Cambria Math"/>
          <w:w w:val="104"/>
          <w:position w:val="9"/>
          <w:sz w:val="17"/>
        </w:rPr>
        <w:t>2000</w:t>
      </w:r>
      <w:r>
        <w:rPr>
          <w:rFonts w:ascii="Cambria Math" w:hAnsi="Cambria Math" w:eastAsia="Cambria Math"/>
          <w:position w:val="9"/>
          <w:sz w:val="17"/>
        </w:rPr>
        <w:t>  </w:t>
      </w:r>
      <w:r>
        <w:rPr>
          <w:rFonts w:ascii="Cambria Math" w:hAnsi="Cambria Math" w:eastAsia="Cambria Math"/>
        </w:rPr>
        <w:t>= 1.62 </w:t>
      </w:r>
      <w:r>
        <w:rPr>
          <w:w w:val="99"/>
        </w:rPr>
        <w:t>us</w:t>
      </w:r>
      <w:r>
        <w:rPr/>
        <w:t>ing de</w:t>
      </w:r>
      <w:r>
        <w:rPr>
          <w:w w:val="99"/>
        </w:rPr>
        <w:t>ns</w:t>
      </w:r>
      <w:r>
        <w:rPr/>
        <w:t>ity = 2000 and the odds ratio of level 3001-5000 i</w:t>
      </w:r>
      <w:r>
        <w:rPr>
          <w:w w:val="99"/>
        </w:rPr>
        <w:t>s</w:t>
      </w:r>
      <w:r>
        <w:rPr/>
        <w:t> </w:t>
      </w:r>
      <w:r>
        <w:rPr>
          <w:rFonts w:ascii="Cambria Math" w:hAnsi="Cambria Math" w:eastAsia="Cambria Math"/>
          <w:w w:val="37"/>
        </w:rPr>
        <w:t>𝐵𝐵</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000248</w:t>
      </w:r>
      <w:r>
        <w:rPr>
          <w:rFonts w:ascii="Cambria Math" w:hAnsi="Cambria Math" w:eastAsia="Cambria Math"/>
          <w:w w:val="100"/>
          <w:position w:val="9"/>
          <w:sz w:val="17"/>
        </w:rPr>
        <w:t>∗</w:t>
      </w:r>
      <w:r>
        <w:rPr>
          <w:rFonts w:ascii="Cambria Math" w:hAnsi="Cambria Math" w:eastAsia="Cambria Math"/>
          <w:w w:val="104"/>
          <w:position w:val="9"/>
          <w:sz w:val="17"/>
        </w:rPr>
        <w:t>4000</w:t>
      </w:r>
      <w:r>
        <w:rPr>
          <w:rFonts w:ascii="Cambria Math" w:hAnsi="Cambria Math" w:eastAsia="Cambria Math"/>
          <w:position w:val="9"/>
          <w:sz w:val="17"/>
        </w:rPr>
        <w:t>  </w:t>
      </w:r>
      <w:r>
        <w:rPr>
          <w:rFonts w:ascii="Cambria Math" w:hAnsi="Cambria Math" w:eastAsia="Cambria Math"/>
        </w:rPr>
        <w:t>= 2.61 </w:t>
      </w:r>
      <w:r>
        <w:rPr>
          <w:w w:val="99"/>
        </w:rPr>
        <w:t>us</w:t>
      </w:r>
      <w:r>
        <w:rPr/>
        <w:t>ing 4000. The odds ratio of level 5001-7000 i</w:t>
      </w:r>
      <w:r>
        <w:rPr>
          <w:w w:val="99"/>
        </w:rPr>
        <w:t>s</w:t>
      </w:r>
    </w:p>
    <w:p>
      <w:pPr>
        <w:spacing w:after="0" w:line="232" w:lineRule="auto"/>
        <w:sectPr>
          <w:pgSz w:w="12240" w:h="15840"/>
          <w:pgMar w:header="0" w:footer="709" w:top="1400" w:bottom="900" w:left="1120" w:right="0"/>
        </w:sectPr>
      </w:pPr>
    </w:p>
    <w:p>
      <w:pPr>
        <w:pStyle w:val="BodyText"/>
        <w:spacing w:line="235" w:lineRule="auto" w:before="78"/>
        <w:ind w:left="320" w:right="1515"/>
      </w:pPr>
      <w:r>
        <w:rPr>
          <w:rFonts w:ascii="Cambria Math" w:hAnsi="Cambria Math" w:eastAsia="Cambria Math"/>
          <w:w w:val="37"/>
        </w:rPr>
        <w:t>𝐵𝐵</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w:t>
      </w:r>
      <w:r>
        <w:rPr>
          <w:rFonts w:ascii="Cambria Math" w:hAnsi="Cambria Math" w:eastAsia="Cambria Math"/>
          <w:w w:val="100"/>
          <w:position w:val="9"/>
          <w:sz w:val="17"/>
        </w:rPr>
        <w:t>∗</w:t>
      </w:r>
      <w:r>
        <w:rPr>
          <w:rFonts w:ascii="Cambria Math" w:hAnsi="Cambria Math" w:eastAsia="Cambria Math"/>
          <w:w w:val="104"/>
          <w:position w:val="9"/>
          <w:sz w:val="17"/>
        </w:rPr>
        <w:t>6000</w:t>
      </w:r>
      <w:r>
        <w:rPr>
          <w:rFonts w:ascii="Cambria Math" w:hAnsi="Cambria Math" w:eastAsia="Cambria Math"/>
          <w:position w:val="9"/>
          <w:sz w:val="17"/>
        </w:rPr>
        <w:t>  </w:t>
      </w:r>
      <w:r>
        <w:rPr>
          <w:rFonts w:ascii="Cambria Math" w:hAnsi="Cambria Math" w:eastAsia="Cambria Math"/>
        </w:rPr>
        <w:t>= 4.22 </w:t>
      </w:r>
      <w:r>
        <w:rPr/>
        <w:t>and de</w:t>
      </w:r>
      <w:r>
        <w:rPr>
          <w:w w:val="99"/>
        </w:rPr>
        <w:t>ns</w:t>
      </w:r>
      <w:r>
        <w:rPr/>
        <w:t>ity =8000 i</w:t>
      </w:r>
      <w:r>
        <w:rPr>
          <w:w w:val="99"/>
        </w:rPr>
        <w:t>s</w:t>
      </w:r>
      <w:r>
        <w:rPr/>
        <w:t> </w:t>
      </w:r>
      <w:r>
        <w:rPr>
          <w:w w:val="99"/>
        </w:rPr>
        <w:t>us</w:t>
      </w:r>
      <w:r>
        <w:rPr/>
        <w:t>ed to calculate the odds ratio of level &gt;7000, </w:t>
      </w:r>
      <w:r>
        <w:rPr>
          <w:w w:val="99"/>
        </w:rPr>
        <w:t>w</w:t>
      </w:r>
      <w:r>
        <w:rPr/>
        <w:t>hich equal</w:t>
      </w:r>
      <w:r>
        <w:rPr>
          <w:w w:val="99"/>
        </w:rPr>
        <w:t>s</w:t>
      </w:r>
      <w:r>
        <w:rPr/>
        <w:t> to </w:t>
      </w:r>
      <w:r>
        <w:rPr>
          <w:rFonts w:ascii="Cambria Math" w:hAnsi="Cambria Math" w:eastAsia="Cambria Math"/>
          <w:w w:val="37"/>
        </w:rPr>
        <w:t>𝐵𝐵</w:t>
      </w:r>
      <w:r>
        <w:rPr>
          <w:rFonts w:ascii="Cambria Math" w:hAnsi="Cambria Math" w:eastAsia="Cambria Math"/>
          <w:w w:val="104"/>
          <w:position w:val="9"/>
          <w:sz w:val="17"/>
        </w:rPr>
        <w:t>0</w:t>
      </w:r>
      <w:r>
        <w:rPr>
          <w:rFonts w:ascii="Cambria Math" w:hAnsi="Cambria Math" w:eastAsia="Cambria Math"/>
          <w:w w:val="100"/>
          <w:position w:val="9"/>
          <w:sz w:val="17"/>
        </w:rPr>
        <w:t>.</w:t>
      </w:r>
      <w:r>
        <w:rPr>
          <w:rFonts w:ascii="Cambria Math" w:hAnsi="Cambria Math" w:eastAsia="Cambria Math"/>
          <w:w w:val="104"/>
          <w:position w:val="9"/>
          <w:sz w:val="17"/>
        </w:rPr>
        <w:t>00024</w:t>
      </w:r>
      <w:r>
        <w:rPr>
          <w:rFonts w:ascii="Cambria Math" w:hAnsi="Cambria Math" w:eastAsia="Cambria Math"/>
          <w:w w:val="100"/>
          <w:position w:val="9"/>
          <w:sz w:val="17"/>
        </w:rPr>
        <w:t>∗</w:t>
      </w:r>
      <w:r>
        <w:rPr>
          <w:rFonts w:ascii="Cambria Math" w:hAnsi="Cambria Math" w:eastAsia="Cambria Math"/>
          <w:w w:val="104"/>
          <w:position w:val="9"/>
          <w:sz w:val="17"/>
        </w:rPr>
        <w:t>8000</w:t>
      </w:r>
      <w:r>
        <w:rPr>
          <w:rFonts w:ascii="Cambria Math" w:hAnsi="Cambria Math" w:eastAsia="Cambria Math"/>
          <w:position w:val="9"/>
          <w:sz w:val="17"/>
        </w:rPr>
        <w:t>  </w:t>
      </w:r>
      <w:r>
        <w:rPr>
          <w:rFonts w:ascii="Cambria Math" w:hAnsi="Cambria Math" w:eastAsia="Cambria Math"/>
        </w:rPr>
        <w:t>= 6.82  </w:t>
      </w:r>
      <w:r>
        <w:rPr/>
        <w:t>We al</w:t>
      </w:r>
      <w:r>
        <w:rPr>
          <w:w w:val="99"/>
        </w:rPr>
        <w:t>s</w:t>
      </w:r>
      <w:r>
        <w:rPr/>
        <w:t>o needed to convert </w:t>
      </w:r>
      <w:r>
        <w:rPr>
          <w:w w:val="99"/>
        </w:rPr>
        <w:t>s</w:t>
      </w:r>
      <w:r>
        <w:rPr/>
        <w:t>ome continuous variable</w:t>
      </w:r>
      <w:r>
        <w:rPr>
          <w:w w:val="99"/>
        </w:rPr>
        <w:t>s</w:t>
      </w:r>
      <w:r>
        <w:rPr/>
        <w:t> to change the “base condition,” such as number of intersections with negative coefficients. Also note that for posted speed limit, the original base condition is 0, which is not realistic. For example, the base condition was changed to 25 mph (all observations in the data have posted speed limits larger or equal to 25).</w:t>
      </w:r>
    </w:p>
    <w:p>
      <w:pPr>
        <w:pStyle w:val="BodyText"/>
        <w:spacing w:before="4"/>
        <w:rPr>
          <w:sz w:val="21"/>
        </w:rPr>
      </w:pPr>
    </w:p>
    <w:p>
      <w:pPr>
        <w:pStyle w:val="BodyText"/>
        <w:ind w:left="320" w:right="1696"/>
      </w:pPr>
      <w:r>
        <w:rPr>
          <w:i/>
        </w:rPr>
        <w:t>Step 3: Assign a component risk score to each variable out of a 100 scale</w:t>
      </w:r>
      <w:r>
        <w:rPr/>
        <w:t>. Each variable is assigned a component risk score out of 100. This is done by the proportion of each variable’s highest internal weight to the total maximum internal weight. Table 7-1 shows the maximum internal weight for each variable in this model. Hence, the component risk score of “more than four traffic lanes”:</w:t>
      </w:r>
    </w:p>
    <w:p>
      <w:pPr>
        <w:pStyle w:val="BodyText"/>
        <w:spacing w:before="8"/>
        <w:rPr>
          <w:sz w:val="10"/>
        </w:rPr>
      </w:pPr>
    </w:p>
    <w:p>
      <w:pPr>
        <w:spacing w:after="0"/>
        <w:rPr>
          <w:sz w:val="10"/>
        </w:rPr>
        <w:sectPr>
          <w:pgSz w:w="12240" w:h="15840"/>
          <w:pgMar w:header="0" w:footer="709" w:top="900" w:bottom="980" w:left="1120" w:right="0"/>
        </w:sectPr>
      </w:pPr>
    </w:p>
    <w:p>
      <w:pPr>
        <w:spacing w:before="101"/>
        <w:ind w:left="324" w:right="3" w:firstLine="0"/>
        <w:jc w:val="center"/>
        <w:rPr>
          <w:rFonts w:ascii="Cambria Math"/>
          <w:sz w:val="17"/>
        </w:rPr>
      </w:pPr>
      <w:r>
        <w:rPr>
          <w:rFonts w:ascii="Cambria Math"/>
          <w:w w:val="105"/>
          <w:sz w:val="17"/>
        </w:rPr>
        <w:t>4.38</w:t>
      </w:r>
    </w:p>
    <w:p>
      <w:pPr>
        <w:pStyle w:val="BodyText"/>
        <w:spacing w:before="3"/>
        <w:rPr>
          <w:rFonts w:ascii="Cambria Math"/>
          <w:sz w:val="2"/>
        </w:rPr>
      </w:pPr>
    </w:p>
    <w:p>
      <w:pPr>
        <w:pStyle w:val="BodyText"/>
        <w:spacing w:line="20" w:lineRule="exact"/>
        <w:ind w:left="312" w:right="-58"/>
        <w:rPr>
          <w:rFonts w:ascii="Cambria Math"/>
          <w:sz w:val="2"/>
        </w:rPr>
      </w:pPr>
      <w:r>
        <w:rPr>
          <w:rFonts w:ascii="Cambria Math"/>
          <w:sz w:val="2"/>
        </w:rPr>
        <w:pict>
          <v:group style="width:131.85pt;height:.8pt;mso-position-horizontal-relative:char;mso-position-vertical-relative:line" coordorigin="0,0" coordsize="2637,16">
            <v:line style="position:absolute" from="0,8" to="2636,8" stroked="true" strokeweight=".78pt" strokecolor="#000000">
              <v:stroke dashstyle="solid"/>
            </v:line>
          </v:group>
        </w:pict>
      </w:r>
      <w:r>
        <w:rPr>
          <w:rFonts w:ascii="Cambria Math"/>
          <w:sz w:val="2"/>
        </w:rPr>
      </w:r>
    </w:p>
    <w:p>
      <w:pPr>
        <w:spacing w:before="16"/>
        <w:ind w:left="324" w:right="5" w:firstLine="0"/>
        <w:jc w:val="center"/>
        <w:rPr>
          <w:rFonts w:ascii="Cambria Math"/>
          <w:sz w:val="17"/>
        </w:rPr>
      </w:pPr>
      <w:r>
        <w:rPr>
          <w:rFonts w:ascii="Cambria Math"/>
          <w:sz w:val="17"/>
        </w:rPr>
        <w:t>(3.63+3.81+2.7+2.92+4.40+4.38)</w:t>
      </w:r>
    </w:p>
    <w:p>
      <w:pPr>
        <w:pStyle w:val="BodyText"/>
        <w:spacing w:before="175"/>
        <w:ind w:left="13"/>
      </w:pPr>
      <w:r>
        <w:rPr/>
        <w:br w:type="column"/>
      </w:r>
      <w:r>
        <w:rPr>
          <w:rFonts w:ascii="Cambria Math" w:hAnsi="Cambria Math"/>
        </w:rPr>
        <w:t>∗ 100 = 20.04 </w:t>
      </w:r>
      <w:r>
        <w:rPr/>
        <w:t>which we round to 20.</w:t>
      </w:r>
    </w:p>
    <w:p>
      <w:pPr>
        <w:spacing w:after="0"/>
        <w:sectPr>
          <w:type w:val="continuous"/>
          <w:pgSz w:w="12240" w:h="15840"/>
          <w:pgMar w:top="1500" w:bottom="280" w:left="1120" w:right="0"/>
          <w:cols w:num="2" w:equalWidth="0">
            <w:col w:w="2956" w:space="40"/>
            <w:col w:w="8124"/>
          </w:cols>
        </w:sectPr>
      </w:pPr>
    </w:p>
    <w:p>
      <w:pPr>
        <w:pStyle w:val="BodyText"/>
        <w:spacing w:before="9"/>
        <w:rPr>
          <w:sz w:val="12"/>
        </w:rPr>
      </w:pPr>
    </w:p>
    <w:p>
      <w:pPr>
        <w:spacing w:before="90"/>
        <w:ind w:left="319" w:right="1603" w:firstLine="0"/>
        <w:jc w:val="left"/>
        <w:rPr>
          <w:sz w:val="24"/>
        </w:rPr>
      </w:pPr>
      <w:r>
        <w:rPr>
          <w:i/>
          <w:sz w:val="24"/>
        </w:rPr>
        <w:t>Step 4: Distribute each component risk score to levels by internal weights</w:t>
      </w:r>
      <w:r>
        <w:rPr>
          <w:sz w:val="24"/>
        </w:rPr>
        <w:t>. After the calculation in Steps 1-3 is complete, the risk scores for each level are distributed based on the internal weights for each level. For example, we can calculate the risk score of “three or four traffic lanes” by the ratio of the level internal weight to the maximum internal weight:</w:t>
      </w:r>
    </w:p>
    <w:p>
      <w:pPr>
        <w:pStyle w:val="BodyText"/>
        <w:spacing w:line="308" w:lineRule="exact" w:before="224"/>
        <w:ind w:left="382"/>
      </w:pPr>
      <w:r>
        <w:rPr/>
        <w:pict>
          <v:line style="position:absolute;mso-position-horizontal-relative:page;mso-position-vertical-relative:paragraph;z-index:-253888" from="75pt,22.886772pt" to="91.501pt,22.886772pt" stroked="true" strokeweight=".78pt" strokecolor="#000000">
            <v:stroke dashstyle="solid"/>
            <w10:wrap type="none"/>
          </v:line>
        </w:pict>
      </w:r>
      <w:r>
        <w:rPr>
          <w:rFonts w:ascii="Cambria Math" w:hAnsi="Cambria Math"/>
          <w:position w:val="14"/>
          <w:sz w:val="17"/>
        </w:rPr>
        <w:t>2.09 </w:t>
      </w:r>
      <w:r>
        <w:rPr>
          <w:rFonts w:ascii="Cambria Math" w:hAnsi="Cambria Math"/>
        </w:rPr>
        <w:t>∗ 20 = 9.5 </w:t>
      </w:r>
      <w:r>
        <w:rPr/>
        <w:t>which we round to 10. The final assigned risk scores by level are shown in the</w:t>
      </w:r>
    </w:p>
    <w:p>
      <w:pPr>
        <w:spacing w:line="133" w:lineRule="exact" w:before="0"/>
        <w:ind w:left="379" w:right="0" w:firstLine="0"/>
        <w:jc w:val="left"/>
        <w:rPr>
          <w:rFonts w:ascii="Cambria Math"/>
          <w:sz w:val="17"/>
        </w:rPr>
      </w:pPr>
      <w:r>
        <w:rPr>
          <w:rFonts w:ascii="Cambria Math"/>
          <w:w w:val="105"/>
          <w:sz w:val="17"/>
        </w:rPr>
        <w:t>4.38</w:t>
      </w:r>
    </w:p>
    <w:p>
      <w:pPr>
        <w:pStyle w:val="BodyText"/>
        <w:spacing w:line="257" w:lineRule="exact"/>
        <w:ind w:left="320"/>
      </w:pPr>
      <w:r>
        <w:rPr/>
        <w:t>last column of </w:t>
      </w:r>
      <w:hyperlink w:history="true" w:anchor="_bookmark53">
        <w:r>
          <w:rPr/>
          <w:t>Table 7-1.</w:t>
        </w:r>
      </w:hyperlink>
    </w:p>
    <w:p>
      <w:pPr>
        <w:spacing w:after="0" w:line="257" w:lineRule="exact"/>
        <w:sectPr>
          <w:type w:val="continuous"/>
          <w:pgSz w:w="12240" w:h="15840"/>
          <w:pgMar w:top="1500" w:bottom="280" w:left="1120" w:right="0"/>
        </w:sectPr>
      </w:pPr>
    </w:p>
    <w:p>
      <w:pPr>
        <w:spacing w:before="75"/>
        <w:ind w:left="320" w:right="0" w:firstLine="0"/>
        <w:jc w:val="left"/>
        <w:rPr>
          <w:b/>
          <w:sz w:val="20"/>
        </w:rPr>
      </w:pPr>
      <w:bookmarkStart w:name="_bookmark53" w:id="253"/>
      <w:bookmarkEnd w:id="253"/>
      <w:r>
        <w:rPr/>
      </w:r>
      <w:r>
        <w:rPr>
          <w:b/>
          <w:sz w:val="20"/>
        </w:rPr>
        <w:t>Table 7.1: Sample Calculation of Risk Score by Level</w:t>
      </w:r>
    </w:p>
    <w:tbl>
      <w:tblPr>
        <w:tblW w:w="0" w:type="auto"/>
        <w:jc w:val="left"/>
        <w:tblInd w:w="2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48"/>
        <w:gridCol w:w="1074"/>
        <w:gridCol w:w="1058"/>
        <w:gridCol w:w="810"/>
        <w:gridCol w:w="1085"/>
        <w:gridCol w:w="935"/>
        <w:gridCol w:w="948"/>
        <w:gridCol w:w="1243"/>
        <w:gridCol w:w="729"/>
      </w:tblGrid>
      <w:tr>
        <w:trPr>
          <w:trHeight w:val="919" w:hRule="atLeast"/>
        </w:trPr>
        <w:tc>
          <w:tcPr>
            <w:tcW w:w="1648" w:type="dxa"/>
            <w:tcBorders>
              <w:left w:val="nil"/>
              <w:right w:val="single" w:sz="4" w:space="0" w:color="000000"/>
            </w:tcBorders>
          </w:tcPr>
          <w:p>
            <w:pPr>
              <w:pStyle w:val="TableParagraph"/>
              <w:spacing w:before="10"/>
              <w:rPr>
                <w:b/>
                <w:sz w:val="29"/>
              </w:rPr>
            </w:pPr>
          </w:p>
          <w:p>
            <w:pPr>
              <w:pStyle w:val="TableParagraph"/>
              <w:ind w:left="123"/>
              <w:rPr>
                <w:b/>
                <w:sz w:val="20"/>
              </w:rPr>
            </w:pPr>
            <w:r>
              <w:rPr>
                <w:b/>
                <w:sz w:val="20"/>
              </w:rPr>
              <w:t>Variable</w:t>
            </w:r>
          </w:p>
        </w:tc>
        <w:tc>
          <w:tcPr>
            <w:tcW w:w="1074" w:type="dxa"/>
            <w:tcBorders>
              <w:left w:val="single" w:sz="4" w:space="0" w:color="000000"/>
              <w:right w:val="single" w:sz="4" w:space="0" w:color="000000"/>
            </w:tcBorders>
          </w:tcPr>
          <w:p>
            <w:pPr>
              <w:pStyle w:val="TableParagraph"/>
              <w:spacing w:before="9"/>
              <w:rPr>
                <w:b/>
                <w:sz w:val="19"/>
              </w:rPr>
            </w:pPr>
          </w:p>
          <w:p>
            <w:pPr>
              <w:pStyle w:val="TableParagraph"/>
              <w:spacing w:before="1"/>
              <w:ind w:left="117" w:right="82"/>
              <w:rPr>
                <w:b/>
                <w:sz w:val="20"/>
              </w:rPr>
            </w:pPr>
            <w:r>
              <w:rPr>
                <w:b/>
                <w:sz w:val="20"/>
              </w:rPr>
              <w:t>How Modeled?</w:t>
            </w:r>
          </w:p>
        </w:tc>
        <w:tc>
          <w:tcPr>
            <w:tcW w:w="1058" w:type="dxa"/>
            <w:tcBorders>
              <w:left w:val="single" w:sz="4" w:space="0" w:color="000000"/>
              <w:right w:val="single" w:sz="4" w:space="0" w:color="000000"/>
            </w:tcBorders>
          </w:tcPr>
          <w:p>
            <w:pPr>
              <w:pStyle w:val="TableParagraph"/>
              <w:spacing w:before="113"/>
              <w:ind w:left="161" w:right="128"/>
              <w:jc w:val="center"/>
              <w:rPr>
                <w:b/>
                <w:sz w:val="20"/>
              </w:rPr>
            </w:pPr>
            <w:r>
              <w:rPr>
                <w:b/>
                <w:sz w:val="20"/>
              </w:rPr>
              <w:t>Model Coefficie nt</w:t>
            </w:r>
          </w:p>
        </w:tc>
        <w:tc>
          <w:tcPr>
            <w:tcW w:w="810" w:type="dxa"/>
            <w:tcBorders>
              <w:left w:val="single" w:sz="4" w:space="0" w:color="000000"/>
              <w:right w:val="single" w:sz="4" w:space="0" w:color="000000"/>
            </w:tcBorders>
          </w:tcPr>
          <w:p>
            <w:pPr>
              <w:pStyle w:val="TableParagraph"/>
              <w:spacing w:before="9"/>
              <w:rPr>
                <w:b/>
                <w:sz w:val="19"/>
              </w:rPr>
            </w:pPr>
          </w:p>
          <w:p>
            <w:pPr>
              <w:pStyle w:val="TableParagraph"/>
              <w:spacing w:before="1"/>
              <w:ind w:left="181" w:right="132" w:firstLine="4"/>
              <w:rPr>
                <w:b/>
                <w:sz w:val="20"/>
              </w:rPr>
            </w:pPr>
            <w:r>
              <w:rPr>
                <w:b/>
                <w:sz w:val="20"/>
              </w:rPr>
              <w:t>Odds Ratio</w:t>
            </w:r>
          </w:p>
        </w:tc>
        <w:tc>
          <w:tcPr>
            <w:tcW w:w="1085" w:type="dxa"/>
            <w:tcBorders>
              <w:left w:val="single" w:sz="4" w:space="0" w:color="000000"/>
              <w:right w:val="single" w:sz="4" w:space="0" w:color="000000"/>
            </w:tcBorders>
          </w:tcPr>
          <w:p>
            <w:pPr>
              <w:pStyle w:val="TableParagraph"/>
              <w:spacing w:before="10"/>
              <w:rPr>
                <w:b/>
                <w:sz w:val="29"/>
              </w:rPr>
            </w:pPr>
          </w:p>
          <w:p>
            <w:pPr>
              <w:pStyle w:val="TableParagraph"/>
              <w:ind w:left="118"/>
              <w:rPr>
                <w:b/>
                <w:sz w:val="20"/>
              </w:rPr>
            </w:pPr>
            <w:r>
              <w:rPr>
                <w:b/>
                <w:sz w:val="20"/>
              </w:rPr>
              <w:t>Levels</w:t>
            </w:r>
          </w:p>
        </w:tc>
        <w:tc>
          <w:tcPr>
            <w:tcW w:w="935" w:type="dxa"/>
            <w:tcBorders>
              <w:left w:val="single" w:sz="4" w:space="0" w:color="000000"/>
              <w:right w:val="single" w:sz="4" w:space="0" w:color="000000"/>
            </w:tcBorders>
          </w:tcPr>
          <w:p>
            <w:pPr>
              <w:pStyle w:val="TableParagraph"/>
              <w:spacing w:before="9"/>
              <w:rPr>
                <w:b/>
                <w:sz w:val="19"/>
              </w:rPr>
            </w:pPr>
          </w:p>
          <w:p>
            <w:pPr>
              <w:pStyle w:val="TableParagraph"/>
              <w:spacing w:before="1"/>
              <w:ind w:left="166" w:right="79" w:hanging="40"/>
              <w:rPr>
                <w:b/>
                <w:sz w:val="20"/>
              </w:rPr>
            </w:pPr>
            <w:r>
              <w:rPr>
                <w:b/>
                <w:sz w:val="20"/>
              </w:rPr>
              <w:t>Internal Weight</w:t>
            </w:r>
          </w:p>
        </w:tc>
        <w:tc>
          <w:tcPr>
            <w:tcW w:w="948" w:type="dxa"/>
            <w:tcBorders>
              <w:left w:val="single" w:sz="4" w:space="0" w:color="000000"/>
              <w:right w:val="single" w:sz="4" w:space="0" w:color="000000"/>
            </w:tcBorders>
          </w:tcPr>
          <w:p>
            <w:pPr>
              <w:pStyle w:val="TableParagraph"/>
              <w:spacing w:before="113"/>
              <w:ind w:left="117" w:right="101"/>
              <w:rPr>
                <w:b/>
                <w:sz w:val="20"/>
              </w:rPr>
            </w:pPr>
            <w:r>
              <w:rPr>
                <w:b/>
                <w:sz w:val="20"/>
              </w:rPr>
              <w:t>Max Internal Weight</w:t>
            </w:r>
          </w:p>
        </w:tc>
        <w:tc>
          <w:tcPr>
            <w:tcW w:w="1243" w:type="dxa"/>
            <w:tcBorders>
              <w:left w:val="single" w:sz="4" w:space="0" w:color="000000"/>
              <w:right w:val="single" w:sz="4" w:space="0" w:color="000000"/>
            </w:tcBorders>
          </w:tcPr>
          <w:p>
            <w:pPr>
              <w:pStyle w:val="TableParagraph"/>
              <w:spacing w:before="9"/>
              <w:rPr>
                <w:b/>
                <w:sz w:val="19"/>
              </w:rPr>
            </w:pPr>
          </w:p>
          <w:p>
            <w:pPr>
              <w:pStyle w:val="TableParagraph"/>
              <w:spacing w:before="1"/>
              <w:ind w:left="116" w:right="96"/>
              <w:rPr>
                <w:b/>
                <w:sz w:val="20"/>
              </w:rPr>
            </w:pPr>
            <w:r>
              <w:rPr>
                <w:b/>
                <w:sz w:val="20"/>
              </w:rPr>
              <w:t>Component Risk Score</w:t>
            </w:r>
          </w:p>
        </w:tc>
        <w:tc>
          <w:tcPr>
            <w:tcW w:w="729" w:type="dxa"/>
            <w:tcBorders>
              <w:left w:val="single" w:sz="4" w:space="0" w:color="000000"/>
              <w:right w:val="nil"/>
            </w:tcBorders>
          </w:tcPr>
          <w:p>
            <w:pPr>
              <w:pStyle w:val="TableParagraph"/>
              <w:ind w:left="117" w:right="109"/>
              <w:rPr>
                <w:b/>
                <w:sz w:val="20"/>
              </w:rPr>
            </w:pPr>
            <w:r>
              <w:rPr>
                <w:b/>
                <w:sz w:val="20"/>
              </w:rPr>
              <w:t>Risk Score By</w:t>
            </w:r>
          </w:p>
          <w:p>
            <w:pPr>
              <w:pStyle w:val="TableParagraph"/>
              <w:spacing w:line="210" w:lineRule="exact"/>
              <w:ind w:left="117"/>
              <w:rPr>
                <w:b/>
                <w:sz w:val="20"/>
              </w:rPr>
            </w:pPr>
            <w:r>
              <w:rPr>
                <w:b/>
                <w:sz w:val="20"/>
              </w:rPr>
              <w:t>Level</w:t>
            </w:r>
          </w:p>
        </w:tc>
      </w:tr>
      <w:tr>
        <w:trPr>
          <w:trHeight w:val="599" w:hRule="atLeast"/>
        </w:trPr>
        <w:tc>
          <w:tcPr>
            <w:tcW w:w="1648" w:type="dxa"/>
            <w:vMerge w:val="restart"/>
            <w:tcBorders>
              <w:left w:val="nil"/>
              <w:bottom w:val="single" w:sz="4" w:space="0" w:color="000000"/>
              <w:right w:val="single" w:sz="4" w:space="0" w:color="000000"/>
            </w:tcBorders>
          </w:tcPr>
          <w:p>
            <w:pPr>
              <w:pStyle w:val="TableParagraph"/>
              <w:spacing w:before="4"/>
              <w:rPr>
                <w:b/>
                <w:sz w:val="29"/>
              </w:rPr>
            </w:pPr>
          </w:p>
          <w:p>
            <w:pPr>
              <w:pStyle w:val="TableParagraph"/>
              <w:ind w:left="123"/>
              <w:rPr>
                <w:sz w:val="20"/>
              </w:rPr>
            </w:pPr>
            <w:r>
              <w:rPr>
                <w:sz w:val="20"/>
              </w:rPr>
              <w:t>Traffic direction</w:t>
            </w:r>
          </w:p>
        </w:tc>
        <w:tc>
          <w:tcPr>
            <w:tcW w:w="1074" w:type="dxa"/>
            <w:vMerge w:val="restart"/>
            <w:tcBorders>
              <w:left w:val="single" w:sz="4" w:space="0" w:color="000000"/>
              <w:bottom w:val="single" w:sz="4" w:space="0" w:color="000000"/>
              <w:right w:val="single" w:sz="4" w:space="0" w:color="000000"/>
            </w:tcBorders>
          </w:tcPr>
          <w:p>
            <w:pPr>
              <w:pStyle w:val="TableParagraph"/>
              <w:spacing w:before="4"/>
              <w:rPr>
                <w:b/>
                <w:sz w:val="29"/>
              </w:rPr>
            </w:pPr>
          </w:p>
          <w:p>
            <w:pPr>
              <w:pStyle w:val="TableParagraph"/>
              <w:ind w:left="117"/>
              <w:rPr>
                <w:sz w:val="20"/>
              </w:rPr>
            </w:pPr>
            <w:r>
              <w:rPr>
                <w:sz w:val="20"/>
              </w:rPr>
              <w:t>Cat.</w:t>
            </w:r>
          </w:p>
        </w:tc>
        <w:tc>
          <w:tcPr>
            <w:tcW w:w="1058" w:type="dxa"/>
            <w:vMerge w:val="restart"/>
            <w:tcBorders>
              <w:left w:val="single" w:sz="4" w:space="0" w:color="000000"/>
              <w:bottom w:val="single" w:sz="4" w:space="0" w:color="000000"/>
              <w:right w:val="single" w:sz="4" w:space="0" w:color="000000"/>
            </w:tcBorders>
          </w:tcPr>
          <w:p>
            <w:pPr>
              <w:pStyle w:val="TableParagraph"/>
              <w:spacing w:before="4"/>
              <w:rPr>
                <w:b/>
                <w:sz w:val="29"/>
              </w:rPr>
            </w:pPr>
          </w:p>
          <w:p>
            <w:pPr>
              <w:pStyle w:val="TableParagraph"/>
              <w:ind w:left="280"/>
              <w:rPr>
                <w:sz w:val="20"/>
              </w:rPr>
            </w:pPr>
            <w:r>
              <w:rPr>
                <w:sz w:val="20"/>
              </w:rPr>
              <w:t>-1.289</w:t>
            </w:r>
          </w:p>
        </w:tc>
        <w:tc>
          <w:tcPr>
            <w:tcW w:w="810" w:type="dxa"/>
            <w:vMerge w:val="restart"/>
            <w:tcBorders>
              <w:left w:val="single" w:sz="4" w:space="0" w:color="000000"/>
              <w:bottom w:val="single" w:sz="4" w:space="0" w:color="000000"/>
              <w:right w:val="single" w:sz="4" w:space="0" w:color="000000"/>
            </w:tcBorders>
          </w:tcPr>
          <w:p>
            <w:pPr>
              <w:pStyle w:val="TableParagraph"/>
              <w:spacing w:before="4"/>
              <w:rPr>
                <w:b/>
                <w:sz w:val="29"/>
              </w:rPr>
            </w:pPr>
          </w:p>
          <w:p>
            <w:pPr>
              <w:pStyle w:val="TableParagraph"/>
              <w:ind w:left="239"/>
              <w:rPr>
                <w:sz w:val="20"/>
              </w:rPr>
            </w:pPr>
            <w:r>
              <w:rPr>
                <w:sz w:val="20"/>
              </w:rPr>
              <w:t>0.28</w:t>
            </w:r>
          </w:p>
        </w:tc>
        <w:tc>
          <w:tcPr>
            <w:tcW w:w="1085" w:type="dxa"/>
            <w:tcBorders>
              <w:left w:val="single" w:sz="4" w:space="0" w:color="000000"/>
              <w:bottom w:val="single" w:sz="4" w:space="0" w:color="000000"/>
              <w:right w:val="single" w:sz="4" w:space="0" w:color="000000"/>
            </w:tcBorders>
          </w:tcPr>
          <w:p>
            <w:pPr>
              <w:pStyle w:val="TableParagraph"/>
              <w:spacing w:before="181"/>
              <w:ind w:left="118"/>
              <w:rPr>
                <w:sz w:val="20"/>
              </w:rPr>
            </w:pPr>
            <w:r>
              <w:rPr>
                <w:sz w:val="20"/>
              </w:rPr>
              <w:t>One-way</w:t>
            </w:r>
          </w:p>
        </w:tc>
        <w:tc>
          <w:tcPr>
            <w:tcW w:w="935" w:type="dxa"/>
            <w:tcBorders>
              <w:left w:val="single" w:sz="4" w:space="0" w:color="000000"/>
              <w:bottom w:val="single" w:sz="4" w:space="0" w:color="000000"/>
              <w:right w:val="single" w:sz="4" w:space="0" w:color="000000"/>
            </w:tcBorders>
          </w:tcPr>
          <w:p>
            <w:pPr>
              <w:pStyle w:val="TableParagraph"/>
              <w:spacing w:before="181"/>
              <w:ind w:left="281" w:right="252"/>
              <w:jc w:val="center"/>
              <w:rPr>
                <w:sz w:val="20"/>
              </w:rPr>
            </w:pPr>
            <w:r>
              <w:rPr>
                <w:sz w:val="20"/>
              </w:rPr>
              <w:t>3.63</w:t>
            </w:r>
          </w:p>
        </w:tc>
        <w:tc>
          <w:tcPr>
            <w:tcW w:w="948" w:type="dxa"/>
            <w:vMerge w:val="restart"/>
            <w:tcBorders>
              <w:left w:val="single" w:sz="4" w:space="0" w:color="000000"/>
              <w:bottom w:val="single" w:sz="4" w:space="0" w:color="000000"/>
              <w:right w:val="single" w:sz="4" w:space="0" w:color="000000"/>
            </w:tcBorders>
          </w:tcPr>
          <w:p>
            <w:pPr>
              <w:pStyle w:val="TableParagraph"/>
              <w:spacing w:before="4"/>
              <w:rPr>
                <w:b/>
                <w:sz w:val="29"/>
              </w:rPr>
            </w:pPr>
          </w:p>
          <w:p>
            <w:pPr>
              <w:pStyle w:val="TableParagraph"/>
              <w:ind w:left="307"/>
              <w:rPr>
                <w:sz w:val="20"/>
              </w:rPr>
            </w:pPr>
            <w:r>
              <w:rPr>
                <w:sz w:val="20"/>
              </w:rPr>
              <w:t>3.63</w:t>
            </w:r>
          </w:p>
        </w:tc>
        <w:tc>
          <w:tcPr>
            <w:tcW w:w="1243" w:type="dxa"/>
            <w:vMerge w:val="restart"/>
            <w:tcBorders>
              <w:left w:val="single" w:sz="4" w:space="0" w:color="000000"/>
              <w:bottom w:val="single" w:sz="4" w:space="0" w:color="000000"/>
              <w:right w:val="single" w:sz="4" w:space="0" w:color="000000"/>
            </w:tcBorders>
          </w:tcPr>
          <w:p>
            <w:pPr>
              <w:pStyle w:val="TableParagraph"/>
              <w:spacing w:before="4"/>
              <w:rPr>
                <w:b/>
                <w:sz w:val="29"/>
              </w:rPr>
            </w:pPr>
          </w:p>
          <w:p>
            <w:pPr>
              <w:pStyle w:val="TableParagraph"/>
              <w:ind w:left="183" w:right="153"/>
              <w:jc w:val="center"/>
              <w:rPr>
                <w:sz w:val="20"/>
              </w:rPr>
            </w:pPr>
            <w:r>
              <w:rPr>
                <w:sz w:val="20"/>
              </w:rPr>
              <w:t>17</w:t>
            </w:r>
          </w:p>
        </w:tc>
        <w:tc>
          <w:tcPr>
            <w:tcW w:w="729" w:type="dxa"/>
            <w:tcBorders>
              <w:left w:val="single" w:sz="4" w:space="0" w:color="000000"/>
              <w:bottom w:val="single" w:sz="4" w:space="0" w:color="000000"/>
              <w:right w:val="nil"/>
            </w:tcBorders>
          </w:tcPr>
          <w:p>
            <w:pPr>
              <w:pStyle w:val="TableParagraph"/>
              <w:spacing w:before="184"/>
              <w:ind w:right="246"/>
              <w:jc w:val="right"/>
              <w:rPr>
                <w:b/>
                <w:sz w:val="20"/>
              </w:rPr>
            </w:pPr>
            <w:r>
              <w:rPr>
                <w:b/>
                <w:sz w:val="20"/>
              </w:rPr>
              <w:t>17</w:t>
            </w:r>
          </w:p>
        </w:tc>
      </w:tr>
      <w:tr>
        <w:trPr>
          <w:trHeight w:val="300"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2"/>
              <w:ind w:left="117"/>
              <w:rPr>
                <w:sz w:val="20"/>
              </w:rPr>
            </w:pPr>
            <w:r>
              <w:rPr>
                <w:sz w:val="20"/>
              </w:rPr>
              <w:t>Two-way</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2"/>
              <w:ind w:left="281" w:right="252"/>
              <w:jc w:val="center"/>
              <w:rPr>
                <w:sz w:val="20"/>
              </w:rPr>
            </w:pPr>
            <w:r>
              <w:rPr>
                <w:sz w:val="20"/>
              </w:rPr>
              <w:t>1.00</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2"/>
              <w:ind w:right="297"/>
              <w:jc w:val="right"/>
              <w:rPr>
                <w:sz w:val="20"/>
              </w:rPr>
            </w:pPr>
            <w:r>
              <w:rPr>
                <w:w w:val="100"/>
                <w:sz w:val="20"/>
              </w:rPr>
              <w:t>0</w:t>
            </w:r>
          </w:p>
        </w:tc>
      </w:tr>
      <w:tr>
        <w:trPr>
          <w:trHeight w:val="299" w:hRule="atLeast"/>
        </w:trPr>
        <w:tc>
          <w:tcPr>
            <w:tcW w:w="1648" w:type="dxa"/>
            <w:vMerge w:val="restart"/>
            <w:tcBorders>
              <w:top w:val="single" w:sz="4" w:space="0" w:color="000000"/>
              <w:left w:val="nil"/>
              <w:bottom w:val="single" w:sz="4" w:space="0" w:color="000000"/>
              <w:right w:val="single" w:sz="4" w:space="0" w:color="000000"/>
            </w:tcBorders>
          </w:tcPr>
          <w:p>
            <w:pPr>
              <w:pStyle w:val="TableParagraph"/>
              <w:spacing w:before="71"/>
              <w:ind w:left="123"/>
              <w:rPr>
                <w:sz w:val="20"/>
              </w:rPr>
            </w:pPr>
            <w:r>
              <w:rPr>
                <w:sz w:val="20"/>
              </w:rPr>
              <w:t>Presence of on- street parking</w:t>
            </w:r>
          </w:p>
        </w:tc>
        <w:tc>
          <w:tcPr>
            <w:tcW w:w="1074"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117"/>
              <w:rPr>
                <w:sz w:val="20"/>
              </w:rPr>
            </w:pPr>
            <w:r>
              <w:rPr>
                <w:sz w:val="20"/>
              </w:rPr>
              <w:t>Cat.</w:t>
            </w:r>
          </w:p>
        </w:tc>
        <w:tc>
          <w:tcPr>
            <w:tcW w:w="105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313"/>
              <w:rPr>
                <w:sz w:val="20"/>
              </w:rPr>
            </w:pPr>
            <w:r>
              <w:rPr>
                <w:sz w:val="20"/>
              </w:rPr>
              <w:t>1.337</w:t>
            </w:r>
          </w:p>
        </w:tc>
        <w:tc>
          <w:tcPr>
            <w:tcW w:w="810"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239"/>
              <w:rPr>
                <w:sz w:val="20"/>
              </w:rPr>
            </w:pPr>
            <w:r>
              <w:rPr>
                <w:sz w:val="20"/>
              </w:rPr>
              <w:t>3.81</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8"/>
              <w:rPr>
                <w:sz w:val="20"/>
              </w:rPr>
            </w:pPr>
            <w:r>
              <w:rPr>
                <w:sz w:val="20"/>
              </w:rPr>
              <w:t>Yes</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3.81</w:t>
            </w:r>
          </w:p>
        </w:tc>
        <w:tc>
          <w:tcPr>
            <w:tcW w:w="94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307"/>
              <w:rPr>
                <w:sz w:val="20"/>
              </w:rPr>
            </w:pPr>
            <w:r>
              <w:rPr>
                <w:sz w:val="20"/>
              </w:rPr>
              <w:t>3.81</w:t>
            </w:r>
          </w:p>
        </w:tc>
        <w:tc>
          <w:tcPr>
            <w:tcW w:w="1243"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183" w:right="153"/>
              <w:jc w:val="center"/>
              <w:rPr>
                <w:sz w:val="20"/>
              </w:rPr>
            </w:pPr>
            <w:r>
              <w:rPr>
                <w:sz w:val="20"/>
              </w:rPr>
              <w:t>17</w:t>
            </w:r>
          </w:p>
        </w:tc>
        <w:tc>
          <w:tcPr>
            <w:tcW w:w="729" w:type="dxa"/>
            <w:tcBorders>
              <w:top w:val="single" w:sz="4" w:space="0" w:color="000000"/>
              <w:left w:val="single" w:sz="4" w:space="0" w:color="000000"/>
              <w:bottom w:val="single" w:sz="4" w:space="0" w:color="000000"/>
              <w:right w:val="nil"/>
            </w:tcBorders>
          </w:tcPr>
          <w:p>
            <w:pPr>
              <w:pStyle w:val="TableParagraph"/>
              <w:spacing w:before="34"/>
              <w:ind w:right="246"/>
              <w:jc w:val="right"/>
              <w:rPr>
                <w:b/>
                <w:sz w:val="20"/>
              </w:rPr>
            </w:pPr>
            <w:r>
              <w:rPr>
                <w:b/>
                <w:sz w:val="20"/>
              </w:rPr>
              <w:t>17</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No</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30"/>
              <w:jc w:val="center"/>
              <w:rPr>
                <w:sz w:val="20"/>
              </w:rPr>
            </w:pPr>
            <w:r>
              <w:rPr>
                <w:w w:val="100"/>
                <w:sz w:val="20"/>
              </w:rPr>
              <w:t>1</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0</w:t>
            </w:r>
          </w:p>
        </w:tc>
      </w:tr>
      <w:tr>
        <w:trPr>
          <w:trHeight w:val="300" w:hRule="atLeast"/>
        </w:trPr>
        <w:tc>
          <w:tcPr>
            <w:tcW w:w="1648"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tabs>
                <w:tab w:pos="1100" w:val="left" w:leader="none"/>
              </w:tabs>
              <w:spacing w:before="129"/>
              <w:ind w:left="123" w:right="85"/>
              <w:rPr>
                <w:sz w:val="20"/>
              </w:rPr>
            </w:pPr>
            <w:r>
              <w:rPr>
                <w:sz w:val="20"/>
              </w:rPr>
              <w:t>Posted</w:t>
              <w:tab/>
            </w:r>
            <w:r>
              <w:rPr>
                <w:spacing w:val="-5"/>
                <w:sz w:val="20"/>
              </w:rPr>
              <w:t>speed </w:t>
            </w:r>
            <w:r>
              <w:rPr>
                <w:sz w:val="20"/>
              </w:rPr>
              <w:t>limit</w:t>
            </w:r>
            <w:r>
              <w:rPr>
                <w:spacing w:val="-2"/>
                <w:sz w:val="20"/>
              </w:rPr>
              <w:t> </w:t>
            </w:r>
            <w:r>
              <w:rPr>
                <w:sz w:val="20"/>
              </w:rPr>
              <w:t>(mph)</w:t>
            </w:r>
          </w:p>
        </w:tc>
        <w:tc>
          <w:tcPr>
            <w:tcW w:w="1074"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117"/>
              <w:rPr>
                <w:sz w:val="20"/>
              </w:rPr>
            </w:pPr>
            <w:r>
              <w:rPr>
                <w:sz w:val="20"/>
              </w:rPr>
              <w:t>Cont.</w:t>
            </w:r>
          </w:p>
        </w:tc>
        <w:tc>
          <w:tcPr>
            <w:tcW w:w="1058"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264"/>
              <w:rPr>
                <w:sz w:val="20"/>
              </w:rPr>
            </w:pPr>
            <w:r>
              <w:rPr>
                <w:sz w:val="20"/>
              </w:rPr>
              <w:t>0.0496</w:t>
            </w:r>
          </w:p>
        </w:tc>
        <w:tc>
          <w:tcPr>
            <w:tcW w:w="810"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239"/>
              <w:rPr>
                <w:sz w:val="20"/>
              </w:rPr>
            </w:pPr>
            <w:r>
              <w:rPr>
                <w:sz w:val="20"/>
              </w:rPr>
              <w:t>1.05</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2"/>
              <w:ind w:left="118"/>
              <w:rPr>
                <w:sz w:val="20"/>
              </w:rPr>
            </w:pPr>
            <w:r>
              <w:rPr>
                <w:sz w:val="20"/>
              </w:rPr>
              <w:t>&lt;=25</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2"/>
              <w:ind w:left="281" w:right="251"/>
              <w:jc w:val="center"/>
              <w:rPr>
                <w:sz w:val="20"/>
              </w:rPr>
            </w:pPr>
            <w:r>
              <w:rPr>
                <w:sz w:val="20"/>
              </w:rPr>
              <w:t>1.00</w:t>
            </w:r>
          </w:p>
        </w:tc>
        <w:tc>
          <w:tcPr>
            <w:tcW w:w="948"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307"/>
              <w:rPr>
                <w:sz w:val="20"/>
              </w:rPr>
            </w:pPr>
            <w:r>
              <w:rPr>
                <w:sz w:val="20"/>
              </w:rPr>
              <w:t>2.70</w:t>
            </w:r>
          </w:p>
        </w:tc>
        <w:tc>
          <w:tcPr>
            <w:tcW w:w="1243"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182" w:right="153"/>
              <w:jc w:val="center"/>
              <w:rPr>
                <w:sz w:val="20"/>
              </w:rPr>
            </w:pPr>
            <w:r>
              <w:rPr>
                <w:sz w:val="20"/>
              </w:rPr>
              <w:t>12</w:t>
            </w:r>
          </w:p>
        </w:tc>
        <w:tc>
          <w:tcPr>
            <w:tcW w:w="729" w:type="dxa"/>
            <w:tcBorders>
              <w:top w:val="single" w:sz="4" w:space="0" w:color="000000"/>
              <w:left w:val="single" w:sz="4" w:space="0" w:color="000000"/>
              <w:bottom w:val="single" w:sz="4" w:space="0" w:color="000000"/>
              <w:right w:val="nil"/>
            </w:tcBorders>
          </w:tcPr>
          <w:p>
            <w:pPr>
              <w:pStyle w:val="TableParagraph"/>
              <w:spacing w:before="32"/>
              <w:ind w:right="297"/>
              <w:jc w:val="right"/>
              <w:rPr>
                <w:sz w:val="20"/>
              </w:rPr>
            </w:pPr>
            <w:r>
              <w:rPr>
                <w:w w:val="100"/>
                <w:sz w:val="20"/>
              </w:rPr>
              <w:t>0</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30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1.28</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6</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35</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1.64</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8</w:t>
            </w:r>
          </w:p>
        </w:tc>
      </w:tr>
      <w:tr>
        <w:trPr>
          <w:trHeight w:val="300"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2"/>
              <w:ind w:left="117"/>
              <w:rPr>
                <w:sz w:val="20"/>
              </w:rPr>
            </w:pPr>
            <w:r>
              <w:rPr>
                <w:sz w:val="20"/>
              </w:rPr>
              <w:t>&gt;35</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2"/>
              <w:ind w:left="281" w:right="252"/>
              <w:jc w:val="center"/>
              <w:rPr>
                <w:sz w:val="20"/>
              </w:rPr>
            </w:pPr>
            <w:r>
              <w:rPr>
                <w:sz w:val="20"/>
              </w:rPr>
              <w:t>2.70</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5"/>
              <w:ind w:right="247"/>
              <w:jc w:val="right"/>
              <w:rPr>
                <w:b/>
                <w:sz w:val="20"/>
              </w:rPr>
            </w:pPr>
            <w:r>
              <w:rPr>
                <w:b/>
                <w:sz w:val="20"/>
              </w:rPr>
              <w:t>12</w:t>
            </w:r>
          </w:p>
        </w:tc>
      </w:tr>
      <w:tr>
        <w:trPr>
          <w:trHeight w:val="299" w:hRule="atLeast"/>
        </w:trPr>
        <w:tc>
          <w:tcPr>
            <w:tcW w:w="1648" w:type="dxa"/>
            <w:vMerge w:val="restart"/>
            <w:tcBorders>
              <w:top w:val="single" w:sz="4" w:space="0" w:color="000000"/>
              <w:left w:val="nil"/>
              <w:bottom w:val="single" w:sz="4" w:space="0" w:color="000000"/>
              <w:right w:val="single" w:sz="4" w:space="0" w:color="000000"/>
            </w:tcBorders>
          </w:tcPr>
          <w:p>
            <w:pPr>
              <w:pStyle w:val="TableParagraph"/>
              <w:tabs>
                <w:tab w:pos="1388" w:val="left" w:leader="none"/>
              </w:tabs>
              <w:spacing w:before="71"/>
              <w:ind w:left="123" w:right="85"/>
              <w:rPr>
                <w:sz w:val="20"/>
              </w:rPr>
            </w:pPr>
            <w:r>
              <w:rPr>
                <w:sz w:val="20"/>
              </w:rPr>
              <w:t>Presence</w:t>
              <w:tab/>
            </w:r>
            <w:r>
              <w:rPr>
                <w:spacing w:val="-13"/>
                <w:sz w:val="20"/>
              </w:rPr>
              <w:t>of </w:t>
            </w:r>
            <w:r>
              <w:rPr>
                <w:sz w:val="20"/>
              </w:rPr>
              <w:t>TWLTL</w:t>
            </w:r>
          </w:p>
        </w:tc>
        <w:tc>
          <w:tcPr>
            <w:tcW w:w="1074"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117"/>
              <w:rPr>
                <w:sz w:val="20"/>
              </w:rPr>
            </w:pPr>
            <w:r>
              <w:rPr>
                <w:sz w:val="20"/>
              </w:rPr>
              <w:t>Cat.</w:t>
            </w:r>
          </w:p>
        </w:tc>
        <w:tc>
          <w:tcPr>
            <w:tcW w:w="105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313"/>
              <w:rPr>
                <w:sz w:val="20"/>
              </w:rPr>
            </w:pPr>
            <w:r>
              <w:rPr>
                <w:sz w:val="20"/>
              </w:rPr>
              <w:t>1.071</w:t>
            </w:r>
          </w:p>
        </w:tc>
        <w:tc>
          <w:tcPr>
            <w:tcW w:w="810"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239"/>
              <w:rPr>
                <w:sz w:val="20"/>
              </w:rPr>
            </w:pPr>
            <w:r>
              <w:rPr>
                <w:sz w:val="20"/>
              </w:rPr>
              <w:t>2.92</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8"/>
              <w:rPr>
                <w:sz w:val="20"/>
              </w:rPr>
            </w:pPr>
            <w:r>
              <w:rPr>
                <w:sz w:val="20"/>
              </w:rPr>
              <w:t>Yes</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2.92</w:t>
            </w:r>
          </w:p>
        </w:tc>
        <w:tc>
          <w:tcPr>
            <w:tcW w:w="948"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307"/>
              <w:rPr>
                <w:sz w:val="20"/>
              </w:rPr>
            </w:pPr>
            <w:r>
              <w:rPr>
                <w:sz w:val="20"/>
              </w:rPr>
              <w:t>2.92</w:t>
            </w:r>
          </w:p>
        </w:tc>
        <w:tc>
          <w:tcPr>
            <w:tcW w:w="1243" w:type="dxa"/>
            <w:vMerge w:val="restart"/>
            <w:tcBorders>
              <w:top w:val="single" w:sz="4" w:space="0" w:color="000000"/>
              <w:left w:val="single" w:sz="4" w:space="0" w:color="000000"/>
              <w:bottom w:val="single" w:sz="4" w:space="0" w:color="000000"/>
              <w:right w:val="single" w:sz="4" w:space="0" w:color="000000"/>
            </w:tcBorders>
          </w:tcPr>
          <w:p>
            <w:pPr>
              <w:pStyle w:val="TableParagraph"/>
              <w:spacing w:before="186"/>
              <w:ind w:left="182" w:right="153"/>
              <w:jc w:val="center"/>
              <w:rPr>
                <w:sz w:val="20"/>
              </w:rPr>
            </w:pPr>
            <w:r>
              <w:rPr>
                <w:sz w:val="20"/>
              </w:rPr>
              <w:t>14</w:t>
            </w:r>
          </w:p>
        </w:tc>
        <w:tc>
          <w:tcPr>
            <w:tcW w:w="729" w:type="dxa"/>
            <w:tcBorders>
              <w:top w:val="single" w:sz="4" w:space="0" w:color="000000"/>
              <w:left w:val="single" w:sz="4" w:space="0" w:color="000000"/>
              <w:bottom w:val="single" w:sz="4" w:space="0" w:color="000000"/>
              <w:right w:val="nil"/>
            </w:tcBorders>
          </w:tcPr>
          <w:p>
            <w:pPr>
              <w:pStyle w:val="TableParagraph"/>
              <w:spacing w:before="34"/>
              <w:ind w:right="246"/>
              <w:jc w:val="right"/>
              <w:rPr>
                <w:b/>
                <w:sz w:val="20"/>
              </w:rPr>
            </w:pPr>
            <w:r>
              <w:rPr>
                <w:b/>
                <w:sz w:val="20"/>
              </w:rPr>
              <w:t>14</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No</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1.00</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0</w:t>
            </w:r>
          </w:p>
        </w:tc>
      </w:tr>
      <w:tr>
        <w:trPr>
          <w:trHeight w:val="242" w:hRule="atLeast"/>
        </w:trPr>
        <w:tc>
          <w:tcPr>
            <w:tcW w:w="1648"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tabs>
                <w:tab w:pos="1232" w:val="left" w:leader="none"/>
              </w:tabs>
              <w:spacing w:before="141"/>
              <w:ind w:left="122" w:right="85"/>
              <w:jc w:val="both"/>
              <w:rPr>
                <w:sz w:val="20"/>
              </w:rPr>
            </w:pPr>
            <w:r>
              <w:rPr>
                <w:sz w:val="20"/>
              </w:rPr>
              <w:t>Total population density</w:t>
              <w:tab/>
            </w:r>
            <w:r>
              <w:rPr>
                <w:spacing w:val="-6"/>
                <w:sz w:val="20"/>
              </w:rPr>
              <w:t>(per </w:t>
            </w:r>
            <w:r>
              <w:rPr>
                <w:sz w:val="20"/>
              </w:rPr>
              <w:t>square</w:t>
            </w:r>
            <w:r>
              <w:rPr>
                <w:spacing w:val="-1"/>
                <w:sz w:val="20"/>
              </w:rPr>
              <w:t> </w:t>
            </w:r>
            <w:r>
              <w:rPr>
                <w:sz w:val="20"/>
              </w:rPr>
              <w:t>mile)</w:t>
            </w:r>
          </w:p>
        </w:tc>
        <w:tc>
          <w:tcPr>
            <w:tcW w:w="1074"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32"/>
              </w:rPr>
            </w:pPr>
          </w:p>
          <w:p>
            <w:pPr>
              <w:pStyle w:val="TableParagraph"/>
              <w:ind w:left="117"/>
              <w:rPr>
                <w:sz w:val="20"/>
              </w:rPr>
            </w:pPr>
            <w:r>
              <w:rPr>
                <w:sz w:val="20"/>
              </w:rPr>
              <w:t>Cont.</w:t>
            </w:r>
          </w:p>
        </w:tc>
        <w:tc>
          <w:tcPr>
            <w:tcW w:w="1058"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32"/>
              </w:rPr>
            </w:pPr>
          </w:p>
          <w:p>
            <w:pPr>
              <w:pStyle w:val="TableParagraph"/>
              <w:ind w:left="163"/>
              <w:rPr>
                <w:sz w:val="20"/>
              </w:rPr>
            </w:pPr>
            <w:r>
              <w:rPr>
                <w:sz w:val="20"/>
              </w:rPr>
              <w:t>0.000174</w:t>
            </w:r>
          </w:p>
        </w:tc>
        <w:tc>
          <w:tcPr>
            <w:tcW w:w="810"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32"/>
              </w:rPr>
            </w:pPr>
          </w:p>
          <w:p>
            <w:pPr>
              <w:pStyle w:val="TableParagraph"/>
              <w:ind w:left="139"/>
              <w:rPr>
                <w:sz w:val="20"/>
              </w:rPr>
            </w:pPr>
            <w:r>
              <w:rPr>
                <w:sz w:val="20"/>
              </w:rPr>
              <w:t>1.0002</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before="4"/>
              <w:ind w:left="117"/>
              <w:rPr>
                <w:sz w:val="20"/>
              </w:rPr>
            </w:pPr>
            <w:r>
              <w:rPr>
                <w:sz w:val="20"/>
              </w:rPr>
              <w:t>&lt;=1000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18" w:lineRule="exact" w:before="4"/>
              <w:ind w:left="280" w:right="252"/>
              <w:jc w:val="center"/>
              <w:rPr>
                <w:sz w:val="20"/>
              </w:rPr>
            </w:pPr>
            <w:r>
              <w:rPr>
                <w:sz w:val="20"/>
              </w:rPr>
              <w:t>1.00</w:t>
            </w:r>
          </w:p>
        </w:tc>
        <w:tc>
          <w:tcPr>
            <w:tcW w:w="948"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32"/>
              </w:rPr>
            </w:pPr>
          </w:p>
          <w:p>
            <w:pPr>
              <w:pStyle w:val="TableParagraph"/>
              <w:ind w:left="307"/>
              <w:rPr>
                <w:sz w:val="20"/>
              </w:rPr>
            </w:pPr>
            <w:r>
              <w:rPr>
                <w:sz w:val="20"/>
              </w:rPr>
              <w:t>4.41</w:t>
            </w:r>
          </w:p>
        </w:tc>
        <w:tc>
          <w:tcPr>
            <w:tcW w:w="1243" w:type="dxa"/>
            <w:vMerge w:val="restart"/>
            <w:tcBorders>
              <w:top w:val="single" w:sz="4" w:space="0" w:color="000000"/>
              <w:left w:val="single" w:sz="4" w:space="0" w:color="000000"/>
              <w:bottom w:val="single" w:sz="4" w:space="0" w:color="000000"/>
              <w:right w:val="single" w:sz="4" w:space="0" w:color="000000"/>
            </w:tcBorders>
          </w:tcPr>
          <w:p>
            <w:pPr>
              <w:pStyle w:val="TableParagraph"/>
              <w:rPr>
                <w:b/>
                <w:sz w:val="22"/>
              </w:rPr>
            </w:pPr>
          </w:p>
          <w:p>
            <w:pPr>
              <w:pStyle w:val="TableParagraph"/>
              <w:spacing w:before="2"/>
              <w:rPr>
                <w:b/>
                <w:sz w:val="32"/>
              </w:rPr>
            </w:pPr>
          </w:p>
          <w:p>
            <w:pPr>
              <w:pStyle w:val="TableParagraph"/>
              <w:ind w:left="182" w:right="153"/>
              <w:jc w:val="center"/>
              <w:rPr>
                <w:sz w:val="20"/>
              </w:rPr>
            </w:pPr>
            <w:r>
              <w:rPr>
                <w:sz w:val="20"/>
              </w:rPr>
              <w:t>20</w:t>
            </w:r>
          </w:p>
        </w:tc>
        <w:tc>
          <w:tcPr>
            <w:tcW w:w="729" w:type="dxa"/>
            <w:tcBorders>
              <w:top w:val="single" w:sz="4" w:space="0" w:color="000000"/>
              <w:left w:val="single" w:sz="4" w:space="0" w:color="000000"/>
              <w:bottom w:val="single" w:sz="4" w:space="0" w:color="000000"/>
              <w:right w:val="nil"/>
            </w:tcBorders>
          </w:tcPr>
          <w:p>
            <w:pPr>
              <w:pStyle w:val="TableParagraph"/>
              <w:spacing w:line="218" w:lineRule="exact" w:before="4"/>
              <w:ind w:right="297"/>
              <w:jc w:val="right"/>
              <w:rPr>
                <w:sz w:val="20"/>
              </w:rPr>
            </w:pPr>
            <w:r>
              <w:rPr>
                <w:w w:val="100"/>
                <w:sz w:val="20"/>
              </w:rPr>
              <w:t>0</w:t>
            </w:r>
          </w:p>
        </w:tc>
      </w:tr>
      <w:tr>
        <w:trPr>
          <w:trHeight w:val="300"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2"/>
              <w:ind w:left="117"/>
              <w:rPr>
                <w:sz w:val="20"/>
              </w:rPr>
            </w:pPr>
            <w:r>
              <w:rPr>
                <w:sz w:val="20"/>
              </w:rPr>
              <w:t>1001-3000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2"/>
              <w:ind w:left="281" w:right="252"/>
              <w:jc w:val="center"/>
              <w:rPr>
                <w:sz w:val="20"/>
              </w:rPr>
            </w:pPr>
            <w:r>
              <w:rPr>
                <w:sz w:val="20"/>
              </w:rPr>
              <w:t>1.30</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2"/>
              <w:ind w:right="297"/>
              <w:jc w:val="right"/>
              <w:rPr>
                <w:sz w:val="20"/>
              </w:rPr>
            </w:pPr>
            <w:r>
              <w:rPr>
                <w:w w:val="100"/>
                <w:sz w:val="20"/>
              </w:rPr>
              <w:t>6</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3001-5000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1.84</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8</w:t>
            </w:r>
          </w:p>
        </w:tc>
      </w:tr>
      <w:tr>
        <w:trPr>
          <w:trHeight w:val="299"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sz w:val="20"/>
              </w:rPr>
              <w:t>5001-7000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81" w:right="252"/>
              <w:jc w:val="center"/>
              <w:rPr>
                <w:sz w:val="20"/>
              </w:rPr>
            </w:pPr>
            <w:r>
              <w:rPr>
                <w:sz w:val="20"/>
              </w:rPr>
              <w:t>2.62</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1"/>
              <w:ind w:right="247"/>
              <w:jc w:val="right"/>
              <w:rPr>
                <w:sz w:val="20"/>
              </w:rPr>
            </w:pPr>
            <w:r>
              <w:rPr>
                <w:sz w:val="20"/>
              </w:rPr>
              <w:t>12</w:t>
            </w:r>
          </w:p>
        </w:tc>
      </w:tr>
      <w:tr>
        <w:trPr>
          <w:trHeight w:val="300" w:hRule="atLeast"/>
        </w:trPr>
        <w:tc>
          <w:tcPr>
            <w:tcW w:w="1648" w:type="dxa"/>
            <w:vMerge/>
            <w:tcBorders>
              <w:top w:val="nil"/>
              <w:left w:val="nil"/>
              <w:bottom w:val="single" w:sz="4" w:space="0" w:color="000000"/>
              <w:right w:val="single" w:sz="4" w:space="0" w:color="000000"/>
            </w:tcBorders>
          </w:tcPr>
          <w:p>
            <w:pPr>
              <w:rPr>
                <w:sz w:val="2"/>
                <w:szCs w:val="2"/>
              </w:rPr>
            </w:pPr>
          </w:p>
        </w:tc>
        <w:tc>
          <w:tcPr>
            <w:tcW w:w="1074" w:type="dxa"/>
            <w:vMerge/>
            <w:tcBorders>
              <w:top w:val="nil"/>
              <w:left w:val="single" w:sz="4" w:space="0" w:color="000000"/>
              <w:bottom w:val="single" w:sz="4" w:space="0" w:color="000000"/>
              <w:right w:val="single" w:sz="4" w:space="0" w:color="000000"/>
            </w:tcBorders>
          </w:tcPr>
          <w:p>
            <w:pPr>
              <w:rPr>
                <w:sz w:val="2"/>
                <w:szCs w:val="2"/>
              </w:rPr>
            </w:pPr>
          </w:p>
        </w:tc>
        <w:tc>
          <w:tcPr>
            <w:tcW w:w="1058" w:type="dxa"/>
            <w:vMerge/>
            <w:tcBorders>
              <w:top w:val="nil"/>
              <w:left w:val="single" w:sz="4" w:space="0" w:color="000000"/>
              <w:bottom w:val="single" w:sz="4" w:space="0" w:color="000000"/>
              <w:right w:val="single" w:sz="4" w:space="0" w:color="000000"/>
            </w:tcBorders>
          </w:tcPr>
          <w:p>
            <w:pPr>
              <w:rPr>
                <w:sz w:val="2"/>
                <w:szCs w:val="2"/>
              </w:rPr>
            </w:pPr>
          </w:p>
        </w:tc>
        <w:tc>
          <w:tcPr>
            <w:tcW w:w="810" w:type="dxa"/>
            <w:vMerge/>
            <w:tcBorders>
              <w:top w:val="nil"/>
              <w:left w:val="single" w:sz="4" w:space="0" w:color="000000"/>
              <w:bottom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2"/>
              <w:ind w:left="117"/>
              <w:rPr>
                <w:sz w:val="20"/>
              </w:rPr>
            </w:pPr>
            <w:r>
              <w:rPr>
                <w:sz w:val="20"/>
              </w:rPr>
              <w:t>&gt;7000</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2"/>
              <w:ind w:left="281" w:right="252"/>
              <w:jc w:val="center"/>
              <w:rPr>
                <w:sz w:val="20"/>
              </w:rPr>
            </w:pPr>
            <w:r>
              <w:rPr>
                <w:sz w:val="20"/>
              </w:rPr>
              <w:t>4.41</w:t>
            </w:r>
          </w:p>
        </w:tc>
        <w:tc>
          <w:tcPr>
            <w:tcW w:w="948" w:type="dxa"/>
            <w:vMerge/>
            <w:tcBorders>
              <w:top w:val="nil"/>
              <w:left w:val="single" w:sz="4" w:space="0" w:color="000000"/>
              <w:bottom w:val="single" w:sz="4" w:space="0" w:color="000000"/>
              <w:right w:val="single" w:sz="4" w:space="0" w:color="000000"/>
            </w:tcBorders>
          </w:tcPr>
          <w:p>
            <w:pPr>
              <w:rPr>
                <w:sz w:val="2"/>
                <w:szCs w:val="2"/>
              </w:rPr>
            </w:pPr>
          </w:p>
        </w:tc>
        <w:tc>
          <w:tcPr>
            <w:tcW w:w="1243" w:type="dxa"/>
            <w:vMerge/>
            <w:tcBorders>
              <w:top w:val="nil"/>
              <w:left w:val="single" w:sz="4" w:space="0" w:color="000000"/>
              <w:bottom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35"/>
              <w:ind w:right="246"/>
              <w:jc w:val="right"/>
              <w:rPr>
                <w:b/>
                <w:sz w:val="20"/>
              </w:rPr>
            </w:pPr>
            <w:r>
              <w:rPr>
                <w:b/>
                <w:sz w:val="20"/>
              </w:rPr>
              <w:t>20</w:t>
            </w:r>
          </w:p>
        </w:tc>
      </w:tr>
      <w:tr>
        <w:trPr>
          <w:trHeight w:val="289" w:hRule="atLeast"/>
        </w:trPr>
        <w:tc>
          <w:tcPr>
            <w:tcW w:w="1648" w:type="dxa"/>
            <w:vMerge w:val="restart"/>
            <w:tcBorders>
              <w:top w:val="single" w:sz="4" w:space="0" w:color="000000"/>
              <w:left w:val="nil"/>
              <w:right w:val="single" w:sz="4" w:space="0" w:color="000000"/>
            </w:tcBorders>
          </w:tcPr>
          <w:p>
            <w:pPr>
              <w:pStyle w:val="TableParagraph"/>
              <w:spacing w:before="7"/>
              <w:rPr>
                <w:b/>
                <w:sz w:val="29"/>
              </w:rPr>
            </w:pPr>
          </w:p>
          <w:p>
            <w:pPr>
              <w:pStyle w:val="TableParagraph"/>
              <w:ind w:left="123"/>
              <w:rPr>
                <w:sz w:val="20"/>
              </w:rPr>
            </w:pPr>
            <w:r>
              <w:rPr>
                <w:sz w:val="20"/>
              </w:rPr>
              <w:t>Total traffic lane</w:t>
            </w:r>
          </w:p>
        </w:tc>
        <w:tc>
          <w:tcPr>
            <w:tcW w:w="1074" w:type="dxa"/>
            <w:vMerge w:val="restart"/>
            <w:tcBorders>
              <w:top w:val="single" w:sz="4" w:space="0" w:color="000000"/>
              <w:left w:val="single" w:sz="4" w:space="0" w:color="000000"/>
              <w:right w:val="single" w:sz="4" w:space="0" w:color="000000"/>
            </w:tcBorders>
          </w:tcPr>
          <w:p>
            <w:pPr>
              <w:pStyle w:val="TableParagraph"/>
              <w:spacing w:before="7"/>
              <w:rPr>
                <w:b/>
                <w:sz w:val="29"/>
              </w:rPr>
            </w:pPr>
          </w:p>
          <w:p>
            <w:pPr>
              <w:pStyle w:val="TableParagraph"/>
              <w:ind w:left="117"/>
              <w:rPr>
                <w:sz w:val="20"/>
              </w:rPr>
            </w:pPr>
            <w:r>
              <w:rPr>
                <w:sz w:val="20"/>
              </w:rPr>
              <w:t>Cat.</w:t>
            </w:r>
          </w:p>
        </w:tc>
        <w:tc>
          <w:tcPr>
            <w:tcW w:w="1058" w:type="dxa"/>
            <w:vMerge w:val="restart"/>
            <w:tcBorders>
              <w:top w:val="single" w:sz="4" w:space="0" w:color="000000"/>
              <w:left w:val="single" w:sz="4" w:space="0" w:color="000000"/>
              <w:right w:val="single" w:sz="4" w:space="0" w:color="000000"/>
            </w:tcBorders>
          </w:tcPr>
          <w:p>
            <w:pPr>
              <w:pStyle w:val="TableParagraph"/>
              <w:spacing w:before="7"/>
              <w:rPr>
                <w:b/>
                <w:sz w:val="29"/>
              </w:rPr>
            </w:pPr>
          </w:p>
          <w:p>
            <w:pPr>
              <w:pStyle w:val="TableParagraph"/>
              <w:ind w:left="263"/>
              <w:rPr>
                <w:sz w:val="20"/>
              </w:rPr>
            </w:pPr>
            <w:r>
              <w:rPr>
                <w:sz w:val="20"/>
              </w:rPr>
              <w:t>0.3695</w:t>
            </w:r>
          </w:p>
        </w:tc>
        <w:tc>
          <w:tcPr>
            <w:tcW w:w="810" w:type="dxa"/>
            <w:vMerge w:val="restart"/>
            <w:tcBorders>
              <w:top w:val="single" w:sz="4" w:space="0" w:color="000000"/>
              <w:left w:val="single" w:sz="4" w:space="0" w:color="000000"/>
              <w:right w:val="single" w:sz="4" w:space="0" w:color="000000"/>
            </w:tcBorders>
          </w:tcPr>
          <w:p>
            <w:pPr>
              <w:pStyle w:val="TableParagraph"/>
              <w:spacing w:before="7"/>
              <w:rPr>
                <w:b/>
                <w:sz w:val="29"/>
              </w:rPr>
            </w:pPr>
          </w:p>
          <w:p>
            <w:pPr>
              <w:pStyle w:val="TableParagraph"/>
              <w:ind w:left="238"/>
              <w:rPr>
                <w:sz w:val="20"/>
              </w:rPr>
            </w:pPr>
            <w:r>
              <w:rPr>
                <w:sz w:val="20"/>
              </w:rPr>
              <w:t>1.45</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31"/>
              <w:ind w:left="117"/>
              <w:rPr>
                <w:sz w:val="20"/>
              </w:rPr>
            </w:pPr>
            <w:r>
              <w:rPr>
                <w:w w:val="100"/>
                <w:sz w:val="20"/>
              </w:rPr>
              <w:t>2</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31"/>
              <w:ind w:left="29"/>
              <w:jc w:val="center"/>
              <w:rPr>
                <w:sz w:val="20"/>
              </w:rPr>
            </w:pPr>
            <w:r>
              <w:rPr>
                <w:w w:val="100"/>
                <w:sz w:val="20"/>
              </w:rPr>
              <w:t>1</w:t>
            </w:r>
          </w:p>
        </w:tc>
        <w:tc>
          <w:tcPr>
            <w:tcW w:w="948" w:type="dxa"/>
            <w:vMerge w:val="restart"/>
            <w:tcBorders>
              <w:top w:val="single" w:sz="4" w:space="0" w:color="000000"/>
              <w:left w:val="single" w:sz="4" w:space="0" w:color="000000"/>
              <w:right w:val="single" w:sz="4" w:space="0" w:color="000000"/>
            </w:tcBorders>
          </w:tcPr>
          <w:p>
            <w:pPr>
              <w:pStyle w:val="TableParagraph"/>
              <w:spacing w:before="7"/>
              <w:rPr>
                <w:b/>
                <w:sz w:val="29"/>
              </w:rPr>
            </w:pPr>
          </w:p>
          <w:p>
            <w:pPr>
              <w:pStyle w:val="TableParagraph"/>
              <w:ind w:left="306"/>
              <w:rPr>
                <w:sz w:val="20"/>
              </w:rPr>
            </w:pPr>
            <w:r>
              <w:rPr>
                <w:sz w:val="20"/>
              </w:rPr>
              <w:t>4.38</w:t>
            </w:r>
          </w:p>
        </w:tc>
        <w:tc>
          <w:tcPr>
            <w:tcW w:w="1243" w:type="dxa"/>
            <w:vMerge w:val="restart"/>
            <w:tcBorders>
              <w:top w:val="single" w:sz="4" w:space="0" w:color="000000"/>
              <w:left w:val="single" w:sz="4" w:space="0" w:color="000000"/>
              <w:right w:val="single" w:sz="4" w:space="0" w:color="000000"/>
            </w:tcBorders>
          </w:tcPr>
          <w:p>
            <w:pPr>
              <w:pStyle w:val="TableParagraph"/>
              <w:spacing w:before="7"/>
              <w:rPr>
                <w:b/>
                <w:sz w:val="29"/>
              </w:rPr>
            </w:pPr>
          </w:p>
          <w:p>
            <w:pPr>
              <w:pStyle w:val="TableParagraph"/>
              <w:ind w:left="182" w:right="153"/>
              <w:jc w:val="center"/>
              <w:rPr>
                <w:sz w:val="20"/>
              </w:rPr>
            </w:pPr>
            <w:r>
              <w:rPr>
                <w:sz w:val="20"/>
              </w:rPr>
              <w:t>20</w:t>
            </w:r>
          </w:p>
        </w:tc>
        <w:tc>
          <w:tcPr>
            <w:tcW w:w="729" w:type="dxa"/>
            <w:tcBorders>
              <w:top w:val="single" w:sz="4" w:space="0" w:color="000000"/>
              <w:left w:val="single" w:sz="4" w:space="0" w:color="000000"/>
              <w:bottom w:val="single" w:sz="4" w:space="0" w:color="000000"/>
              <w:right w:val="nil"/>
            </w:tcBorders>
          </w:tcPr>
          <w:p>
            <w:pPr>
              <w:pStyle w:val="TableParagraph"/>
              <w:spacing w:before="31"/>
              <w:ind w:right="297"/>
              <w:jc w:val="right"/>
              <w:rPr>
                <w:sz w:val="20"/>
              </w:rPr>
            </w:pPr>
            <w:r>
              <w:rPr>
                <w:w w:val="100"/>
                <w:sz w:val="20"/>
              </w:rPr>
              <w:t>0</w:t>
            </w:r>
          </w:p>
        </w:tc>
      </w:tr>
      <w:tr>
        <w:trPr>
          <w:trHeight w:val="279" w:hRule="atLeast"/>
        </w:trPr>
        <w:tc>
          <w:tcPr>
            <w:tcW w:w="1648" w:type="dxa"/>
            <w:vMerge/>
            <w:tcBorders>
              <w:top w:val="nil"/>
              <w:left w:val="nil"/>
              <w:right w:val="single" w:sz="4" w:space="0" w:color="000000"/>
            </w:tcBorders>
          </w:tcPr>
          <w:p>
            <w:pPr>
              <w:rPr>
                <w:sz w:val="2"/>
                <w:szCs w:val="2"/>
              </w:rPr>
            </w:pPr>
          </w:p>
        </w:tc>
        <w:tc>
          <w:tcPr>
            <w:tcW w:w="1074" w:type="dxa"/>
            <w:vMerge/>
            <w:tcBorders>
              <w:top w:val="nil"/>
              <w:left w:val="single" w:sz="4" w:space="0" w:color="000000"/>
              <w:right w:val="single" w:sz="4" w:space="0" w:color="000000"/>
            </w:tcBorders>
          </w:tcPr>
          <w:p>
            <w:pPr>
              <w:rPr>
                <w:sz w:val="2"/>
                <w:szCs w:val="2"/>
              </w:rPr>
            </w:pPr>
          </w:p>
        </w:tc>
        <w:tc>
          <w:tcPr>
            <w:tcW w:w="1058" w:type="dxa"/>
            <w:vMerge/>
            <w:tcBorders>
              <w:top w:val="nil"/>
              <w:left w:val="single" w:sz="4" w:space="0" w:color="000000"/>
              <w:right w:val="single" w:sz="4" w:space="0" w:color="000000"/>
            </w:tcBorders>
          </w:tcPr>
          <w:p>
            <w:pPr>
              <w:rPr>
                <w:sz w:val="2"/>
                <w:szCs w:val="2"/>
              </w:rPr>
            </w:pPr>
          </w:p>
        </w:tc>
        <w:tc>
          <w:tcPr>
            <w:tcW w:w="810" w:type="dxa"/>
            <w:vMerge/>
            <w:tcBorders>
              <w:top w:val="nil"/>
              <w:left w:val="single" w:sz="4" w:space="0" w:color="000000"/>
              <w:right w:val="single" w:sz="4" w:space="0" w:color="000000"/>
            </w:tcBorders>
          </w:tcPr>
          <w:p>
            <w:pPr>
              <w:rPr>
                <w:sz w:val="2"/>
                <w:szCs w:val="2"/>
              </w:rPr>
            </w:pP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before="21"/>
              <w:ind w:left="117"/>
              <w:rPr>
                <w:sz w:val="20"/>
              </w:rPr>
            </w:pPr>
            <w:r>
              <w:rPr>
                <w:sz w:val="20"/>
              </w:rPr>
              <w:t>3 or 4</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before="21"/>
              <w:ind w:left="281" w:right="252"/>
              <w:jc w:val="center"/>
              <w:rPr>
                <w:sz w:val="20"/>
              </w:rPr>
            </w:pPr>
            <w:r>
              <w:rPr>
                <w:sz w:val="20"/>
              </w:rPr>
              <w:t>2.09</w:t>
            </w:r>
          </w:p>
        </w:tc>
        <w:tc>
          <w:tcPr>
            <w:tcW w:w="948" w:type="dxa"/>
            <w:vMerge/>
            <w:tcBorders>
              <w:top w:val="nil"/>
              <w:left w:val="single" w:sz="4" w:space="0" w:color="000000"/>
              <w:right w:val="single" w:sz="4" w:space="0" w:color="000000"/>
            </w:tcBorders>
          </w:tcPr>
          <w:p>
            <w:pPr>
              <w:rPr>
                <w:sz w:val="2"/>
                <w:szCs w:val="2"/>
              </w:rPr>
            </w:pPr>
          </w:p>
        </w:tc>
        <w:tc>
          <w:tcPr>
            <w:tcW w:w="1243" w:type="dxa"/>
            <w:vMerge/>
            <w:tcBorders>
              <w:top w:val="nil"/>
              <w:left w:val="single" w:sz="4" w:space="0" w:color="000000"/>
              <w:right w:val="single" w:sz="4" w:space="0" w:color="000000"/>
            </w:tcBorders>
          </w:tcPr>
          <w:p>
            <w:pPr>
              <w:rPr>
                <w:sz w:val="2"/>
                <w:szCs w:val="2"/>
              </w:rPr>
            </w:pPr>
          </w:p>
        </w:tc>
        <w:tc>
          <w:tcPr>
            <w:tcW w:w="729" w:type="dxa"/>
            <w:tcBorders>
              <w:top w:val="single" w:sz="4" w:space="0" w:color="000000"/>
              <w:left w:val="single" w:sz="4" w:space="0" w:color="000000"/>
              <w:bottom w:val="single" w:sz="4" w:space="0" w:color="000000"/>
              <w:right w:val="nil"/>
            </w:tcBorders>
          </w:tcPr>
          <w:p>
            <w:pPr>
              <w:pStyle w:val="TableParagraph"/>
              <w:spacing w:before="21"/>
              <w:ind w:right="246"/>
              <w:jc w:val="right"/>
              <w:rPr>
                <w:sz w:val="20"/>
              </w:rPr>
            </w:pPr>
            <w:r>
              <w:rPr>
                <w:sz w:val="20"/>
              </w:rPr>
              <w:t>10</w:t>
            </w:r>
          </w:p>
        </w:tc>
      </w:tr>
      <w:tr>
        <w:trPr>
          <w:trHeight w:val="291" w:hRule="atLeast"/>
        </w:trPr>
        <w:tc>
          <w:tcPr>
            <w:tcW w:w="1648" w:type="dxa"/>
            <w:vMerge/>
            <w:tcBorders>
              <w:top w:val="nil"/>
              <w:left w:val="nil"/>
              <w:right w:val="single" w:sz="4" w:space="0" w:color="000000"/>
            </w:tcBorders>
          </w:tcPr>
          <w:p>
            <w:pPr>
              <w:rPr>
                <w:sz w:val="2"/>
                <w:szCs w:val="2"/>
              </w:rPr>
            </w:pPr>
          </w:p>
        </w:tc>
        <w:tc>
          <w:tcPr>
            <w:tcW w:w="1074" w:type="dxa"/>
            <w:vMerge/>
            <w:tcBorders>
              <w:top w:val="nil"/>
              <w:left w:val="single" w:sz="4" w:space="0" w:color="000000"/>
              <w:right w:val="single" w:sz="4" w:space="0" w:color="000000"/>
            </w:tcBorders>
          </w:tcPr>
          <w:p>
            <w:pPr>
              <w:rPr>
                <w:sz w:val="2"/>
                <w:szCs w:val="2"/>
              </w:rPr>
            </w:pPr>
          </w:p>
        </w:tc>
        <w:tc>
          <w:tcPr>
            <w:tcW w:w="1058" w:type="dxa"/>
            <w:vMerge/>
            <w:tcBorders>
              <w:top w:val="nil"/>
              <w:left w:val="single" w:sz="4" w:space="0" w:color="000000"/>
              <w:right w:val="single" w:sz="4" w:space="0" w:color="000000"/>
            </w:tcBorders>
          </w:tcPr>
          <w:p>
            <w:pPr>
              <w:rPr>
                <w:sz w:val="2"/>
                <w:szCs w:val="2"/>
              </w:rPr>
            </w:pPr>
          </w:p>
        </w:tc>
        <w:tc>
          <w:tcPr>
            <w:tcW w:w="810" w:type="dxa"/>
            <w:vMerge/>
            <w:tcBorders>
              <w:top w:val="nil"/>
              <w:left w:val="single" w:sz="4" w:space="0" w:color="000000"/>
              <w:right w:val="single" w:sz="4" w:space="0" w:color="000000"/>
            </w:tcBorders>
          </w:tcPr>
          <w:p>
            <w:pPr>
              <w:rPr>
                <w:sz w:val="2"/>
                <w:szCs w:val="2"/>
              </w:rPr>
            </w:pPr>
          </w:p>
        </w:tc>
        <w:tc>
          <w:tcPr>
            <w:tcW w:w="1085" w:type="dxa"/>
            <w:tcBorders>
              <w:top w:val="single" w:sz="4" w:space="0" w:color="000000"/>
              <w:left w:val="single" w:sz="4" w:space="0" w:color="000000"/>
              <w:right w:val="single" w:sz="4" w:space="0" w:color="000000"/>
            </w:tcBorders>
          </w:tcPr>
          <w:p>
            <w:pPr>
              <w:pStyle w:val="TableParagraph"/>
              <w:spacing w:before="22"/>
              <w:ind w:left="117"/>
              <w:rPr>
                <w:sz w:val="20"/>
              </w:rPr>
            </w:pPr>
            <w:r>
              <w:rPr>
                <w:sz w:val="20"/>
              </w:rPr>
              <w:t>&gt;4</w:t>
            </w:r>
          </w:p>
        </w:tc>
        <w:tc>
          <w:tcPr>
            <w:tcW w:w="935" w:type="dxa"/>
            <w:tcBorders>
              <w:top w:val="single" w:sz="4" w:space="0" w:color="000000"/>
              <w:left w:val="single" w:sz="4" w:space="0" w:color="000000"/>
              <w:right w:val="single" w:sz="4" w:space="0" w:color="000000"/>
            </w:tcBorders>
          </w:tcPr>
          <w:p>
            <w:pPr>
              <w:pStyle w:val="TableParagraph"/>
              <w:spacing w:before="22"/>
              <w:ind w:left="281" w:right="252"/>
              <w:jc w:val="center"/>
              <w:rPr>
                <w:sz w:val="20"/>
              </w:rPr>
            </w:pPr>
            <w:r>
              <w:rPr>
                <w:sz w:val="20"/>
              </w:rPr>
              <w:t>4.38</w:t>
            </w:r>
          </w:p>
        </w:tc>
        <w:tc>
          <w:tcPr>
            <w:tcW w:w="948" w:type="dxa"/>
            <w:vMerge/>
            <w:tcBorders>
              <w:top w:val="nil"/>
              <w:left w:val="single" w:sz="4" w:space="0" w:color="000000"/>
              <w:right w:val="single" w:sz="4" w:space="0" w:color="000000"/>
            </w:tcBorders>
          </w:tcPr>
          <w:p>
            <w:pPr>
              <w:rPr>
                <w:sz w:val="2"/>
                <w:szCs w:val="2"/>
              </w:rPr>
            </w:pPr>
          </w:p>
        </w:tc>
        <w:tc>
          <w:tcPr>
            <w:tcW w:w="1243" w:type="dxa"/>
            <w:vMerge/>
            <w:tcBorders>
              <w:top w:val="nil"/>
              <w:left w:val="single" w:sz="4" w:space="0" w:color="000000"/>
              <w:right w:val="single" w:sz="4" w:space="0" w:color="000000"/>
            </w:tcBorders>
          </w:tcPr>
          <w:p>
            <w:pPr>
              <w:rPr>
                <w:sz w:val="2"/>
                <w:szCs w:val="2"/>
              </w:rPr>
            </w:pPr>
          </w:p>
        </w:tc>
        <w:tc>
          <w:tcPr>
            <w:tcW w:w="729" w:type="dxa"/>
            <w:tcBorders>
              <w:top w:val="single" w:sz="4" w:space="0" w:color="000000"/>
              <w:left w:val="single" w:sz="4" w:space="0" w:color="000000"/>
              <w:right w:val="nil"/>
            </w:tcBorders>
          </w:tcPr>
          <w:p>
            <w:pPr>
              <w:pStyle w:val="TableParagraph"/>
              <w:spacing w:before="25"/>
              <w:ind w:right="246"/>
              <w:jc w:val="right"/>
              <w:rPr>
                <w:b/>
                <w:sz w:val="20"/>
              </w:rPr>
            </w:pPr>
            <w:r>
              <w:rPr>
                <w:b/>
                <w:sz w:val="20"/>
              </w:rPr>
              <w:t>20</w:t>
            </w:r>
          </w:p>
        </w:tc>
      </w:tr>
    </w:tbl>
    <w:p>
      <w:pPr>
        <w:pStyle w:val="BodyText"/>
        <w:rPr>
          <w:b/>
        </w:rPr>
      </w:pPr>
    </w:p>
    <w:p>
      <w:pPr>
        <w:pStyle w:val="Heading3"/>
        <w:numPr>
          <w:ilvl w:val="1"/>
          <w:numId w:val="31"/>
        </w:numPr>
        <w:tabs>
          <w:tab w:pos="1039" w:val="left" w:leader="none"/>
          <w:tab w:pos="1040" w:val="left" w:leader="none"/>
        </w:tabs>
        <w:spacing w:line="240" w:lineRule="auto" w:before="0" w:after="0"/>
        <w:ind w:left="1039" w:right="0" w:hanging="719"/>
        <w:jc w:val="left"/>
      </w:pPr>
      <w:bookmarkStart w:name="_TOC_250014" w:id="254"/>
      <w:bookmarkStart w:name="7.2 PEDESTRIAN RISK SCORE" w:id="255"/>
      <w:r>
        <w:rPr>
          <w:b w:val="0"/>
        </w:rPr>
      </w:r>
      <w:bookmarkEnd w:id="255"/>
      <w:bookmarkStart w:name="7.2 PEDESTRIAN RISK SCORE" w:id="256"/>
      <w:r>
        <w:rPr/>
        <w:t>P</w:t>
      </w:r>
      <w:r>
        <w:rPr/>
        <w:t>EDESTRIAN RISK</w:t>
      </w:r>
      <w:r>
        <w:rPr>
          <w:spacing w:val="-2"/>
        </w:rPr>
        <w:t> </w:t>
      </w:r>
      <w:bookmarkEnd w:id="254"/>
      <w:r>
        <w:rPr/>
        <w:t>SCORE</w:t>
      </w:r>
    </w:p>
    <w:p>
      <w:pPr>
        <w:pStyle w:val="BodyText"/>
        <w:spacing w:before="236"/>
        <w:ind w:left="320" w:right="1655"/>
      </w:pPr>
      <w:r>
        <w:rPr/>
        <w:t>The conversion of the models to the risk-scoring tools followed the same procedure for all four applications. The scoring-tool results are presented for segments and intersections for pedestrians.</w:t>
      </w:r>
    </w:p>
    <w:p>
      <w:pPr>
        <w:pStyle w:val="BodyText"/>
        <w:spacing w:before="2"/>
        <w:rPr>
          <w:sz w:val="21"/>
        </w:rPr>
      </w:pPr>
    </w:p>
    <w:p>
      <w:pPr>
        <w:pStyle w:val="Heading3"/>
        <w:numPr>
          <w:ilvl w:val="2"/>
          <w:numId w:val="31"/>
        </w:numPr>
        <w:tabs>
          <w:tab w:pos="1040" w:val="left" w:leader="none"/>
        </w:tabs>
        <w:spacing w:line="240" w:lineRule="auto" w:before="0" w:after="0"/>
        <w:ind w:left="1039" w:right="0" w:hanging="719"/>
        <w:jc w:val="left"/>
      </w:pPr>
      <w:bookmarkStart w:name="_TOC_250013" w:id="257"/>
      <w:bookmarkStart w:name="7.2.1 Segment Risk Score" w:id="258"/>
      <w:r>
        <w:rPr>
          <w:b w:val="0"/>
        </w:rPr>
      </w:r>
      <w:bookmarkEnd w:id="258"/>
      <w:bookmarkStart w:name="7.2.1 Segment Risk Score" w:id="259"/>
      <w:r>
        <w:rPr/>
        <w:t>S</w:t>
      </w:r>
      <w:r>
        <w:rPr/>
        <w:t>egment Risk</w:t>
      </w:r>
      <w:r>
        <w:rPr>
          <w:spacing w:val="-3"/>
        </w:rPr>
        <w:t> </w:t>
      </w:r>
      <w:bookmarkEnd w:id="257"/>
      <w:r>
        <w:rPr/>
        <w:t>Score</w:t>
      </w:r>
    </w:p>
    <w:p>
      <w:pPr>
        <w:pStyle w:val="BodyText"/>
        <w:spacing w:before="236"/>
        <w:ind w:left="320"/>
      </w:pPr>
      <w:r>
        <w:rPr/>
        <w:t>Risk scores of significant variables in intersection pedestrian crash models are present</w:t>
      </w:r>
      <w:hyperlink w:history="true" w:anchor="_bookmark54">
        <w:r>
          <w:rPr/>
          <w:t>ed in Table</w:t>
        </w:r>
      </w:hyperlink>
    </w:p>
    <w:p>
      <w:pPr>
        <w:pStyle w:val="BodyText"/>
        <w:ind w:left="319" w:right="1589"/>
      </w:pPr>
      <w:hyperlink w:history="true" w:anchor="_bookmark54">
        <w:r>
          <w:rPr/>
          <w:t>7.2</w:t>
        </w:r>
      </w:hyperlink>
      <w:r>
        <w:rPr/>
        <w:t>. The maximum value for each category is bolded. Three continuous variables – total population density, total traffic lanes and posted speed limit – are divided into distinct levels, as shown. The largest contributing variable to the risk scores (maximum value =20) is the total population density (larger than 7,000) and total traffic lanes (more than four). Traffic direction has a large risk-score component; a score of 17 for one-way roads and presence of on-street parking also has a score of 17. The presence of TWLTL is assigned 17 risk points.</w:t>
      </w:r>
    </w:p>
    <w:p>
      <w:pPr>
        <w:spacing w:after="0"/>
        <w:sectPr>
          <w:pgSz w:w="12240" w:h="15840"/>
          <w:pgMar w:header="0" w:footer="709" w:top="920" w:bottom="980" w:left="1120" w:right="0"/>
        </w:sectPr>
      </w:pPr>
    </w:p>
    <w:p>
      <w:pPr>
        <w:spacing w:before="75"/>
        <w:ind w:left="320" w:right="0" w:firstLine="0"/>
        <w:jc w:val="left"/>
        <w:rPr>
          <w:b/>
          <w:sz w:val="20"/>
        </w:rPr>
      </w:pPr>
      <w:bookmarkStart w:name="_bookmark54" w:id="260"/>
      <w:bookmarkEnd w:id="260"/>
      <w:r>
        <w:rPr/>
      </w:r>
      <w:r>
        <w:rPr>
          <w:b/>
          <w:sz w:val="20"/>
        </w:rPr>
        <w:t>Table 7.2: Pedestrian Segment Risk Scores</w:t>
      </w: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888"/>
        <w:gridCol w:w="2304"/>
        <w:gridCol w:w="1584"/>
        <w:gridCol w:w="1584"/>
      </w:tblGrid>
      <w:tr>
        <w:trPr>
          <w:trHeight w:val="460" w:hRule="atLeast"/>
        </w:trPr>
        <w:tc>
          <w:tcPr>
            <w:tcW w:w="3888" w:type="dxa"/>
            <w:tcBorders>
              <w:left w:val="nil"/>
              <w:bottom w:val="single" w:sz="4" w:space="0" w:color="000000"/>
              <w:right w:val="single" w:sz="4" w:space="0" w:color="000000"/>
            </w:tcBorders>
          </w:tcPr>
          <w:p>
            <w:pPr>
              <w:pStyle w:val="TableParagraph"/>
              <w:spacing w:before="114"/>
              <w:ind w:left="108"/>
              <w:rPr>
                <w:b/>
                <w:sz w:val="20"/>
              </w:rPr>
            </w:pPr>
            <w:r>
              <w:rPr>
                <w:b/>
                <w:sz w:val="20"/>
              </w:rPr>
              <w:t>Variables</w:t>
            </w:r>
          </w:p>
        </w:tc>
        <w:tc>
          <w:tcPr>
            <w:tcW w:w="2304" w:type="dxa"/>
            <w:tcBorders>
              <w:left w:val="single" w:sz="4" w:space="0" w:color="000000"/>
              <w:bottom w:val="single" w:sz="4" w:space="0" w:color="000000"/>
              <w:right w:val="single" w:sz="4" w:space="0" w:color="000000"/>
            </w:tcBorders>
          </w:tcPr>
          <w:p>
            <w:pPr>
              <w:pStyle w:val="TableParagraph"/>
              <w:spacing w:before="114"/>
              <w:ind w:left="693" w:right="693"/>
              <w:jc w:val="center"/>
              <w:rPr>
                <w:b/>
                <w:sz w:val="20"/>
              </w:rPr>
            </w:pPr>
            <w:r>
              <w:rPr>
                <w:b/>
                <w:sz w:val="20"/>
              </w:rPr>
              <w:t>Levels</w:t>
            </w:r>
          </w:p>
        </w:tc>
        <w:tc>
          <w:tcPr>
            <w:tcW w:w="1584" w:type="dxa"/>
            <w:tcBorders>
              <w:left w:val="single" w:sz="4" w:space="0" w:color="000000"/>
              <w:bottom w:val="single" w:sz="4" w:space="0" w:color="000000"/>
              <w:right w:val="single" w:sz="4" w:space="0" w:color="000000"/>
            </w:tcBorders>
          </w:tcPr>
          <w:p>
            <w:pPr>
              <w:pStyle w:val="TableParagraph"/>
              <w:spacing w:line="230" w:lineRule="exact" w:before="2"/>
              <w:ind w:left="476" w:right="418" w:hanging="40"/>
              <w:rPr>
                <w:b/>
                <w:sz w:val="20"/>
              </w:rPr>
            </w:pPr>
            <w:r>
              <w:rPr>
                <w:b/>
                <w:sz w:val="20"/>
              </w:rPr>
              <w:t>Internal Weight</w:t>
            </w:r>
          </w:p>
        </w:tc>
        <w:tc>
          <w:tcPr>
            <w:tcW w:w="1584" w:type="dxa"/>
            <w:tcBorders>
              <w:left w:val="single" w:sz="4" w:space="0" w:color="000000"/>
              <w:bottom w:val="single" w:sz="4" w:space="0" w:color="000000"/>
              <w:right w:val="nil"/>
            </w:tcBorders>
          </w:tcPr>
          <w:p>
            <w:pPr>
              <w:pStyle w:val="TableParagraph"/>
              <w:spacing w:before="114"/>
              <w:ind w:left="309" w:right="310"/>
              <w:jc w:val="center"/>
              <w:rPr>
                <w:b/>
                <w:sz w:val="20"/>
              </w:rPr>
            </w:pPr>
            <w:r>
              <w:rPr>
                <w:b/>
                <w:sz w:val="20"/>
              </w:rPr>
              <w:t>Risk Score</w:t>
            </w:r>
          </w:p>
        </w:tc>
      </w:tr>
      <w:tr>
        <w:trPr>
          <w:trHeight w:val="286" w:hRule="atLeast"/>
        </w:trPr>
        <w:tc>
          <w:tcPr>
            <w:tcW w:w="3888" w:type="dxa"/>
            <w:vMerge w:val="restart"/>
            <w:tcBorders>
              <w:top w:val="single" w:sz="4" w:space="0" w:color="000000"/>
              <w:left w:val="nil"/>
              <w:bottom w:val="single" w:sz="4" w:space="0" w:color="000000"/>
              <w:right w:val="single" w:sz="4" w:space="0" w:color="000000"/>
            </w:tcBorders>
            <w:shd w:val="clear" w:color="auto" w:fill="F2F2F2"/>
          </w:tcPr>
          <w:p>
            <w:pPr>
              <w:pStyle w:val="TableParagraph"/>
              <w:spacing w:before="173"/>
              <w:ind w:left="108"/>
              <w:rPr>
                <w:sz w:val="20"/>
              </w:rPr>
            </w:pPr>
            <w:r>
              <w:rPr>
                <w:sz w:val="20"/>
              </w:rPr>
              <w:t>Traffic direction</w:t>
            </w:r>
          </w:p>
        </w:tc>
        <w:tc>
          <w:tcPr>
            <w:tcW w:w="230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4"/>
              <w:ind w:left="693" w:right="693"/>
              <w:jc w:val="center"/>
              <w:rPr>
                <w:sz w:val="20"/>
              </w:rPr>
            </w:pPr>
            <w:r>
              <w:rPr>
                <w:sz w:val="20"/>
              </w:rPr>
              <w:t>One-way</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4"/>
              <w:ind w:left="592" w:right="591"/>
              <w:jc w:val="center"/>
              <w:rPr>
                <w:sz w:val="20"/>
              </w:rPr>
            </w:pPr>
            <w:r>
              <w:rPr>
                <w:sz w:val="20"/>
              </w:rPr>
              <w:t>3.63</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26"/>
              <w:ind w:left="307" w:right="311"/>
              <w:jc w:val="center"/>
              <w:rPr>
                <w:b/>
                <w:sz w:val="20"/>
              </w:rPr>
            </w:pPr>
            <w:r>
              <w:rPr>
                <w:b/>
                <w:sz w:val="20"/>
              </w:rPr>
              <w:t>17</w:t>
            </w:r>
          </w:p>
        </w:tc>
      </w:tr>
      <w:tr>
        <w:trPr>
          <w:trHeight w:val="287"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6"/>
              <w:ind w:left="693" w:right="693"/>
              <w:jc w:val="center"/>
              <w:rPr>
                <w:sz w:val="20"/>
              </w:rPr>
            </w:pPr>
            <w:r>
              <w:rPr>
                <w:sz w:val="20"/>
              </w:rPr>
              <w:t>Two-way</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6"/>
              <w:ind w:left="592"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26"/>
              <w:ind w:right="3"/>
              <w:jc w:val="center"/>
              <w:rPr>
                <w:sz w:val="20"/>
              </w:rPr>
            </w:pPr>
            <w:r>
              <w:rPr>
                <w:w w:val="100"/>
                <w:sz w:val="20"/>
              </w:rPr>
              <w:t>0</w:t>
            </w:r>
          </w:p>
        </w:tc>
      </w:tr>
      <w:tr>
        <w:trPr>
          <w:trHeight w:val="288" w:hRule="atLeast"/>
        </w:trPr>
        <w:tc>
          <w:tcPr>
            <w:tcW w:w="3888" w:type="dxa"/>
            <w:vMerge w:val="restart"/>
            <w:tcBorders>
              <w:top w:val="single" w:sz="4" w:space="0" w:color="000000"/>
              <w:left w:val="nil"/>
              <w:bottom w:val="single" w:sz="4" w:space="0" w:color="000000"/>
              <w:right w:val="single" w:sz="4" w:space="0" w:color="000000"/>
            </w:tcBorders>
          </w:tcPr>
          <w:p>
            <w:pPr>
              <w:pStyle w:val="TableParagraph"/>
              <w:spacing w:before="175"/>
              <w:ind w:left="108"/>
              <w:rPr>
                <w:sz w:val="20"/>
              </w:rPr>
            </w:pPr>
            <w:r>
              <w:rPr>
                <w:sz w:val="20"/>
              </w:rPr>
              <w:t>On-street parking</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26"/>
              <w:ind w:left="693" w:right="693"/>
              <w:jc w:val="center"/>
              <w:rPr>
                <w:sz w:val="20"/>
              </w:rPr>
            </w:pPr>
            <w:r>
              <w:rPr>
                <w:sz w:val="20"/>
              </w:rPr>
              <w:t>Yes</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26"/>
              <w:ind w:left="592" w:right="591"/>
              <w:jc w:val="center"/>
              <w:rPr>
                <w:sz w:val="20"/>
              </w:rPr>
            </w:pPr>
            <w:r>
              <w:rPr>
                <w:sz w:val="20"/>
              </w:rPr>
              <w:t>3.81</w:t>
            </w:r>
          </w:p>
        </w:tc>
        <w:tc>
          <w:tcPr>
            <w:tcW w:w="1584" w:type="dxa"/>
            <w:tcBorders>
              <w:top w:val="single" w:sz="4" w:space="0" w:color="000000"/>
              <w:left w:val="single" w:sz="4" w:space="0" w:color="000000"/>
              <w:bottom w:val="single" w:sz="4" w:space="0" w:color="000000"/>
              <w:right w:val="nil"/>
            </w:tcBorders>
          </w:tcPr>
          <w:p>
            <w:pPr>
              <w:pStyle w:val="TableParagraph"/>
              <w:spacing w:before="29"/>
              <w:ind w:left="307" w:right="311"/>
              <w:jc w:val="center"/>
              <w:rPr>
                <w:b/>
                <w:sz w:val="20"/>
              </w:rPr>
            </w:pPr>
            <w:r>
              <w:rPr>
                <w:b/>
                <w:sz w:val="20"/>
              </w:rPr>
              <w:t>17</w:t>
            </w:r>
          </w:p>
        </w:tc>
      </w:tr>
      <w:tr>
        <w:trPr>
          <w:trHeight w:val="287" w:hRule="atLeast"/>
        </w:trPr>
        <w:tc>
          <w:tcPr>
            <w:tcW w:w="3888" w:type="dxa"/>
            <w:vMerge/>
            <w:tcBorders>
              <w:top w:val="nil"/>
              <w:left w:val="nil"/>
              <w:bottom w:val="single" w:sz="4" w:space="0" w:color="000000"/>
              <w:right w:val="single" w:sz="4" w:space="0" w:color="000000"/>
            </w:tcBorders>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25"/>
              <w:ind w:left="693" w:right="693"/>
              <w:jc w:val="center"/>
              <w:rPr>
                <w:sz w:val="20"/>
              </w:rPr>
            </w:pPr>
            <w:r>
              <w:rPr>
                <w:sz w:val="20"/>
              </w:rPr>
              <w:t>No</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25"/>
              <w:ind w:left="592"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25"/>
              <w:ind w:right="3"/>
              <w:jc w:val="center"/>
              <w:rPr>
                <w:sz w:val="20"/>
              </w:rPr>
            </w:pPr>
            <w:r>
              <w:rPr>
                <w:w w:val="100"/>
                <w:sz w:val="20"/>
              </w:rPr>
              <w:t>0</w:t>
            </w:r>
          </w:p>
        </w:tc>
      </w:tr>
      <w:tr>
        <w:trPr>
          <w:trHeight w:val="287" w:hRule="atLeast"/>
        </w:trPr>
        <w:tc>
          <w:tcPr>
            <w:tcW w:w="3888" w:type="dxa"/>
            <w:vMerge w:val="restart"/>
            <w:tcBorders>
              <w:top w:val="single" w:sz="4" w:space="0" w:color="000000"/>
              <w:left w:val="nil"/>
              <w:bottom w:val="single" w:sz="4" w:space="0" w:color="000000"/>
              <w:right w:val="single" w:sz="4" w:space="0" w:color="000000"/>
            </w:tcBorders>
            <w:shd w:val="clear" w:color="auto" w:fill="E7E6E6"/>
          </w:tcPr>
          <w:p>
            <w:pPr>
              <w:pStyle w:val="TableParagraph"/>
              <w:rPr>
                <w:b/>
                <w:sz w:val="22"/>
              </w:rPr>
            </w:pPr>
          </w:p>
          <w:p>
            <w:pPr>
              <w:pStyle w:val="TableParagraph"/>
              <w:spacing w:before="1"/>
              <w:rPr>
                <w:b/>
                <w:sz w:val="19"/>
              </w:rPr>
            </w:pPr>
          </w:p>
          <w:p>
            <w:pPr>
              <w:pStyle w:val="TableParagraph"/>
              <w:ind w:left="108"/>
              <w:rPr>
                <w:sz w:val="20"/>
              </w:rPr>
            </w:pPr>
            <w:r>
              <w:rPr>
                <w:sz w:val="20"/>
              </w:rPr>
              <w:t>Posted speed limit (mph)</w:t>
            </w: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3" w:right="693"/>
              <w:jc w:val="center"/>
              <w:rPr>
                <w:sz w:val="20"/>
              </w:rPr>
            </w:pPr>
            <w:r>
              <w:rPr>
                <w:sz w:val="20"/>
              </w:rPr>
              <w:t>&lt;=25</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6"/>
              <w:ind w:right="3"/>
              <w:jc w:val="center"/>
              <w:rPr>
                <w:sz w:val="20"/>
              </w:rPr>
            </w:pPr>
            <w:r>
              <w:rPr>
                <w:w w:val="100"/>
                <w:sz w:val="20"/>
              </w:rPr>
              <w:t>0</w:t>
            </w:r>
          </w:p>
        </w:tc>
      </w:tr>
      <w:tr>
        <w:trPr>
          <w:trHeight w:val="288"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3" w:right="693"/>
              <w:jc w:val="center"/>
              <w:rPr>
                <w:sz w:val="20"/>
              </w:rPr>
            </w:pPr>
            <w:r>
              <w:rPr>
                <w:sz w:val="20"/>
              </w:rPr>
              <w:t>30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1.28</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6"/>
              <w:ind w:right="3"/>
              <w:jc w:val="center"/>
              <w:rPr>
                <w:sz w:val="20"/>
              </w:rPr>
            </w:pPr>
            <w:r>
              <w:rPr>
                <w:w w:val="100"/>
                <w:sz w:val="20"/>
              </w:rPr>
              <w:t>6</w:t>
            </w:r>
          </w:p>
        </w:tc>
      </w:tr>
      <w:tr>
        <w:trPr>
          <w:trHeight w:val="287"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5"/>
              <w:ind w:left="693" w:right="693"/>
              <w:jc w:val="center"/>
              <w:rPr>
                <w:sz w:val="20"/>
              </w:rPr>
            </w:pPr>
            <w:r>
              <w:rPr>
                <w:sz w:val="20"/>
              </w:rPr>
              <w:t>35</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5"/>
              <w:ind w:left="592" w:right="591"/>
              <w:jc w:val="center"/>
              <w:rPr>
                <w:sz w:val="20"/>
              </w:rPr>
            </w:pPr>
            <w:r>
              <w:rPr>
                <w:sz w:val="20"/>
              </w:rPr>
              <w:t>1.64</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5"/>
              <w:ind w:right="3"/>
              <w:jc w:val="center"/>
              <w:rPr>
                <w:sz w:val="20"/>
              </w:rPr>
            </w:pPr>
            <w:r>
              <w:rPr>
                <w:w w:val="100"/>
                <w:sz w:val="20"/>
              </w:rPr>
              <w:t>8</w:t>
            </w:r>
          </w:p>
        </w:tc>
      </w:tr>
      <w:tr>
        <w:trPr>
          <w:trHeight w:val="287"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3" w:right="693"/>
              <w:jc w:val="center"/>
              <w:rPr>
                <w:sz w:val="20"/>
              </w:rPr>
            </w:pPr>
            <w:r>
              <w:rPr>
                <w:sz w:val="20"/>
              </w:rPr>
              <w:t>&gt;35</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2.70</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9"/>
              <w:ind w:left="308" w:right="311"/>
              <w:jc w:val="center"/>
              <w:rPr>
                <w:b/>
                <w:sz w:val="20"/>
              </w:rPr>
            </w:pPr>
            <w:r>
              <w:rPr>
                <w:b/>
                <w:sz w:val="20"/>
              </w:rPr>
              <w:t>12</w:t>
            </w:r>
          </w:p>
        </w:tc>
      </w:tr>
      <w:tr>
        <w:trPr>
          <w:trHeight w:val="288" w:hRule="atLeast"/>
        </w:trPr>
        <w:tc>
          <w:tcPr>
            <w:tcW w:w="3888" w:type="dxa"/>
            <w:vMerge w:val="restart"/>
            <w:tcBorders>
              <w:top w:val="single" w:sz="4" w:space="0" w:color="000000"/>
              <w:left w:val="nil"/>
              <w:bottom w:val="single" w:sz="4" w:space="0" w:color="000000"/>
              <w:right w:val="single" w:sz="4" w:space="0" w:color="000000"/>
            </w:tcBorders>
          </w:tcPr>
          <w:p>
            <w:pPr>
              <w:pStyle w:val="TableParagraph"/>
              <w:spacing w:before="175"/>
              <w:ind w:left="108"/>
              <w:rPr>
                <w:sz w:val="20"/>
              </w:rPr>
            </w:pPr>
            <w:r>
              <w:rPr>
                <w:sz w:val="20"/>
              </w:rPr>
              <w:t>Presence of TWLTL</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26"/>
              <w:ind w:left="693" w:right="693"/>
              <w:jc w:val="center"/>
              <w:rPr>
                <w:sz w:val="20"/>
              </w:rPr>
            </w:pPr>
            <w:r>
              <w:rPr>
                <w:sz w:val="20"/>
              </w:rPr>
              <w:t>Yes</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26"/>
              <w:ind w:left="592" w:right="591"/>
              <w:jc w:val="center"/>
              <w:rPr>
                <w:sz w:val="20"/>
              </w:rPr>
            </w:pPr>
            <w:r>
              <w:rPr>
                <w:sz w:val="20"/>
              </w:rPr>
              <w:t>2.92</w:t>
            </w:r>
          </w:p>
        </w:tc>
        <w:tc>
          <w:tcPr>
            <w:tcW w:w="1584" w:type="dxa"/>
            <w:tcBorders>
              <w:top w:val="single" w:sz="4" w:space="0" w:color="000000"/>
              <w:left w:val="single" w:sz="4" w:space="0" w:color="000000"/>
              <w:bottom w:val="single" w:sz="4" w:space="0" w:color="000000"/>
              <w:right w:val="nil"/>
            </w:tcBorders>
          </w:tcPr>
          <w:p>
            <w:pPr>
              <w:pStyle w:val="TableParagraph"/>
              <w:spacing w:before="29"/>
              <w:ind w:left="307" w:right="311"/>
              <w:jc w:val="center"/>
              <w:rPr>
                <w:b/>
                <w:sz w:val="20"/>
              </w:rPr>
            </w:pPr>
            <w:r>
              <w:rPr>
                <w:b/>
                <w:sz w:val="20"/>
              </w:rPr>
              <w:t>14</w:t>
            </w:r>
          </w:p>
        </w:tc>
      </w:tr>
      <w:tr>
        <w:trPr>
          <w:trHeight w:val="287" w:hRule="atLeast"/>
        </w:trPr>
        <w:tc>
          <w:tcPr>
            <w:tcW w:w="3888" w:type="dxa"/>
            <w:vMerge/>
            <w:tcBorders>
              <w:top w:val="nil"/>
              <w:left w:val="nil"/>
              <w:bottom w:val="single" w:sz="4" w:space="0" w:color="000000"/>
              <w:right w:val="single" w:sz="4" w:space="0" w:color="000000"/>
            </w:tcBorders>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25"/>
              <w:ind w:left="693" w:right="693"/>
              <w:jc w:val="center"/>
              <w:rPr>
                <w:sz w:val="20"/>
              </w:rPr>
            </w:pPr>
            <w:r>
              <w:rPr>
                <w:sz w:val="20"/>
              </w:rPr>
              <w:t>No</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25"/>
              <w:ind w:left="592"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25"/>
              <w:ind w:right="3"/>
              <w:jc w:val="center"/>
              <w:rPr>
                <w:sz w:val="20"/>
              </w:rPr>
            </w:pPr>
            <w:r>
              <w:rPr>
                <w:w w:val="100"/>
                <w:sz w:val="20"/>
              </w:rPr>
              <w:t>0</w:t>
            </w:r>
          </w:p>
        </w:tc>
      </w:tr>
      <w:tr>
        <w:trPr>
          <w:trHeight w:val="287" w:hRule="atLeast"/>
        </w:trPr>
        <w:tc>
          <w:tcPr>
            <w:tcW w:w="3888" w:type="dxa"/>
            <w:vMerge w:val="restart"/>
            <w:tcBorders>
              <w:top w:val="single" w:sz="4" w:space="0" w:color="000000"/>
              <w:left w:val="nil"/>
              <w:bottom w:val="single" w:sz="4" w:space="0" w:color="000000"/>
              <w:right w:val="single" w:sz="4" w:space="0" w:color="000000"/>
            </w:tcBorders>
            <w:shd w:val="clear" w:color="auto" w:fill="E7E6E6"/>
          </w:tcPr>
          <w:p>
            <w:pPr>
              <w:pStyle w:val="TableParagraph"/>
              <w:rPr>
                <w:b/>
                <w:sz w:val="22"/>
              </w:rPr>
            </w:pPr>
          </w:p>
          <w:p>
            <w:pPr>
              <w:pStyle w:val="TableParagraph"/>
              <w:rPr>
                <w:b/>
                <w:sz w:val="32"/>
              </w:rPr>
            </w:pPr>
          </w:p>
          <w:p>
            <w:pPr>
              <w:pStyle w:val="TableParagraph"/>
              <w:spacing w:before="1"/>
              <w:ind w:left="108"/>
              <w:rPr>
                <w:sz w:val="20"/>
              </w:rPr>
            </w:pPr>
            <w:r>
              <w:rPr>
                <w:sz w:val="20"/>
              </w:rPr>
              <w:t>Total population density (per square mile)</w:t>
            </w: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2" w:right="693"/>
              <w:jc w:val="center"/>
              <w:rPr>
                <w:sz w:val="20"/>
              </w:rPr>
            </w:pPr>
            <w:r>
              <w:rPr>
                <w:sz w:val="20"/>
              </w:rPr>
              <w:t>&lt;=1000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9"/>
              <w:ind w:right="3"/>
              <w:jc w:val="center"/>
              <w:rPr>
                <w:b/>
                <w:sz w:val="20"/>
              </w:rPr>
            </w:pPr>
            <w:r>
              <w:rPr>
                <w:b/>
                <w:w w:val="100"/>
                <w:sz w:val="20"/>
              </w:rPr>
              <w:t>0</w:t>
            </w:r>
          </w:p>
        </w:tc>
      </w:tr>
      <w:tr>
        <w:trPr>
          <w:trHeight w:val="288"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3" w:right="693"/>
              <w:jc w:val="center"/>
              <w:rPr>
                <w:sz w:val="20"/>
              </w:rPr>
            </w:pPr>
            <w:r>
              <w:rPr>
                <w:sz w:val="20"/>
              </w:rPr>
              <w:t>1001-3000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1.30</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6"/>
              <w:ind w:right="3"/>
              <w:jc w:val="center"/>
              <w:rPr>
                <w:sz w:val="20"/>
              </w:rPr>
            </w:pPr>
            <w:r>
              <w:rPr>
                <w:w w:val="100"/>
                <w:sz w:val="20"/>
              </w:rPr>
              <w:t>6</w:t>
            </w:r>
          </w:p>
        </w:tc>
      </w:tr>
      <w:tr>
        <w:trPr>
          <w:trHeight w:val="287"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5"/>
              <w:ind w:left="693" w:right="693"/>
              <w:jc w:val="center"/>
              <w:rPr>
                <w:sz w:val="20"/>
              </w:rPr>
            </w:pPr>
            <w:r>
              <w:rPr>
                <w:sz w:val="20"/>
              </w:rPr>
              <w:t>3001-5000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5"/>
              <w:ind w:left="592" w:right="591"/>
              <w:jc w:val="center"/>
              <w:rPr>
                <w:sz w:val="20"/>
              </w:rPr>
            </w:pPr>
            <w:r>
              <w:rPr>
                <w:sz w:val="20"/>
              </w:rPr>
              <w:t>1.84</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5"/>
              <w:ind w:right="3"/>
              <w:jc w:val="center"/>
              <w:rPr>
                <w:sz w:val="20"/>
              </w:rPr>
            </w:pPr>
            <w:r>
              <w:rPr>
                <w:w w:val="100"/>
                <w:sz w:val="20"/>
              </w:rPr>
              <w:t>8</w:t>
            </w:r>
          </w:p>
        </w:tc>
      </w:tr>
      <w:tr>
        <w:trPr>
          <w:trHeight w:val="287"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3" w:right="693"/>
              <w:jc w:val="center"/>
              <w:rPr>
                <w:sz w:val="20"/>
              </w:rPr>
            </w:pPr>
            <w:r>
              <w:rPr>
                <w:sz w:val="20"/>
              </w:rPr>
              <w:t>5001-7000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2.62</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6"/>
              <w:ind w:left="307" w:right="311"/>
              <w:jc w:val="center"/>
              <w:rPr>
                <w:sz w:val="20"/>
              </w:rPr>
            </w:pPr>
            <w:r>
              <w:rPr>
                <w:sz w:val="20"/>
              </w:rPr>
              <w:t>11</w:t>
            </w:r>
          </w:p>
        </w:tc>
      </w:tr>
      <w:tr>
        <w:trPr>
          <w:trHeight w:val="288" w:hRule="atLeast"/>
        </w:trPr>
        <w:tc>
          <w:tcPr>
            <w:tcW w:w="3888" w:type="dxa"/>
            <w:vMerge/>
            <w:tcBorders>
              <w:top w:val="nil"/>
              <w:left w:val="nil"/>
              <w:bottom w:val="single" w:sz="4" w:space="0" w:color="000000"/>
              <w:right w:val="single" w:sz="4" w:space="0" w:color="000000"/>
            </w:tcBorders>
            <w:shd w:val="clear" w:color="auto" w:fill="E7E6E6"/>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692" w:right="693"/>
              <w:jc w:val="center"/>
              <w:rPr>
                <w:sz w:val="20"/>
              </w:rPr>
            </w:pPr>
            <w:r>
              <w:rPr>
                <w:sz w:val="20"/>
              </w:rPr>
              <w:t>&gt;7000</w:t>
            </w:r>
          </w:p>
        </w:tc>
        <w:tc>
          <w:tcPr>
            <w:tcW w:w="1584"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before="26"/>
              <w:ind w:left="592" w:right="591"/>
              <w:jc w:val="center"/>
              <w:rPr>
                <w:sz w:val="20"/>
              </w:rPr>
            </w:pPr>
            <w:r>
              <w:rPr>
                <w:sz w:val="20"/>
              </w:rPr>
              <w:t>4.41</w:t>
            </w:r>
          </w:p>
        </w:tc>
        <w:tc>
          <w:tcPr>
            <w:tcW w:w="1584" w:type="dxa"/>
            <w:tcBorders>
              <w:top w:val="single" w:sz="4" w:space="0" w:color="000000"/>
              <w:left w:val="single" w:sz="4" w:space="0" w:color="000000"/>
              <w:bottom w:val="single" w:sz="4" w:space="0" w:color="000000"/>
              <w:right w:val="nil"/>
            </w:tcBorders>
            <w:shd w:val="clear" w:color="auto" w:fill="E7E6E6"/>
          </w:tcPr>
          <w:p>
            <w:pPr>
              <w:pStyle w:val="TableParagraph"/>
              <w:spacing w:before="29"/>
              <w:ind w:left="307" w:right="311"/>
              <w:jc w:val="center"/>
              <w:rPr>
                <w:b/>
                <w:sz w:val="20"/>
              </w:rPr>
            </w:pPr>
            <w:r>
              <w:rPr>
                <w:b/>
                <w:sz w:val="20"/>
              </w:rPr>
              <w:t>20</w:t>
            </w:r>
          </w:p>
        </w:tc>
      </w:tr>
      <w:tr>
        <w:trPr>
          <w:trHeight w:val="277" w:hRule="atLeast"/>
        </w:trPr>
        <w:tc>
          <w:tcPr>
            <w:tcW w:w="3888" w:type="dxa"/>
            <w:vMerge w:val="restart"/>
            <w:tcBorders>
              <w:top w:val="single" w:sz="4" w:space="0" w:color="000000"/>
              <w:left w:val="nil"/>
              <w:right w:val="single" w:sz="4" w:space="0" w:color="000000"/>
            </w:tcBorders>
          </w:tcPr>
          <w:p>
            <w:pPr>
              <w:pStyle w:val="TableParagraph"/>
              <w:spacing w:before="2"/>
              <w:rPr>
                <w:b/>
                <w:sz w:val="28"/>
              </w:rPr>
            </w:pPr>
          </w:p>
          <w:p>
            <w:pPr>
              <w:pStyle w:val="TableParagraph"/>
              <w:ind w:left="108"/>
              <w:rPr>
                <w:sz w:val="20"/>
              </w:rPr>
            </w:pPr>
            <w:r>
              <w:rPr>
                <w:sz w:val="20"/>
              </w:rPr>
              <w:t>Total traffic lanes</w:t>
            </w: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25"/>
              <w:ind w:right="1"/>
              <w:jc w:val="center"/>
              <w:rPr>
                <w:sz w:val="20"/>
              </w:rPr>
            </w:pPr>
            <w:r>
              <w:rPr>
                <w:w w:val="100"/>
                <w:sz w:val="20"/>
              </w:rPr>
              <w:t>2</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25"/>
              <w:ind w:right="1"/>
              <w:jc w:val="center"/>
              <w:rPr>
                <w:sz w:val="20"/>
              </w:rPr>
            </w:pPr>
            <w:r>
              <w:rPr>
                <w:w w:val="100"/>
                <w:sz w:val="20"/>
              </w:rPr>
              <w:t>1</w:t>
            </w:r>
          </w:p>
        </w:tc>
        <w:tc>
          <w:tcPr>
            <w:tcW w:w="1584" w:type="dxa"/>
            <w:tcBorders>
              <w:top w:val="single" w:sz="4" w:space="0" w:color="000000"/>
              <w:left w:val="single" w:sz="4" w:space="0" w:color="000000"/>
              <w:bottom w:val="single" w:sz="4" w:space="0" w:color="000000"/>
              <w:right w:val="nil"/>
            </w:tcBorders>
          </w:tcPr>
          <w:p>
            <w:pPr>
              <w:pStyle w:val="TableParagraph"/>
              <w:spacing w:before="25"/>
              <w:ind w:right="4"/>
              <w:jc w:val="center"/>
              <w:rPr>
                <w:sz w:val="20"/>
              </w:rPr>
            </w:pPr>
            <w:r>
              <w:rPr>
                <w:w w:val="100"/>
                <w:sz w:val="20"/>
              </w:rPr>
              <w:t>0</w:t>
            </w:r>
          </w:p>
        </w:tc>
      </w:tr>
      <w:tr>
        <w:trPr>
          <w:trHeight w:val="267" w:hRule="atLeast"/>
        </w:trPr>
        <w:tc>
          <w:tcPr>
            <w:tcW w:w="3888" w:type="dxa"/>
            <w:vMerge/>
            <w:tcBorders>
              <w:top w:val="nil"/>
              <w:left w:val="nil"/>
              <w:right w:val="single" w:sz="4" w:space="0" w:color="000000"/>
            </w:tcBorders>
          </w:tcPr>
          <w:p>
            <w:pPr>
              <w:rPr>
                <w:sz w:val="2"/>
                <w:szCs w:val="2"/>
              </w:rPr>
            </w:pPr>
          </w:p>
        </w:tc>
        <w:tc>
          <w:tcPr>
            <w:tcW w:w="2304" w:type="dxa"/>
            <w:tcBorders>
              <w:top w:val="single" w:sz="4" w:space="0" w:color="000000"/>
              <w:left w:val="single" w:sz="4" w:space="0" w:color="000000"/>
              <w:bottom w:val="single" w:sz="4" w:space="0" w:color="000000"/>
              <w:right w:val="single" w:sz="4" w:space="0" w:color="000000"/>
            </w:tcBorders>
          </w:tcPr>
          <w:p>
            <w:pPr>
              <w:pStyle w:val="TableParagraph"/>
              <w:spacing w:before="16"/>
              <w:ind w:left="693" w:right="693"/>
              <w:jc w:val="center"/>
              <w:rPr>
                <w:sz w:val="20"/>
              </w:rPr>
            </w:pPr>
            <w:r>
              <w:rPr>
                <w:sz w:val="20"/>
              </w:rPr>
              <w:t>3 or 4</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16"/>
              <w:ind w:left="592" w:right="591"/>
              <w:jc w:val="center"/>
              <w:rPr>
                <w:sz w:val="20"/>
              </w:rPr>
            </w:pPr>
            <w:r>
              <w:rPr>
                <w:sz w:val="20"/>
              </w:rPr>
              <w:t>2.09</w:t>
            </w:r>
          </w:p>
        </w:tc>
        <w:tc>
          <w:tcPr>
            <w:tcW w:w="1584" w:type="dxa"/>
            <w:tcBorders>
              <w:top w:val="single" w:sz="4" w:space="0" w:color="000000"/>
              <w:left w:val="single" w:sz="4" w:space="0" w:color="000000"/>
              <w:bottom w:val="single" w:sz="4" w:space="0" w:color="000000"/>
              <w:right w:val="nil"/>
            </w:tcBorders>
          </w:tcPr>
          <w:p>
            <w:pPr>
              <w:pStyle w:val="TableParagraph"/>
              <w:spacing w:before="16"/>
              <w:ind w:left="309" w:right="311"/>
              <w:jc w:val="center"/>
              <w:rPr>
                <w:sz w:val="20"/>
              </w:rPr>
            </w:pPr>
            <w:r>
              <w:rPr>
                <w:sz w:val="20"/>
              </w:rPr>
              <w:t>10</w:t>
            </w:r>
          </w:p>
        </w:tc>
      </w:tr>
      <w:tr>
        <w:trPr>
          <w:trHeight w:val="278" w:hRule="atLeast"/>
        </w:trPr>
        <w:tc>
          <w:tcPr>
            <w:tcW w:w="3888" w:type="dxa"/>
            <w:vMerge/>
            <w:tcBorders>
              <w:top w:val="nil"/>
              <w:left w:val="nil"/>
              <w:right w:val="single" w:sz="4" w:space="0" w:color="000000"/>
            </w:tcBorders>
          </w:tcPr>
          <w:p>
            <w:pPr>
              <w:rPr>
                <w:sz w:val="2"/>
                <w:szCs w:val="2"/>
              </w:rPr>
            </w:pPr>
          </w:p>
        </w:tc>
        <w:tc>
          <w:tcPr>
            <w:tcW w:w="2304" w:type="dxa"/>
            <w:tcBorders>
              <w:top w:val="single" w:sz="4" w:space="0" w:color="000000"/>
              <w:left w:val="single" w:sz="4" w:space="0" w:color="000000"/>
              <w:right w:val="single" w:sz="4" w:space="0" w:color="000000"/>
            </w:tcBorders>
          </w:tcPr>
          <w:p>
            <w:pPr>
              <w:pStyle w:val="TableParagraph"/>
              <w:spacing w:before="16"/>
              <w:ind w:left="693" w:right="693"/>
              <w:jc w:val="center"/>
              <w:rPr>
                <w:sz w:val="20"/>
              </w:rPr>
            </w:pPr>
            <w:r>
              <w:rPr>
                <w:sz w:val="20"/>
              </w:rPr>
              <w:t>&gt;4</w:t>
            </w:r>
          </w:p>
        </w:tc>
        <w:tc>
          <w:tcPr>
            <w:tcW w:w="1584" w:type="dxa"/>
            <w:tcBorders>
              <w:top w:val="single" w:sz="4" w:space="0" w:color="000000"/>
              <w:left w:val="single" w:sz="4" w:space="0" w:color="000000"/>
              <w:right w:val="single" w:sz="4" w:space="0" w:color="000000"/>
            </w:tcBorders>
          </w:tcPr>
          <w:p>
            <w:pPr>
              <w:pStyle w:val="TableParagraph"/>
              <w:spacing w:before="16"/>
              <w:ind w:left="592" w:right="591"/>
              <w:jc w:val="center"/>
              <w:rPr>
                <w:sz w:val="20"/>
              </w:rPr>
            </w:pPr>
            <w:r>
              <w:rPr>
                <w:sz w:val="20"/>
              </w:rPr>
              <w:t>4.38</w:t>
            </w:r>
          </w:p>
        </w:tc>
        <w:tc>
          <w:tcPr>
            <w:tcW w:w="1584" w:type="dxa"/>
            <w:tcBorders>
              <w:top w:val="single" w:sz="4" w:space="0" w:color="000000"/>
              <w:left w:val="single" w:sz="4" w:space="0" w:color="000000"/>
              <w:right w:val="nil"/>
            </w:tcBorders>
          </w:tcPr>
          <w:p>
            <w:pPr>
              <w:pStyle w:val="TableParagraph"/>
              <w:spacing w:before="19"/>
              <w:ind w:left="309" w:right="311"/>
              <w:jc w:val="center"/>
              <w:rPr>
                <w:b/>
                <w:sz w:val="20"/>
              </w:rPr>
            </w:pPr>
            <w:r>
              <w:rPr>
                <w:b/>
                <w:sz w:val="20"/>
              </w:rPr>
              <w:t>20</w:t>
            </w:r>
          </w:p>
        </w:tc>
      </w:tr>
    </w:tbl>
    <w:p>
      <w:pPr>
        <w:pStyle w:val="BodyText"/>
        <w:rPr>
          <w:b/>
        </w:rPr>
      </w:pPr>
    </w:p>
    <w:p>
      <w:pPr>
        <w:pStyle w:val="Heading3"/>
        <w:numPr>
          <w:ilvl w:val="2"/>
          <w:numId w:val="31"/>
        </w:numPr>
        <w:tabs>
          <w:tab w:pos="1040" w:val="left" w:leader="none"/>
        </w:tabs>
        <w:spacing w:line="240" w:lineRule="auto" w:before="0" w:after="0"/>
        <w:ind w:left="1039" w:right="0" w:hanging="719"/>
        <w:jc w:val="left"/>
      </w:pPr>
      <w:bookmarkStart w:name="_TOC_250012" w:id="261"/>
      <w:bookmarkStart w:name="7.2.2 Intersection Risk Score" w:id="262"/>
      <w:r>
        <w:rPr>
          <w:b w:val="0"/>
        </w:rPr>
      </w:r>
      <w:bookmarkEnd w:id="262"/>
      <w:bookmarkStart w:name="7.2.2 Intersection Risk Score" w:id="263"/>
      <w:r>
        <w:rPr/>
        <w:t>I</w:t>
      </w:r>
      <w:r>
        <w:rPr/>
        <w:t>ntersection Risk</w:t>
      </w:r>
      <w:r>
        <w:rPr>
          <w:spacing w:val="-4"/>
        </w:rPr>
        <w:t> </w:t>
      </w:r>
      <w:bookmarkEnd w:id="261"/>
      <w:r>
        <w:rPr/>
        <w:t>Score</w:t>
      </w:r>
    </w:p>
    <w:p>
      <w:pPr>
        <w:pStyle w:val="BodyText"/>
        <w:spacing w:before="236"/>
        <w:ind w:left="320" w:right="1452"/>
      </w:pPr>
      <w:r>
        <w:rPr/>
        <w:t>Risk scores of significant variables in the intersection pedestrian crash model are presented in</w:t>
      </w:r>
      <w:hyperlink w:history="true" w:anchor="_bookmark55">
        <w:r>
          <w:rPr/>
          <w:t> Table 7.3</w:t>
        </w:r>
      </w:hyperlink>
      <w:r>
        <w:rPr/>
        <w:t>. Three continuous variables – total population density, the number of transit lines and AADT of major roads – are divided into several levels as shown. The largest contributing variable to the risk score (maximum value = 26 is assigned to the number of transit routes running through the intersection. Population density in the census block received the next highest weight with a maximum score of 20. Traffic volume, with respect to major road AADT, was next with a maximum score of 18 for volumes exceeding 25,000. The remaining geometric variables related to medians on the major roads, right-turn lanes on the minor roads, and right- turn lanes on the minor roads received 13, 15, and 8 points,</w:t>
      </w:r>
      <w:r>
        <w:rPr>
          <w:spacing w:val="-5"/>
        </w:rPr>
        <w:t> </w:t>
      </w:r>
      <w:r>
        <w:rPr/>
        <w:t>respectively.</w:t>
      </w:r>
    </w:p>
    <w:p>
      <w:pPr>
        <w:spacing w:after="0"/>
        <w:sectPr>
          <w:pgSz w:w="12240" w:h="15840"/>
          <w:pgMar w:header="0" w:footer="709" w:top="920" w:bottom="980" w:left="1120" w:right="0"/>
        </w:sectPr>
      </w:pPr>
    </w:p>
    <w:p>
      <w:pPr>
        <w:spacing w:before="75"/>
        <w:ind w:left="320" w:right="0" w:firstLine="0"/>
        <w:jc w:val="left"/>
        <w:rPr>
          <w:b/>
          <w:sz w:val="20"/>
        </w:rPr>
      </w:pPr>
      <w:bookmarkStart w:name="_bookmark55" w:id="264"/>
      <w:bookmarkEnd w:id="264"/>
      <w:r>
        <w:rPr/>
      </w:r>
      <w:r>
        <w:rPr>
          <w:b/>
          <w:sz w:val="20"/>
        </w:rPr>
        <w:t>Table 7.3: Pedestrian Intersection Risk Scores</w:t>
      </w:r>
    </w:p>
    <w:tbl>
      <w:tblPr>
        <w:tblW w:w="0" w:type="auto"/>
        <w:jc w:val="left"/>
        <w:tblInd w:w="2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888"/>
        <w:gridCol w:w="2303"/>
        <w:gridCol w:w="1584"/>
        <w:gridCol w:w="1584"/>
      </w:tblGrid>
      <w:tr>
        <w:trPr>
          <w:trHeight w:val="459" w:hRule="atLeast"/>
        </w:trPr>
        <w:tc>
          <w:tcPr>
            <w:tcW w:w="3888" w:type="dxa"/>
            <w:tcBorders>
              <w:left w:val="nil"/>
              <w:bottom w:val="single" w:sz="4" w:space="0" w:color="000000"/>
              <w:right w:val="single" w:sz="4" w:space="0" w:color="000000"/>
            </w:tcBorders>
          </w:tcPr>
          <w:p>
            <w:pPr>
              <w:pStyle w:val="TableParagraph"/>
              <w:spacing w:before="113"/>
              <w:ind w:left="108"/>
              <w:rPr>
                <w:b/>
                <w:sz w:val="20"/>
              </w:rPr>
            </w:pPr>
            <w:r>
              <w:rPr>
                <w:b/>
                <w:sz w:val="20"/>
              </w:rPr>
              <w:t>Variable</w:t>
            </w:r>
          </w:p>
        </w:tc>
        <w:tc>
          <w:tcPr>
            <w:tcW w:w="2303" w:type="dxa"/>
            <w:tcBorders>
              <w:left w:val="single" w:sz="4" w:space="0" w:color="000000"/>
              <w:bottom w:val="single" w:sz="4" w:space="0" w:color="000000"/>
              <w:right w:val="single" w:sz="4" w:space="0" w:color="000000"/>
            </w:tcBorders>
          </w:tcPr>
          <w:p>
            <w:pPr>
              <w:pStyle w:val="TableParagraph"/>
              <w:spacing w:before="113"/>
              <w:ind w:left="509" w:right="509"/>
              <w:jc w:val="center"/>
              <w:rPr>
                <w:b/>
                <w:sz w:val="20"/>
              </w:rPr>
            </w:pPr>
            <w:r>
              <w:rPr>
                <w:b/>
                <w:sz w:val="20"/>
              </w:rPr>
              <w:t>Levels</w:t>
            </w:r>
          </w:p>
        </w:tc>
        <w:tc>
          <w:tcPr>
            <w:tcW w:w="1584" w:type="dxa"/>
            <w:tcBorders>
              <w:left w:val="single" w:sz="4" w:space="0" w:color="000000"/>
              <w:bottom w:val="single" w:sz="4" w:space="0" w:color="000000"/>
              <w:right w:val="single" w:sz="4" w:space="0" w:color="000000"/>
            </w:tcBorders>
          </w:tcPr>
          <w:p>
            <w:pPr>
              <w:pStyle w:val="TableParagraph"/>
              <w:spacing w:line="230" w:lineRule="exact" w:before="2"/>
              <w:ind w:left="476" w:right="418" w:hanging="40"/>
              <w:rPr>
                <w:b/>
                <w:sz w:val="20"/>
              </w:rPr>
            </w:pPr>
            <w:r>
              <w:rPr>
                <w:b/>
                <w:sz w:val="20"/>
              </w:rPr>
              <w:t>Internal Weight</w:t>
            </w:r>
          </w:p>
        </w:tc>
        <w:tc>
          <w:tcPr>
            <w:tcW w:w="1584" w:type="dxa"/>
            <w:tcBorders>
              <w:left w:val="single" w:sz="4" w:space="0" w:color="000000"/>
              <w:bottom w:val="single" w:sz="4" w:space="0" w:color="000000"/>
              <w:right w:val="nil"/>
            </w:tcBorders>
          </w:tcPr>
          <w:p>
            <w:pPr>
              <w:pStyle w:val="TableParagraph"/>
              <w:spacing w:before="113"/>
              <w:ind w:left="307" w:right="311"/>
              <w:jc w:val="center"/>
              <w:rPr>
                <w:b/>
                <w:sz w:val="20"/>
              </w:rPr>
            </w:pPr>
            <w:r>
              <w:rPr>
                <w:b/>
                <w:sz w:val="20"/>
              </w:rPr>
              <w:t>Risk Score</w:t>
            </w:r>
          </w:p>
        </w:tc>
      </w:tr>
      <w:tr>
        <w:trPr>
          <w:trHeight w:val="296" w:hRule="atLeast"/>
        </w:trPr>
        <w:tc>
          <w:tcPr>
            <w:tcW w:w="3888" w:type="dxa"/>
            <w:vMerge w:val="restart"/>
            <w:tcBorders>
              <w:top w:val="single" w:sz="4" w:space="0" w:color="000000"/>
              <w:left w:val="nil"/>
              <w:bottom w:val="single" w:sz="4" w:space="0" w:color="000000"/>
              <w:right w:val="single" w:sz="4" w:space="0" w:color="000000"/>
            </w:tcBorders>
            <w:shd w:val="clear" w:color="auto" w:fill="F2F2F2"/>
          </w:tcPr>
          <w:p>
            <w:pPr>
              <w:pStyle w:val="TableParagraph"/>
              <w:rPr>
                <w:b/>
                <w:sz w:val="22"/>
              </w:rPr>
            </w:pPr>
          </w:p>
          <w:p>
            <w:pPr>
              <w:pStyle w:val="TableParagraph"/>
              <w:rPr>
                <w:b/>
                <w:sz w:val="22"/>
              </w:rPr>
            </w:pPr>
          </w:p>
          <w:p>
            <w:pPr>
              <w:pStyle w:val="TableParagraph"/>
              <w:spacing w:before="143"/>
              <w:ind w:left="107"/>
              <w:rPr>
                <w:sz w:val="20"/>
              </w:rPr>
            </w:pPr>
            <w:r>
              <w:rPr>
                <w:sz w:val="20"/>
              </w:rPr>
              <w:t>Total population density (per square mile)</w:t>
            </w: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9"/>
              <w:ind w:left="509" w:right="509"/>
              <w:jc w:val="center"/>
              <w:rPr>
                <w:sz w:val="20"/>
              </w:rPr>
            </w:pPr>
            <w:r>
              <w:rPr>
                <w:sz w:val="20"/>
              </w:rPr>
              <w:t>&lt;=1000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9"/>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29"/>
              <w:ind w:right="6"/>
              <w:jc w:val="center"/>
              <w:rPr>
                <w:sz w:val="20"/>
              </w:rPr>
            </w:pPr>
            <w:r>
              <w:rPr>
                <w:w w:val="100"/>
                <w:sz w:val="20"/>
              </w:rPr>
              <w:t>0</w:t>
            </w:r>
          </w:p>
        </w:tc>
      </w:tr>
      <w:tr>
        <w:trPr>
          <w:trHeight w:val="300"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08" w:right="509"/>
              <w:jc w:val="center"/>
              <w:rPr>
                <w:sz w:val="20"/>
              </w:rPr>
            </w:pPr>
            <w:r>
              <w:rPr>
                <w:sz w:val="20"/>
              </w:rPr>
              <w:t>(1001, 3000)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91" w:right="591"/>
              <w:jc w:val="center"/>
              <w:rPr>
                <w:sz w:val="20"/>
              </w:rPr>
            </w:pPr>
            <w:r>
              <w:rPr>
                <w:sz w:val="20"/>
              </w:rPr>
              <w:t>1.44</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2"/>
              <w:ind w:right="6"/>
              <w:jc w:val="center"/>
              <w:rPr>
                <w:sz w:val="20"/>
              </w:rPr>
            </w:pPr>
            <w:r>
              <w:rPr>
                <w:w w:val="100"/>
                <w:sz w:val="20"/>
              </w:rPr>
              <w:t>5</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8" w:right="509"/>
              <w:jc w:val="center"/>
              <w:rPr>
                <w:sz w:val="20"/>
              </w:rPr>
            </w:pPr>
            <w:r>
              <w:rPr>
                <w:sz w:val="20"/>
              </w:rPr>
              <w:t>(3001, 5000)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2.30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right="6"/>
              <w:jc w:val="center"/>
              <w:rPr>
                <w:sz w:val="20"/>
              </w:rPr>
            </w:pPr>
            <w:r>
              <w:rPr>
                <w:w w:val="100"/>
                <w:sz w:val="20"/>
              </w:rPr>
              <w:t>8</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8" w:right="509"/>
              <w:jc w:val="center"/>
              <w:rPr>
                <w:sz w:val="20"/>
              </w:rPr>
            </w:pPr>
            <w:r>
              <w:rPr>
                <w:sz w:val="20"/>
              </w:rPr>
              <w:t>(5001, 7000)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3.77</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left="306" w:right="311"/>
              <w:jc w:val="center"/>
              <w:rPr>
                <w:sz w:val="20"/>
              </w:rPr>
            </w:pPr>
            <w:r>
              <w:rPr>
                <w:sz w:val="20"/>
              </w:rPr>
              <w:t>13</w:t>
            </w:r>
          </w:p>
        </w:tc>
      </w:tr>
      <w:tr>
        <w:trPr>
          <w:trHeight w:val="300"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09" w:right="509"/>
              <w:jc w:val="center"/>
              <w:rPr>
                <w:sz w:val="20"/>
              </w:rPr>
            </w:pPr>
            <w:r>
              <w:rPr>
                <w:sz w:val="20"/>
              </w:rPr>
              <w:t>&gt;7000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91" w:right="591"/>
              <w:jc w:val="center"/>
              <w:rPr>
                <w:sz w:val="20"/>
              </w:rPr>
            </w:pPr>
            <w:r>
              <w:rPr>
                <w:sz w:val="20"/>
              </w:rPr>
              <w:t>6.03</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5"/>
              <w:ind w:left="305" w:right="311"/>
              <w:jc w:val="center"/>
              <w:rPr>
                <w:b/>
                <w:sz w:val="20"/>
              </w:rPr>
            </w:pPr>
            <w:r>
              <w:rPr>
                <w:b/>
                <w:sz w:val="20"/>
              </w:rPr>
              <w:t>21</w:t>
            </w:r>
          </w:p>
        </w:tc>
      </w:tr>
      <w:tr>
        <w:trPr>
          <w:trHeight w:val="299" w:hRule="atLeast"/>
        </w:trPr>
        <w:tc>
          <w:tcPr>
            <w:tcW w:w="3888"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spacing w:before="7"/>
              <w:rPr>
                <w:b/>
                <w:sz w:val="24"/>
              </w:rPr>
            </w:pPr>
          </w:p>
          <w:p>
            <w:pPr>
              <w:pStyle w:val="TableParagraph"/>
              <w:ind w:left="107"/>
              <w:rPr>
                <w:sz w:val="20"/>
              </w:rPr>
            </w:pPr>
            <w:r>
              <w:rPr>
                <w:sz w:val="20"/>
              </w:rPr>
              <w:t>Number of transit lines with routes through intersection</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left="509" w:right="509"/>
              <w:jc w:val="center"/>
              <w:rPr>
                <w:sz w:val="20"/>
              </w:rPr>
            </w:pPr>
            <w:r>
              <w:rPr>
                <w:sz w:val="20"/>
              </w:rPr>
              <w:t>0(base)</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31"/>
              <w:ind w:right="6"/>
              <w:jc w:val="center"/>
              <w:rPr>
                <w:sz w:val="20"/>
              </w:rPr>
            </w:pPr>
            <w:r>
              <w:rPr>
                <w:w w:val="100"/>
                <w:sz w:val="20"/>
              </w:rPr>
              <w:t>0</w:t>
            </w:r>
          </w:p>
        </w:tc>
      </w:tr>
      <w:tr>
        <w:trPr>
          <w:trHeight w:val="299" w:hRule="atLeast"/>
        </w:trPr>
        <w:tc>
          <w:tcPr>
            <w:tcW w:w="3888" w:type="dxa"/>
            <w:vMerge/>
            <w:tcBorders>
              <w:top w:val="nil"/>
              <w:left w:val="nil"/>
              <w:bottom w:val="single" w:sz="4" w:space="0" w:color="000000"/>
              <w:right w:val="single" w:sz="4" w:space="0" w:color="000000"/>
            </w:tcBorders>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right="1"/>
              <w:jc w:val="center"/>
              <w:rPr>
                <w:sz w:val="20"/>
              </w:rPr>
            </w:pPr>
            <w:r>
              <w:rPr>
                <w:w w:val="100"/>
                <w:sz w:val="20"/>
              </w:rPr>
              <w:t>1</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1" w:right="591"/>
              <w:jc w:val="center"/>
              <w:rPr>
                <w:sz w:val="20"/>
              </w:rPr>
            </w:pPr>
            <w:r>
              <w:rPr>
                <w:sz w:val="20"/>
              </w:rPr>
              <w:t>1.47</w:t>
            </w:r>
          </w:p>
        </w:tc>
        <w:tc>
          <w:tcPr>
            <w:tcW w:w="1584" w:type="dxa"/>
            <w:tcBorders>
              <w:top w:val="single" w:sz="4" w:space="0" w:color="000000"/>
              <w:left w:val="single" w:sz="4" w:space="0" w:color="000000"/>
              <w:bottom w:val="single" w:sz="4" w:space="0" w:color="000000"/>
              <w:right w:val="nil"/>
            </w:tcBorders>
          </w:tcPr>
          <w:p>
            <w:pPr>
              <w:pStyle w:val="TableParagraph"/>
              <w:spacing w:before="31"/>
              <w:ind w:right="6"/>
              <w:jc w:val="center"/>
              <w:rPr>
                <w:sz w:val="20"/>
              </w:rPr>
            </w:pPr>
            <w:r>
              <w:rPr>
                <w:w w:val="100"/>
                <w:sz w:val="20"/>
              </w:rPr>
              <w:t>6</w:t>
            </w:r>
          </w:p>
        </w:tc>
      </w:tr>
      <w:tr>
        <w:trPr>
          <w:trHeight w:val="300" w:hRule="atLeast"/>
        </w:trPr>
        <w:tc>
          <w:tcPr>
            <w:tcW w:w="3888" w:type="dxa"/>
            <w:vMerge/>
            <w:tcBorders>
              <w:top w:val="nil"/>
              <w:left w:val="nil"/>
              <w:bottom w:val="single" w:sz="4" w:space="0" w:color="000000"/>
              <w:right w:val="single" w:sz="4" w:space="0" w:color="000000"/>
            </w:tcBorders>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2"/>
              <w:ind w:right="1"/>
              <w:jc w:val="center"/>
              <w:rPr>
                <w:sz w:val="20"/>
              </w:rPr>
            </w:pPr>
            <w:r>
              <w:rPr>
                <w:w w:val="100"/>
                <w:sz w:val="20"/>
              </w:rPr>
              <w:t>2</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2"/>
              <w:ind w:left="591" w:right="591"/>
              <w:jc w:val="center"/>
              <w:rPr>
                <w:sz w:val="20"/>
              </w:rPr>
            </w:pPr>
            <w:r>
              <w:rPr>
                <w:sz w:val="20"/>
              </w:rPr>
              <w:t>2.15</w:t>
            </w:r>
          </w:p>
        </w:tc>
        <w:tc>
          <w:tcPr>
            <w:tcW w:w="1584" w:type="dxa"/>
            <w:tcBorders>
              <w:top w:val="single" w:sz="4" w:space="0" w:color="000000"/>
              <w:left w:val="single" w:sz="4" w:space="0" w:color="000000"/>
              <w:bottom w:val="single" w:sz="4" w:space="0" w:color="000000"/>
              <w:right w:val="nil"/>
            </w:tcBorders>
          </w:tcPr>
          <w:p>
            <w:pPr>
              <w:pStyle w:val="TableParagraph"/>
              <w:spacing w:before="32"/>
              <w:ind w:right="6"/>
              <w:jc w:val="center"/>
              <w:rPr>
                <w:sz w:val="20"/>
              </w:rPr>
            </w:pPr>
            <w:r>
              <w:rPr>
                <w:w w:val="100"/>
                <w:sz w:val="20"/>
              </w:rPr>
              <w:t>8</w:t>
            </w:r>
          </w:p>
        </w:tc>
      </w:tr>
      <w:tr>
        <w:trPr>
          <w:trHeight w:val="299" w:hRule="atLeast"/>
        </w:trPr>
        <w:tc>
          <w:tcPr>
            <w:tcW w:w="3888" w:type="dxa"/>
            <w:vMerge/>
            <w:tcBorders>
              <w:top w:val="nil"/>
              <w:left w:val="nil"/>
              <w:bottom w:val="single" w:sz="4" w:space="0" w:color="000000"/>
              <w:right w:val="single" w:sz="4" w:space="0" w:color="000000"/>
            </w:tcBorders>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right="1"/>
              <w:jc w:val="center"/>
              <w:rPr>
                <w:sz w:val="20"/>
              </w:rPr>
            </w:pPr>
            <w:r>
              <w:rPr>
                <w:w w:val="100"/>
                <w:sz w:val="20"/>
              </w:rPr>
              <w:t>3</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1" w:right="591"/>
              <w:jc w:val="center"/>
              <w:rPr>
                <w:sz w:val="20"/>
              </w:rPr>
            </w:pPr>
            <w:r>
              <w:rPr>
                <w:sz w:val="20"/>
              </w:rPr>
              <w:t>3.16</w:t>
            </w:r>
          </w:p>
        </w:tc>
        <w:tc>
          <w:tcPr>
            <w:tcW w:w="1584" w:type="dxa"/>
            <w:tcBorders>
              <w:top w:val="single" w:sz="4" w:space="0" w:color="000000"/>
              <w:left w:val="single" w:sz="4" w:space="0" w:color="000000"/>
              <w:bottom w:val="single" w:sz="4" w:space="0" w:color="000000"/>
              <w:right w:val="nil"/>
            </w:tcBorders>
          </w:tcPr>
          <w:p>
            <w:pPr>
              <w:pStyle w:val="TableParagraph"/>
              <w:spacing w:before="31"/>
              <w:ind w:left="306" w:right="311"/>
              <w:jc w:val="center"/>
              <w:rPr>
                <w:sz w:val="20"/>
              </w:rPr>
            </w:pPr>
            <w:r>
              <w:rPr>
                <w:sz w:val="20"/>
              </w:rPr>
              <w:t>12</w:t>
            </w:r>
          </w:p>
        </w:tc>
      </w:tr>
      <w:tr>
        <w:trPr>
          <w:trHeight w:val="299" w:hRule="atLeast"/>
        </w:trPr>
        <w:tc>
          <w:tcPr>
            <w:tcW w:w="3888" w:type="dxa"/>
            <w:vMerge/>
            <w:tcBorders>
              <w:top w:val="nil"/>
              <w:left w:val="nil"/>
              <w:bottom w:val="single" w:sz="4" w:space="0" w:color="000000"/>
              <w:right w:val="single" w:sz="4" w:space="0" w:color="000000"/>
            </w:tcBorders>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left="509" w:right="509"/>
              <w:jc w:val="center"/>
              <w:rPr>
                <w:sz w:val="20"/>
              </w:rPr>
            </w:pPr>
            <w:r>
              <w:rPr>
                <w:sz w:val="20"/>
              </w:rPr>
              <w:t>&gt;3</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1" w:right="591"/>
              <w:jc w:val="center"/>
              <w:rPr>
                <w:sz w:val="20"/>
              </w:rPr>
            </w:pPr>
            <w:r>
              <w:rPr>
                <w:sz w:val="20"/>
              </w:rPr>
              <w:t>6.79</w:t>
            </w:r>
          </w:p>
        </w:tc>
        <w:tc>
          <w:tcPr>
            <w:tcW w:w="1584" w:type="dxa"/>
            <w:tcBorders>
              <w:top w:val="single" w:sz="4" w:space="0" w:color="000000"/>
              <w:left w:val="single" w:sz="4" w:space="0" w:color="000000"/>
              <w:bottom w:val="single" w:sz="4" w:space="0" w:color="000000"/>
              <w:right w:val="nil"/>
            </w:tcBorders>
          </w:tcPr>
          <w:p>
            <w:pPr>
              <w:pStyle w:val="TableParagraph"/>
              <w:spacing w:before="34"/>
              <w:ind w:left="305" w:right="311"/>
              <w:jc w:val="center"/>
              <w:rPr>
                <w:b/>
                <w:sz w:val="20"/>
              </w:rPr>
            </w:pPr>
            <w:r>
              <w:rPr>
                <w:b/>
                <w:sz w:val="20"/>
              </w:rPr>
              <w:t>25</w:t>
            </w:r>
          </w:p>
        </w:tc>
      </w:tr>
      <w:tr>
        <w:trPr>
          <w:trHeight w:val="300" w:hRule="atLeast"/>
        </w:trPr>
        <w:tc>
          <w:tcPr>
            <w:tcW w:w="3888" w:type="dxa"/>
            <w:vMerge w:val="restart"/>
            <w:tcBorders>
              <w:top w:val="single" w:sz="4" w:space="0" w:color="000000"/>
              <w:left w:val="nil"/>
              <w:bottom w:val="single" w:sz="4" w:space="0" w:color="000000"/>
              <w:right w:val="single" w:sz="4" w:space="0" w:color="000000"/>
            </w:tcBorders>
            <w:shd w:val="clear" w:color="auto" w:fill="F2F2F2"/>
          </w:tcPr>
          <w:p>
            <w:pPr>
              <w:pStyle w:val="TableParagraph"/>
              <w:rPr>
                <w:b/>
                <w:sz w:val="22"/>
              </w:rPr>
            </w:pPr>
          </w:p>
          <w:p>
            <w:pPr>
              <w:pStyle w:val="TableParagraph"/>
              <w:rPr>
                <w:b/>
                <w:sz w:val="22"/>
              </w:rPr>
            </w:pPr>
          </w:p>
          <w:p>
            <w:pPr>
              <w:pStyle w:val="TableParagraph"/>
              <w:spacing w:before="2"/>
              <w:rPr>
                <w:b/>
                <w:sz w:val="26"/>
              </w:rPr>
            </w:pPr>
          </w:p>
          <w:p>
            <w:pPr>
              <w:pStyle w:val="TableParagraph"/>
              <w:spacing w:before="1"/>
              <w:ind w:left="107"/>
              <w:rPr>
                <w:sz w:val="20"/>
              </w:rPr>
            </w:pPr>
            <w:r>
              <w:rPr>
                <w:sz w:val="20"/>
              </w:rPr>
              <w:t>Major AADT (2014)</w:t>
            </w: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09" w:right="509"/>
              <w:jc w:val="center"/>
              <w:rPr>
                <w:sz w:val="20"/>
              </w:rPr>
            </w:pPr>
            <w:r>
              <w:rPr>
                <w:sz w:val="20"/>
              </w:rPr>
              <w:t>&lt;=5000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2"/>
              <w:ind w:right="6"/>
              <w:jc w:val="center"/>
              <w:rPr>
                <w:sz w:val="20"/>
              </w:rPr>
            </w:pPr>
            <w:r>
              <w:rPr>
                <w:w w:val="100"/>
                <w:sz w:val="20"/>
              </w:rPr>
              <w:t>0</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8" w:right="509"/>
              <w:jc w:val="center"/>
              <w:rPr>
                <w:sz w:val="20"/>
              </w:rPr>
            </w:pPr>
            <w:r>
              <w:rPr>
                <w:sz w:val="20"/>
              </w:rPr>
              <w:t>(5001, 10000)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1.37</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right="6"/>
              <w:jc w:val="center"/>
              <w:rPr>
                <w:sz w:val="20"/>
              </w:rPr>
            </w:pPr>
            <w:r>
              <w:rPr>
                <w:w w:val="100"/>
                <w:sz w:val="20"/>
              </w:rPr>
              <w:t>5</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9" w:right="509"/>
              <w:jc w:val="center"/>
              <w:rPr>
                <w:sz w:val="20"/>
              </w:rPr>
            </w:pPr>
            <w:r>
              <w:rPr>
                <w:sz w:val="20"/>
              </w:rPr>
              <w:t>(10001, 15000)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1.88</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right="6"/>
              <w:jc w:val="center"/>
              <w:rPr>
                <w:sz w:val="20"/>
              </w:rPr>
            </w:pPr>
            <w:r>
              <w:rPr>
                <w:w w:val="100"/>
                <w:sz w:val="20"/>
              </w:rPr>
              <w:t>7</w:t>
            </w:r>
          </w:p>
        </w:tc>
      </w:tr>
      <w:tr>
        <w:trPr>
          <w:trHeight w:val="300"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09" w:right="509"/>
              <w:jc w:val="center"/>
              <w:rPr>
                <w:sz w:val="20"/>
              </w:rPr>
            </w:pPr>
            <w:r>
              <w:rPr>
                <w:sz w:val="20"/>
              </w:rPr>
              <w:t>(15001, 20000)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91" w:right="591"/>
              <w:jc w:val="center"/>
              <w:rPr>
                <w:sz w:val="20"/>
              </w:rPr>
            </w:pPr>
            <w:r>
              <w:rPr>
                <w:sz w:val="20"/>
              </w:rPr>
              <w:t>2.57</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2"/>
              <w:ind w:left="306" w:right="311"/>
              <w:jc w:val="center"/>
              <w:rPr>
                <w:sz w:val="20"/>
              </w:rPr>
            </w:pPr>
            <w:r>
              <w:rPr>
                <w:sz w:val="20"/>
              </w:rPr>
              <w:t>10</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9" w:right="509"/>
              <w:jc w:val="center"/>
              <w:rPr>
                <w:sz w:val="20"/>
              </w:rPr>
            </w:pPr>
            <w:r>
              <w:rPr>
                <w:sz w:val="20"/>
              </w:rPr>
              <w:t>(20001, 25000)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3.52</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left="306" w:right="311"/>
              <w:jc w:val="center"/>
              <w:rPr>
                <w:sz w:val="20"/>
              </w:rPr>
            </w:pPr>
            <w:r>
              <w:rPr>
                <w:sz w:val="20"/>
              </w:rPr>
              <w:t>13</w:t>
            </w:r>
          </w:p>
        </w:tc>
      </w:tr>
      <w:tr>
        <w:trPr>
          <w:trHeight w:val="299"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8" w:right="509"/>
              <w:jc w:val="center"/>
              <w:rPr>
                <w:sz w:val="20"/>
              </w:rPr>
            </w:pPr>
            <w:r>
              <w:rPr>
                <w:sz w:val="20"/>
              </w:rPr>
              <w:t>&gt;25000</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4.82</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4"/>
              <w:ind w:left="306" w:right="311"/>
              <w:jc w:val="center"/>
              <w:rPr>
                <w:b/>
                <w:sz w:val="20"/>
              </w:rPr>
            </w:pPr>
            <w:r>
              <w:rPr>
                <w:b/>
                <w:sz w:val="20"/>
              </w:rPr>
              <w:t>18</w:t>
            </w:r>
          </w:p>
        </w:tc>
      </w:tr>
      <w:tr>
        <w:trPr>
          <w:trHeight w:val="300" w:hRule="atLeast"/>
        </w:trPr>
        <w:tc>
          <w:tcPr>
            <w:tcW w:w="3888" w:type="dxa"/>
            <w:vMerge w:val="restart"/>
            <w:tcBorders>
              <w:top w:val="single" w:sz="4" w:space="0" w:color="000000"/>
              <w:left w:val="nil"/>
              <w:bottom w:val="single" w:sz="4" w:space="0" w:color="000000"/>
              <w:right w:val="single" w:sz="4" w:space="0" w:color="000000"/>
            </w:tcBorders>
          </w:tcPr>
          <w:p>
            <w:pPr>
              <w:pStyle w:val="TableParagraph"/>
              <w:spacing w:before="187"/>
              <w:ind w:left="107"/>
              <w:rPr>
                <w:sz w:val="20"/>
              </w:rPr>
            </w:pPr>
            <w:r>
              <w:rPr>
                <w:sz w:val="20"/>
              </w:rPr>
              <w:t>Presence of median on major road</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2"/>
              <w:ind w:left="508" w:right="509"/>
              <w:jc w:val="center"/>
              <w:rPr>
                <w:sz w:val="20"/>
              </w:rPr>
            </w:pPr>
            <w:r>
              <w:rPr>
                <w:sz w:val="20"/>
              </w:rPr>
              <w:t>Yes</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2"/>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32"/>
              <w:ind w:right="6"/>
              <w:jc w:val="center"/>
              <w:rPr>
                <w:sz w:val="20"/>
              </w:rPr>
            </w:pPr>
            <w:r>
              <w:rPr>
                <w:w w:val="100"/>
                <w:sz w:val="20"/>
              </w:rPr>
              <w:t>0</w:t>
            </w:r>
          </w:p>
        </w:tc>
      </w:tr>
      <w:tr>
        <w:trPr>
          <w:trHeight w:val="299" w:hRule="atLeast"/>
        </w:trPr>
        <w:tc>
          <w:tcPr>
            <w:tcW w:w="3888" w:type="dxa"/>
            <w:vMerge/>
            <w:tcBorders>
              <w:top w:val="nil"/>
              <w:left w:val="nil"/>
              <w:bottom w:val="single" w:sz="4" w:space="0" w:color="000000"/>
              <w:right w:val="single" w:sz="4" w:space="0" w:color="000000"/>
            </w:tcBorders>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left="509" w:right="509"/>
              <w:jc w:val="center"/>
              <w:rPr>
                <w:sz w:val="20"/>
              </w:rPr>
            </w:pPr>
            <w:r>
              <w:rPr>
                <w:sz w:val="20"/>
              </w:rPr>
              <w:t>No</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2" w:right="591"/>
              <w:jc w:val="center"/>
              <w:rPr>
                <w:sz w:val="20"/>
              </w:rPr>
            </w:pPr>
            <w:r>
              <w:rPr>
                <w:sz w:val="20"/>
              </w:rPr>
              <w:t>3.52</w:t>
            </w:r>
          </w:p>
        </w:tc>
        <w:tc>
          <w:tcPr>
            <w:tcW w:w="1584" w:type="dxa"/>
            <w:tcBorders>
              <w:top w:val="single" w:sz="4" w:space="0" w:color="000000"/>
              <w:left w:val="single" w:sz="4" w:space="0" w:color="000000"/>
              <w:bottom w:val="single" w:sz="4" w:space="0" w:color="000000"/>
              <w:right w:val="nil"/>
            </w:tcBorders>
          </w:tcPr>
          <w:p>
            <w:pPr>
              <w:pStyle w:val="TableParagraph"/>
              <w:spacing w:before="34"/>
              <w:ind w:left="306" w:right="311"/>
              <w:jc w:val="center"/>
              <w:rPr>
                <w:b/>
                <w:sz w:val="20"/>
              </w:rPr>
            </w:pPr>
            <w:r>
              <w:rPr>
                <w:b/>
                <w:sz w:val="20"/>
              </w:rPr>
              <w:t>13</w:t>
            </w:r>
          </w:p>
        </w:tc>
      </w:tr>
      <w:tr>
        <w:trPr>
          <w:trHeight w:val="299" w:hRule="atLeast"/>
        </w:trPr>
        <w:tc>
          <w:tcPr>
            <w:tcW w:w="3888" w:type="dxa"/>
            <w:vMerge w:val="restart"/>
            <w:tcBorders>
              <w:top w:val="single" w:sz="4" w:space="0" w:color="000000"/>
              <w:left w:val="nil"/>
              <w:bottom w:val="single" w:sz="4" w:space="0" w:color="000000"/>
              <w:right w:val="single" w:sz="4" w:space="0" w:color="000000"/>
            </w:tcBorders>
            <w:shd w:val="clear" w:color="auto" w:fill="F2F2F2"/>
          </w:tcPr>
          <w:p>
            <w:pPr>
              <w:pStyle w:val="TableParagraph"/>
              <w:spacing w:before="187"/>
              <w:ind w:left="107"/>
              <w:rPr>
                <w:sz w:val="20"/>
              </w:rPr>
            </w:pPr>
            <w:r>
              <w:rPr>
                <w:sz w:val="20"/>
              </w:rPr>
              <w:t>Minor road, presence of right-turn lanes</w:t>
            </w: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08" w:right="509"/>
              <w:jc w:val="center"/>
              <w:rPr>
                <w:sz w:val="20"/>
              </w:rPr>
            </w:pPr>
            <w:r>
              <w:rPr>
                <w:sz w:val="20"/>
              </w:rPr>
              <w:t>Yes</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right="6"/>
              <w:jc w:val="center"/>
              <w:rPr>
                <w:sz w:val="20"/>
              </w:rPr>
            </w:pPr>
            <w:r>
              <w:rPr>
                <w:w w:val="100"/>
                <w:sz w:val="20"/>
              </w:rPr>
              <w:t>0</w:t>
            </w:r>
          </w:p>
        </w:tc>
      </w:tr>
      <w:tr>
        <w:trPr>
          <w:trHeight w:val="300" w:hRule="atLeast"/>
        </w:trPr>
        <w:tc>
          <w:tcPr>
            <w:tcW w:w="3888" w:type="dxa"/>
            <w:vMerge/>
            <w:tcBorders>
              <w:top w:val="nil"/>
              <w:left w:val="nil"/>
              <w:bottom w:val="single" w:sz="4" w:space="0" w:color="000000"/>
              <w:right w:val="single" w:sz="4" w:space="0" w:color="000000"/>
            </w:tcBorders>
            <w:shd w:val="clear" w:color="auto" w:fill="F2F2F2"/>
          </w:tcPr>
          <w:p>
            <w:pPr>
              <w:rPr>
                <w:sz w:val="2"/>
                <w:szCs w:val="2"/>
              </w:rPr>
            </w:pPr>
          </w:p>
        </w:tc>
        <w:tc>
          <w:tcPr>
            <w:tcW w:w="230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09" w:right="509"/>
              <w:jc w:val="center"/>
              <w:rPr>
                <w:sz w:val="20"/>
              </w:rPr>
            </w:pPr>
            <w:r>
              <w:rPr>
                <w:sz w:val="20"/>
              </w:rPr>
              <w:t>No</w:t>
            </w:r>
          </w:p>
        </w:tc>
        <w:tc>
          <w:tcPr>
            <w:tcW w:w="158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91" w:right="591"/>
              <w:jc w:val="center"/>
              <w:rPr>
                <w:sz w:val="20"/>
              </w:rPr>
            </w:pPr>
            <w:r>
              <w:rPr>
                <w:sz w:val="20"/>
              </w:rPr>
              <w:t>3.71</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5"/>
              <w:ind w:left="306" w:right="311"/>
              <w:jc w:val="center"/>
              <w:rPr>
                <w:b/>
                <w:sz w:val="20"/>
              </w:rPr>
            </w:pPr>
            <w:r>
              <w:rPr>
                <w:b/>
                <w:sz w:val="20"/>
              </w:rPr>
              <w:t>15</w:t>
            </w:r>
          </w:p>
        </w:tc>
      </w:tr>
      <w:tr>
        <w:trPr>
          <w:trHeight w:val="289" w:hRule="atLeast"/>
        </w:trPr>
        <w:tc>
          <w:tcPr>
            <w:tcW w:w="3888" w:type="dxa"/>
            <w:vMerge w:val="restart"/>
            <w:tcBorders>
              <w:top w:val="single" w:sz="4" w:space="0" w:color="000000"/>
              <w:left w:val="nil"/>
              <w:right w:val="single" w:sz="4" w:space="0" w:color="000000"/>
            </w:tcBorders>
          </w:tcPr>
          <w:p>
            <w:pPr>
              <w:pStyle w:val="TableParagraph"/>
              <w:spacing w:before="186"/>
              <w:ind w:left="107"/>
              <w:rPr>
                <w:sz w:val="20"/>
              </w:rPr>
            </w:pPr>
            <w:r>
              <w:rPr>
                <w:sz w:val="20"/>
              </w:rPr>
              <w:t>Major road, presence of right-turn lanes</w:t>
            </w:r>
          </w:p>
        </w:tc>
        <w:tc>
          <w:tcPr>
            <w:tcW w:w="2303" w:type="dxa"/>
            <w:tcBorders>
              <w:top w:val="single" w:sz="4" w:space="0" w:color="000000"/>
              <w:left w:val="single" w:sz="4" w:space="0" w:color="000000"/>
              <w:bottom w:val="single" w:sz="4" w:space="0" w:color="000000"/>
              <w:right w:val="single" w:sz="4" w:space="0" w:color="000000"/>
            </w:tcBorders>
          </w:tcPr>
          <w:p>
            <w:pPr>
              <w:pStyle w:val="TableParagraph"/>
              <w:spacing w:before="31"/>
              <w:ind w:left="509" w:right="509"/>
              <w:jc w:val="center"/>
              <w:rPr>
                <w:sz w:val="20"/>
              </w:rPr>
            </w:pPr>
            <w:r>
              <w:rPr>
                <w:sz w:val="20"/>
              </w:rPr>
              <w:t>No</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before="31"/>
              <w:ind w:left="591" w:right="591"/>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31"/>
              <w:ind w:right="6"/>
              <w:jc w:val="center"/>
              <w:rPr>
                <w:sz w:val="20"/>
              </w:rPr>
            </w:pPr>
            <w:r>
              <w:rPr>
                <w:w w:val="100"/>
                <w:sz w:val="20"/>
              </w:rPr>
              <w:t>0</w:t>
            </w:r>
          </w:p>
        </w:tc>
      </w:tr>
      <w:tr>
        <w:trPr>
          <w:trHeight w:val="289" w:hRule="atLeast"/>
        </w:trPr>
        <w:tc>
          <w:tcPr>
            <w:tcW w:w="3888" w:type="dxa"/>
            <w:vMerge/>
            <w:tcBorders>
              <w:top w:val="nil"/>
              <w:left w:val="nil"/>
              <w:right w:val="single" w:sz="4" w:space="0" w:color="000000"/>
            </w:tcBorders>
          </w:tcPr>
          <w:p>
            <w:pPr>
              <w:rPr>
                <w:sz w:val="2"/>
                <w:szCs w:val="2"/>
              </w:rPr>
            </w:pPr>
          </w:p>
        </w:tc>
        <w:tc>
          <w:tcPr>
            <w:tcW w:w="2303" w:type="dxa"/>
            <w:tcBorders>
              <w:top w:val="single" w:sz="4" w:space="0" w:color="000000"/>
              <w:left w:val="single" w:sz="4" w:space="0" w:color="000000"/>
              <w:right w:val="single" w:sz="4" w:space="0" w:color="000000"/>
            </w:tcBorders>
          </w:tcPr>
          <w:p>
            <w:pPr>
              <w:pStyle w:val="TableParagraph"/>
              <w:spacing w:before="21"/>
              <w:ind w:left="508" w:right="509"/>
              <w:jc w:val="center"/>
              <w:rPr>
                <w:sz w:val="20"/>
              </w:rPr>
            </w:pPr>
            <w:r>
              <w:rPr>
                <w:sz w:val="20"/>
              </w:rPr>
              <w:t>Yes</w:t>
            </w:r>
          </w:p>
        </w:tc>
        <w:tc>
          <w:tcPr>
            <w:tcW w:w="1584" w:type="dxa"/>
            <w:tcBorders>
              <w:top w:val="single" w:sz="4" w:space="0" w:color="000000"/>
              <w:left w:val="single" w:sz="4" w:space="0" w:color="000000"/>
              <w:right w:val="single" w:sz="4" w:space="0" w:color="000000"/>
            </w:tcBorders>
          </w:tcPr>
          <w:p>
            <w:pPr>
              <w:pStyle w:val="TableParagraph"/>
              <w:spacing w:before="21"/>
              <w:ind w:left="591" w:right="591"/>
              <w:jc w:val="center"/>
              <w:rPr>
                <w:sz w:val="20"/>
              </w:rPr>
            </w:pPr>
            <w:r>
              <w:rPr>
                <w:sz w:val="20"/>
              </w:rPr>
              <w:t>2.19</w:t>
            </w:r>
          </w:p>
        </w:tc>
        <w:tc>
          <w:tcPr>
            <w:tcW w:w="1584" w:type="dxa"/>
            <w:tcBorders>
              <w:top w:val="single" w:sz="4" w:space="0" w:color="000000"/>
              <w:left w:val="single" w:sz="4" w:space="0" w:color="000000"/>
              <w:right w:val="nil"/>
            </w:tcBorders>
          </w:tcPr>
          <w:p>
            <w:pPr>
              <w:pStyle w:val="TableParagraph"/>
              <w:spacing w:before="24"/>
              <w:ind w:right="6"/>
              <w:jc w:val="center"/>
              <w:rPr>
                <w:b/>
                <w:sz w:val="20"/>
              </w:rPr>
            </w:pPr>
            <w:r>
              <w:rPr>
                <w:b/>
                <w:w w:val="100"/>
                <w:sz w:val="20"/>
              </w:rPr>
              <w:t>8</w:t>
            </w:r>
          </w:p>
        </w:tc>
      </w:tr>
    </w:tbl>
    <w:p>
      <w:pPr>
        <w:pStyle w:val="BodyText"/>
        <w:rPr>
          <w:b/>
          <w:sz w:val="22"/>
        </w:rPr>
      </w:pPr>
    </w:p>
    <w:p>
      <w:pPr>
        <w:pStyle w:val="BodyText"/>
        <w:spacing w:before="10"/>
        <w:rPr>
          <w:b/>
          <w:sz w:val="22"/>
        </w:rPr>
      </w:pPr>
    </w:p>
    <w:p>
      <w:pPr>
        <w:pStyle w:val="Heading3"/>
        <w:numPr>
          <w:ilvl w:val="1"/>
          <w:numId w:val="31"/>
        </w:numPr>
        <w:tabs>
          <w:tab w:pos="1039" w:val="left" w:leader="none"/>
          <w:tab w:pos="1040" w:val="left" w:leader="none"/>
        </w:tabs>
        <w:spacing w:line="240" w:lineRule="auto" w:before="0" w:after="0"/>
        <w:ind w:left="1039" w:right="0" w:hanging="719"/>
        <w:jc w:val="left"/>
      </w:pPr>
      <w:bookmarkStart w:name="_TOC_250011" w:id="265"/>
      <w:bookmarkStart w:name="7.3 BICYCLE RISK SCORE" w:id="266"/>
      <w:r>
        <w:rPr>
          <w:b w:val="0"/>
        </w:rPr>
      </w:r>
      <w:bookmarkEnd w:id="266"/>
      <w:bookmarkStart w:name="7.3 BICYCLE RISK SCORE" w:id="267"/>
      <w:r>
        <w:rPr/>
        <w:t>B</w:t>
      </w:r>
      <w:r>
        <w:rPr/>
        <w:t>ICYCLE RISK</w:t>
      </w:r>
      <w:r>
        <w:rPr>
          <w:spacing w:val="-3"/>
        </w:rPr>
        <w:t> </w:t>
      </w:r>
      <w:bookmarkEnd w:id="265"/>
      <w:r>
        <w:rPr/>
        <w:t>SCORE</w:t>
      </w:r>
    </w:p>
    <w:p>
      <w:pPr>
        <w:pStyle w:val="BodyText"/>
        <w:spacing w:before="237"/>
        <w:ind w:left="320"/>
      </w:pPr>
      <w:r>
        <w:rPr/>
        <w:t>Risk-score tools were developed for both segments and intersections for bicycles.</w:t>
      </w:r>
    </w:p>
    <w:p>
      <w:pPr>
        <w:pStyle w:val="BodyText"/>
        <w:spacing w:before="2"/>
        <w:rPr>
          <w:sz w:val="21"/>
        </w:rPr>
      </w:pPr>
    </w:p>
    <w:p>
      <w:pPr>
        <w:pStyle w:val="Heading3"/>
        <w:numPr>
          <w:ilvl w:val="2"/>
          <w:numId w:val="31"/>
        </w:numPr>
        <w:tabs>
          <w:tab w:pos="1040" w:val="left" w:leader="none"/>
        </w:tabs>
        <w:spacing w:line="240" w:lineRule="auto" w:before="0" w:after="0"/>
        <w:ind w:left="1039" w:right="0" w:hanging="719"/>
        <w:jc w:val="left"/>
      </w:pPr>
      <w:bookmarkStart w:name="_TOC_250010" w:id="268"/>
      <w:bookmarkStart w:name="7.3.1 Segment Risk Score" w:id="269"/>
      <w:r>
        <w:rPr>
          <w:b w:val="0"/>
        </w:rPr>
      </w:r>
      <w:bookmarkEnd w:id="269"/>
      <w:bookmarkStart w:name="7.3.1 Segment Risk Score" w:id="270"/>
      <w:r>
        <w:rPr/>
        <w:t>S</w:t>
      </w:r>
      <w:r>
        <w:rPr/>
        <w:t>egment Risk</w:t>
      </w:r>
      <w:r>
        <w:rPr>
          <w:spacing w:val="-3"/>
        </w:rPr>
        <w:t> </w:t>
      </w:r>
      <w:bookmarkEnd w:id="268"/>
      <w:r>
        <w:rPr/>
        <w:t>Score</w:t>
      </w:r>
    </w:p>
    <w:p>
      <w:pPr>
        <w:pStyle w:val="BodyText"/>
        <w:spacing w:before="236"/>
        <w:ind w:left="320" w:right="1696"/>
      </w:pPr>
      <w:hyperlink w:history="true" w:anchor="_bookmark56">
        <w:r>
          <w:rPr/>
          <w:t>Table 7.4</w:t>
        </w:r>
      </w:hyperlink>
      <w:r>
        <w:rPr/>
        <w:t> shows the calculated risk scores of significant variables of the bicycle segment crash occurrence model. Similar to the pedestrian segment occurrence model, the base condition is converted to the presence of a crossing in order to make all risk scores positive.</w:t>
      </w:r>
    </w:p>
    <w:p>
      <w:pPr>
        <w:spacing w:after="0"/>
        <w:sectPr>
          <w:pgSz w:w="12240" w:h="15840"/>
          <w:pgMar w:header="0" w:footer="709" w:top="920" w:bottom="980" w:left="1120" w:right="0"/>
        </w:sectPr>
      </w:pPr>
    </w:p>
    <w:p>
      <w:pPr>
        <w:tabs>
          <w:tab w:pos="9576" w:val="left" w:leader="none"/>
        </w:tabs>
        <w:spacing w:before="75"/>
        <w:ind w:left="216" w:right="0" w:firstLine="0"/>
        <w:jc w:val="left"/>
        <w:rPr>
          <w:b/>
          <w:sz w:val="20"/>
        </w:rPr>
      </w:pPr>
      <w:bookmarkStart w:name="_bookmark56" w:id="271"/>
      <w:bookmarkEnd w:id="271"/>
      <w:r>
        <w:rPr/>
      </w:r>
      <w:r>
        <w:rPr>
          <w:b/>
          <w:w w:val="100"/>
          <w:sz w:val="20"/>
          <w:u w:val="thick"/>
        </w:rPr>
        <w:t> </w:t>
      </w:r>
      <w:r>
        <w:rPr>
          <w:b/>
          <w:spacing w:val="3"/>
          <w:sz w:val="20"/>
          <w:u w:val="thick"/>
        </w:rPr>
        <w:t> </w:t>
      </w:r>
      <w:r>
        <w:rPr>
          <w:b/>
          <w:sz w:val="20"/>
          <w:u w:val="thick"/>
        </w:rPr>
        <w:t>Table 7.4: Bicycle Segment Risk</w:t>
      </w:r>
      <w:r>
        <w:rPr>
          <w:b/>
          <w:spacing w:val="-16"/>
          <w:sz w:val="20"/>
          <w:u w:val="thick"/>
        </w:rPr>
        <w:t> </w:t>
      </w:r>
      <w:r>
        <w:rPr>
          <w:b/>
          <w:sz w:val="20"/>
          <w:u w:val="thick"/>
        </w:rPr>
        <w:t>Scores</w:t>
        <w:tab/>
      </w:r>
    </w:p>
    <w:p>
      <w:pPr>
        <w:pStyle w:val="BodyText"/>
        <w:spacing w:before="7" w:after="1"/>
        <w:rPr>
          <w:b/>
          <w:sz w:val="20"/>
        </w:rPr>
      </w:pPr>
    </w:p>
    <w:tbl>
      <w:tblPr>
        <w:tblW w:w="0" w:type="auto"/>
        <w:jc w:val="left"/>
        <w:tblInd w:w="2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893"/>
        <w:gridCol w:w="2043"/>
        <w:gridCol w:w="1841"/>
        <w:gridCol w:w="1584"/>
      </w:tblGrid>
      <w:tr>
        <w:trPr>
          <w:trHeight w:val="423" w:hRule="atLeast"/>
        </w:trPr>
        <w:tc>
          <w:tcPr>
            <w:tcW w:w="3893" w:type="dxa"/>
            <w:tcBorders>
              <w:top w:val="nil"/>
              <w:left w:val="nil"/>
              <w:right w:val="nil"/>
            </w:tcBorders>
          </w:tcPr>
          <w:p>
            <w:pPr>
              <w:pStyle w:val="TableParagraph"/>
              <w:spacing w:line="222" w:lineRule="exact"/>
              <w:ind w:left="108"/>
              <w:rPr>
                <w:b/>
                <w:sz w:val="20"/>
              </w:rPr>
            </w:pPr>
            <w:r>
              <w:rPr>
                <w:b/>
                <w:sz w:val="20"/>
              </w:rPr>
              <w:t>Variables</w:t>
            </w:r>
          </w:p>
        </w:tc>
        <w:tc>
          <w:tcPr>
            <w:tcW w:w="2043" w:type="dxa"/>
            <w:tcBorders>
              <w:top w:val="nil"/>
              <w:left w:val="nil"/>
              <w:right w:val="nil"/>
            </w:tcBorders>
          </w:tcPr>
          <w:p>
            <w:pPr>
              <w:pStyle w:val="TableParagraph"/>
              <w:spacing w:line="222" w:lineRule="exact"/>
              <w:ind w:left="727" w:right="730"/>
              <w:jc w:val="center"/>
              <w:rPr>
                <w:b/>
                <w:sz w:val="20"/>
              </w:rPr>
            </w:pPr>
            <w:r>
              <w:rPr>
                <w:b/>
                <w:sz w:val="20"/>
              </w:rPr>
              <w:t>Levels</w:t>
            </w:r>
          </w:p>
        </w:tc>
        <w:tc>
          <w:tcPr>
            <w:tcW w:w="1841" w:type="dxa"/>
            <w:tcBorders>
              <w:top w:val="nil"/>
              <w:left w:val="nil"/>
              <w:right w:val="nil"/>
            </w:tcBorders>
          </w:tcPr>
          <w:p>
            <w:pPr>
              <w:pStyle w:val="TableParagraph"/>
              <w:spacing w:line="222" w:lineRule="exact"/>
              <w:ind w:left="213" w:right="214"/>
              <w:jc w:val="center"/>
              <w:rPr>
                <w:b/>
                <w:sz w:val="20"/>
              </w:rPr>
            </w:pPr>
            <w:r>
              <w:rPr>
                <w:b/>
                <w:sz w:val="20"/>
              </w:rPr>
              <w:t>Internal Weight</w:t>
            </w:r>
          </w:p>
        </w:tc>
        <w:tc>
          <w:tcPr>
            <w:tcW w:w="1584" w:type="dxa"/>
            <w:tcBorders>
              <w:top w:val="nil"/>
              <w:left w:val="nil"/>
              <w:right w:val="nil"/>
            </w:tcBorders>
          </w:tcPr>
          <w:p>
            <w:pPr>
              <w:pStyle w:val="TableParagraph"/>
              <w:spacing w:line="222" w:lineRule="exact"/>
              <w:ind w:left="313" w:right="313"/>
              <w:jc w:val="center"/>
              <w:rPr>
                <w:b/>
                <w:sz w:val="20"/>
              </w:rPr>
            </w:pPr>
            <w:r>
              <w:rPr>
                <w:b/>
                <w:sz w:val="20"/>
              </w:rPr>
              <w:t>Risk Score</w:t>
            </w:r>
          </w:p>
        </w:tc>
      </w:tr>
      <w:tr>
        <w:trPr>
          <w:trHeight w:val="314" w:hRule="atLeast"/>
        </w:trPr>
        <w:tc>
          <w:tcPr>
            <w:tcW w:w="3893" w:type="dxa"/>
            <w:vMerge w:val="restart"/>
            <w:tcBorders>
              <w:left w:val="nil"/>
              <w:bottom w:val="single" w:sz="4" w:space="0" w:color="000000"/>
              <w:right w:val="single" w:sz="4" w:space="0" w:color="000000"/>
            </w:tcBorders>
            <w:shd w:val="clear" w:color="auto" w:fill="F2F2F2"/>
          </w:tcPr>
          <w:p>
            <w:pPr>
              <w:pStyle w:val="TableParagraph"/>
              <w:spacing w:before="7"/>
              <w:rPr>
                <w:b/>
                <w:sz w:val="31"/>
              </w:rPr>
            </w:pPr>
          </w:p>
          <w:p>
            <w:pPr>
              <w:pStyle w:val="TableParagraph"/>
              <w:ind w:left="107"/>
              <w:rPr>
                <w:sz w:val="20"/>
              </w:rPr>
            </w:pPr>
            <w:r>
              <w:rPr>
                <w:sz w:val="20"/>
              </w:rPr>
              <w:t>Bikes per day (STRAVA)</w:t>
            </w:r>
          </w:p>
        </w:tc>
        <w:tc>
          <w:tcPr>
            <w:tcW w:w="2043" w:type="dxa"/>
            <w:tcBorders>
              <w:left w:val="single" w:sz="4" w:space="0" w:color="000000"/>
              <w:bottom w:val="single" w:sz="4" w:space="0" w:color="000000"/>
              <w:right w:val="single" w:sz="4" w:space="0" w:color="000000"/>
            </w:tcBorders>
            <w:shd w:val="clear" w:color="auto" w:fill="F2F2F2"/>
          </w:tcPr>
          <w:p>
            <w:pPr>
              <w:pStyle w:val="TableParagraph"/>
              <w:spacing w:before="39"/>
              <w:ind w:left="660" w:right="663"/>
              <w:jc w:val="center"/>
              <w:rPr>
                <w:sz w:val="20"/>
              </w:rPr>
            </w:pPr>
            <w:r>
              <w:rPr>
                <w:sz w:val="20"/>
              </w:rPr>
              <w:t>&lt;=200</w:t>
            </w:r>
          </w:p>
        </w:tc>
        <w:tc>
          <w:tcPr>
            <w:tcW w:w="1841" w:type="dxa"/>
            <w:tcBorders>
              <w:left w:val="single" w:sz="4" w:space="0" w:color="000000"/>
              <w:bottom w:val="single" w:sz="4" w:space="0" w:color="000000"/>
              <w:right w:val="single" w:sz="4" w:space="0" w:color="000000"/>
            </w:tcBorders>
            <w:shd w:val="clear" w:color="auto" w:fill="F2F2F2"/>
          </w:tcPr>
          <w:p>
            <w:pPr>
              <w:pStyle w:val="TableParagraph"/>
              <w:spacing w:before="39"/>
              <w:ind w:left="720" w:right="720"/>
              <w:jc w:val="center"/>
              <w:rPr>
                <w:sz w:val="20"/>
              </w:rPr>
            </w:pPr>
            <w:r>
              <w:rPr>
                <w:sz w:val="20"/>
              </w:rPr>
              <w:t>1.00</w:t>
            </w:r>
          </w:p>
        </w:tc>
        <w:tc>
          <w:tcPr>
            <w:tcW w:w="1584" w:type="dxa"/>
            <w:tcBorders>
              <w:left w:val="single" w:sz="4" w:space="0" w:color="000000"/>
              <w:bottom w:val="single" w:sz="4" w:space="0" w:color="000000"/>
              <w:right w:val="nil"/>
            </w:tcBorders>
            <w:shd w:val="clear" w:color="auto" w:fill="F2F2F2"/>
          </w:tcPr>
          <w:p>
            <w:pPr>
              <w:pStyle w:val="TableParagraph"/>
              <w:spacing w:before="39"/>
              <w:ind w:right="5"/>
              <w:jc w:val="center"/>
              <w:rPr>
                <w:sz w:val="20"/>
              </w:rPr>
            </w:pPr>
            <w:r>
              <w:rPr>
                <w:w w:val="100"/>
                <w:sz w:val="20"/>
              </w:rPr>
              <w:t>0</w:t>
            </w:r>
          </w:p>
        </w:tc>
      </w:tr>
      <w:tr>
        <w:trPr>
          <w:trHeight w:val="315" w:hRule="atLeast"/>
        </w:trPr>
        <w:tc>
          <w:tcPr>
            <w:tcW w:w="3893" w:type="dxa"/>
            <w:vMerge/>
            <w:tcBorders>
              <w:top w:val="nil"/>
              <w:left w:val="nil"/>
              <w:bottom w:val="single" w:sz="4" w:space="0" w:color="000000"/>
              <w:right w:val="single" w:sz="4" w:space="0" w:color="000000"/>
            </w:tcBorders>
            <w:shd w:val="clear" w:color="auto" w:fill="F2F2F2"/>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660" w:right="665"/>
              <w:jc w:val="center"/>
              <w:rPr>
                <w:sz w:val="20"/>
              </w:rPr>
            </w:pPr>
            <w:r>
              <w:rPr>
                <w:sz w:val="20"/>
              </w:rPr>
              <w:t>201-800</w:t>
            </w:r>
          </w:p>
        </w:tc>
        <w:tc>
          <w:tcPr>
            <w:tcW w:w="1841"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720" w:right="720"/>
              <w:jc w:val="center"/>
              <w:rPr>
                <w:sz w:val="20"/>
              </w:rPr>
            </w:pPr>
            <w:r>
              <w:rPr>
                <w:sz w:val="20"/>
              </w:rPr>
              <w:t>1.50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40"/>
              <w:ind w:left="305" w:right="311"/>
              <w:jc w:val="center"/>
              <w:rPr>
                <w:sz w:val="20"/>
              </w:rPr>
            </w:pPr>
            <w:r>
              <w:rPr>
                <w:sz w:val="20"/>
              </w:rPr>
              <w:t>15</w:t>
            </w:r>
          </w:p>
        </w:tc>
      </w:tr>
      <w:tr>
        <w:trPr>
          <w:trHeight w:val="315" w:hRule="atLeast"/>
        </w:trPr>
        <w:tc>
          <w:tcPr>
            <w:tcW w:w="3893" w:type="dxa"/>
            <w:vMerge/>
            <w:tcBorders>
              <w:top w:val="nil"/>
              <w:left w:val="nil"/>
              <w:bottom w:val="single" w:sz="4" w:space="0" w:color="000000"/>
              <w:right w:val="single" w:sz="4" w:space="0" w:color="000000"/>
            </w:tcBorders>
            <w:shd w:val="clear" w:color="auto" w:fill="F2F2F2"/>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660" w:right="663"/>
              <w:jc w:val="center"/>
              <w:rPr>
                <w:sz w:val="20"/>
              </w:rPr>
            </w:pPr>
            <w:r>
              <w:rPr>
                <w:sz w:val="20"/>
              </w:rPr>
              <w:t>&gt;800</w:t>
            </w:r>
          </w:p>
        </w:tc>
        <w:tc>
          <w:tcPr>
            <w:tcW w:w="1841"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720" w:right="720"/>
              <w:jc w:val="center"/>
              <w:rPr>
                <w:sz w:val="20"/>
              </w:rPr>
            </w:pPr>
            <w:r>
              <w:rPr>
                <w:sz w:val="20"/>
              </w:rPr>
              <w:t>2.48</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42"/>
              <w:ind w:left="305" w:right="311"/>
              <w:jc w:val="center"/>
              <w:rPr>
                <w:b/>
                <w:sz w:val="20"/>
              </w:rPr>
            </w:pPr>
            <w:r>
              <w:rPr>
                <w:b/>
                <w:sz w:val="20"/>
              </w:rPr>
              <w:t>25</w:t>
            </w:r>
          </w:p>
        </w:tc>
      </w:tr>
      <w:tr>
        <w:trPr>
          <w:trHeight w:val="315" w:hRule="atLeast"/>
        </w:trPr>
        <w:tc>
          <w:tcPr>
            <w:tcW w:w="3893"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rPr>
                <w:b/>
                <w:sz w:val="22"/>
              </w:rPr>
            </w:pPr>
          </w:p>
          <w:p>
            <w:pPr>
              <w:pStyle w:val="TableParagraph"/>
              <w:spacing w:before="1"/>
              <w:rPr>
                <w:b/>
                <w:sz w:val="30"/>
              </w:rPr>
            </w:pPr>
          </w:p>
          <w:p>
            <w:pPr>
              <w:pStyle w:val="TableParagraph"/>
              <w:ind w:left="107"/>
              <w:rPr>
                <w:sz w:val="20"/>
              </w:rPr>
            </w:pPr>
            <w:r>
              <w:rPr>
                <w:sz w:val="20"/>
              </w:rPr>
              <w:t>AADT</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left="660" w:right="665"/>
              <w:jc w:val="center"/>
              <w:rPr>
                <w:sz w:val="20"/>
              </w:rPr>
            </w:pPr>
            <w:r>
              <w:rPr>
                <w:sz w:val="20"/>
              </w:rPr>
              <w:t>&lt;=5000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40"/>
              <w:ind w:right="6"/>
              <w:jc w:val="center"/>
              <w:rPr>
                <w:sz w:val="20"/>
              </w:rPr>
            </w:pPr>
            <w:r>
              <w:rPr>
                <w:w w:val="100"/>
                <w:sz w:val="20"/>
              </w:rPr>
              <w:t>0</w:t>
            </w:r>
          </w:p>
        </w:tc>
      </w:tr>
      <w:tr>
        <w:trPr>
          <w:trHeight w:val="314"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38"/>
              <w:ind w:right="535"/>
              <w:jc w:val="right"/>
              <w:rPr>
                <w:sz w:val="20"/>
              </w:rPr>
            </w:pPr>
            <w:r>
              <w:rPr>
                <w:sz w:val="20"/>
              </w:rPr>
              <w:t>5001-10000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38"/>
              <w:ind w:left="720" w:right="720"/>
              <w:jc w:val="center"/>
              <w:rPr>
                <w:sz w:val="20"/>
              </w:rPr>
            </w:pPr>
            <w:r>
              <w:rPr>
                <w:sz w:val="20"/>
              </w:rPr>
              <w:t>1,17</w:t>
            </w:r>
          </w:p>
        </w:tc>
        <w:tc>
          <w:tcPr>
            <w:tcW w:w="1584" w:type="dxa"/>
            <w:tcBorders>
              <w:top w:val="single" w:sz="4" w:space="0" w:color="000000"/>
              <w:left w:val="single" w:sz="4" w:space="0" w:color="000000"/>
              <w:bottom w:val="single" w:sz="4" w:space="0" w:color="000000"/>
              <w:right w:val="nil"/>
            </w:tcBorders>
          </w:tcPr>
          <w:p>
            <w:pPr>
              <w:pStyle w:val="TableParagraph"/>
              <w:spacing w:before="38"/>
              <w:ind w:left="307" w:right="311"/>
              <w:jc w:val="center"/>
              <w:rPr>
                <w:sz w:val="20"/>
              </w:rPr>
            </w:pPr>
            <w:r>
              <w:rPr>
                <w:sz w:val="20"/>
              </w:rPr>
              <w:t>12</w:t>
            </w:r>
          </w:p>
        </w:tc>
      </w:tr>
      <w:tr>
        <w:trPr>
          <w:trHeight w:val="315"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right="484"/>
              <w:jc w:val="right"/>
              <w:rPr>
                <w:sz w:val="20"/>
              </w:rPr>
            </w:pPr>
            <w:r>
              <w:rPr>
                <w:sz w:val="20"/>
              </w:rPr>
              <w:t>10001-15000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1.38</w:t>
            </w:r>
          </w:p>
        </w:tc>
        <w:tc>
          <w:tcPr>
            <w:tcW w:w="1584" w:type="dxa"/>
            <w:tcBorders>
              <w:top w:val="single" w:sz="4" w:space="0" w:color="000000"/>
              <w:left w:val="single" w:sz="4" w:space="0" w:color="000000"/>
              <w:bottom w:val="single" w:sz="4" w:space="0" w:color="000000"/>
              <w:right w:val="nil"/>
            </w:tcBorders>
          </w:tcPr>
          <w:p>
            <w:pPr>
              <w:pStyle w:val="TableParagraph"/>
              <w:spacing w:before="40"/>
              <w:ind w:left="306" w:right="311"/>
              <w:jc w:val="center"/>
              <w:rPr>
                <w:sz w:val="20"/>
              </w:rPr>
            </w:pPr>
            <w:r>
              <w:rPr>
                <w:sz w:val="20"/>
              </w:rPr>
              <w:t>14</w:t>
            </w:r>
          </w:p>
        </w:tc>
      </w:tr>
      <w:tr>
        <w:trPr>
          <w:trHeight w:val="315"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right="484"/>
              <w:jc w:val="right"/>
              <w:rPr>
                <w:sz w:val="20"/>
              </w:rPr>
            </w:pPr>
            <w:r>
              <w:rPr>
                <w:sz w:val="20"/>
              </w:rPr>
              <w:t>15001-20000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1.61</w:t>
            </w:r>
          </w:p>
        </w:tc>
        <w:tc>
          <w:tcPr>
            <w:tcW w:w="1584" w:type="dxa"/>
            <w:tcBorders>
              <w:top w:val="single" w:sz="4" w:space="0" w:color="000000"/>
              <w:left w:val="single" w:sz="4" w:space="0" w:color="000000"/>
              <w:bottom w:val="single" w:sz="4" w:space="0" w:color="000000"/>
              <w:right w:val="nil"/>
            </w:tcBorders>
          </w:tcPr>
          <w:p>
            <w:pPr>
              <w:pStyle w:val="TableParagraph"/>
              <w:spacing w:before="40"/>
              <w:ind w:left="306" w:right="311"/>
              <w:jc w:val="center"/>
              <w:rPr>
                <w:sz w:val="20"/>
              </w:rPr>
            </w:pPr>
            <w:r>
              <w:rPr>
                <w:sz w:val="20"/>
              </w:rPr>
              <w:t>16</w:t>
            </w:r>
          </w:p>
        </w:tc>
      </w:tr>
      <w:tr>
        <w:trPr>
          <w:trHeight w:val="315"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right="484"/>
              <w:jc w:val="right"/>
              <w:rPr>
                <w:sz w:val="20"/>
              </w:rPr>
            </w:pPr>
            <w:r>
              <w:rPr>
                <w:sz w:val="20"/>
              </w:rPr>
              <w:t>20001-25000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1.89</w:t>
            </w:r>
          </w:p>
        </w:tc>
        <w:tc>
          <w:tcPr>
            <w:tcW w:w="1584" w:type="dxa"/>
            <w:tcBorders>
              <w:top w:val="single" w:sz="4" w:space="0" w:color="000000"/>
              <w:left w:val="single" w:sz="4" w:space="0" w:color="000000"/>
              <w:bottom w:val="single" w:sz="4" w:space="0" w:color="000000"/>
              <w:right w:val="nil"/>
            </w:tcBorders>
          </w:tcPr>
          <w:p>
            <w:pPr>
              <w:pStyle w:val="TableParagraph"/>
              <w:spacing w:before="40"/>
              <w:ind w:left="306" w:right="311"/>
              <w:jc w:val="center"/>
              <w:rPr>
                <w:sz w:val="20"/>
              </w:rPr>
            </w:pPr>
            <w:r>
              <w:rPr>
                <w:sz w:val="20"/>
              </w:rPr>
              <w:t>19</w:t>
            </w:r>
          </w:p>
        </w:tc>
      </w:tr>
      <w:tr>
        <w:trPr>
          <w:trHeight w:val="315"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left="660" w:right="664"/>
              <w:jc w:val="center"/>
              <w:rPr>
                <w:sz w:val="20"/>
              </w:rPr>
            </w:pPr>
            <w:r>
              <w:rPr>
                <w:sz w:val="20"/>
              </w:rPr>
              <w:t>&gt;25000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2.40</w:t>
            </w:r>
          </w:p>
        </w:tc>
        <w:tc>
          <w:tcPr>
            <w:tcW w:w="1584" w:type="dxa"/>
            <w:tcBorders>
              <w:top w:val="single" w:sz="4" w:space="0" w:color="000000"/>
              <w:left w:val="single" w:sz="4" w:space="0" w:color="000000"/>
              <w:bottom w:val="single" w:sz="4" w:space="0" w:color="000000"/>
              <w:right w:val="nil"/>
            </w:tcBorders>
          </w:tcPr>
          <w:p>
            <w:pPr>
              <w:pStyle w:val="TableParagraph"/>
              <w:spacing w:before="42"/>
              <w:ind w:left="307" w:right="311"/>
              <w:jc w:val="center"/>
              <w:rPr>
                <w:b/>
                <w:sz w:val="20"/>
              </w:rPr>
            </w:pPr>
            <w:r>
              <w:rPr>
                <w:b/>
                <w:sz w:val="20"/>
              </w:rPr>
              <w:t>25</w:t>
            </w:r>
          </w:p>
        </w:tc>
      </w:tr>
      <w:tr>
        <w:trPr>
          <w:trHeight w:val="315" w:hRule="atLeast"/>
        </w:trPr>
        <w:tc>
          <w:tcPr>
            <w:tcW w:w="3893" w:type="dxa"/>
            <w:vMerge w:val="restart"/>
            <w:tcBorders>
              <w:top w:val="single" w:sz="4" w:space="0" w:color="000000"/>
              <w:left w:val="nil"/>
              <w:bottom w:val="single" w:sz="4" w:space="0" w:color="000000"/>
              <w:right w:val="single" w:sz="4" w:space="0" w:color="000000"/>
            </w:tcBorders>
            <w:shd w:val="clear" w:color="auto" w:fill="F2F2F2"/>
          </w:tcPr>
          <w:p>
            <w:pPr>
              <w:pStyle w:val="TableParagraph"/>
              <w:spacing w:before="8"/>
              <w:rPr>
                <w:b/>
                <w:sz w:val="21"/>
              </w:rPr>
            </w:pPr>
          </w:p>
          <w:p>
            <w:pPr>
              <w:pStyle w:val="TableParagraph"/>
              <w:ind w:left="107" w:right="90"/>
              <w:rPr>
                <w:sz w:val="20"/>
              </w:rPr>
            </w:pPr>
            <w:r>
              <w:rPr>
                <w:sz w:val="20"/>
              </w:rPr>
              <w:t>Three-leg intersection density per square mile (EPA Smart Location)</w:t>
            </w:r>
          </w:p>
        </w:tc>
        <w:tc>
          <w:tcPr>
            <w:tcW w:w="204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660" w:right="664"/>
              <w:jc w:val="center"/>
              <w:rPr>
                <w:sz w:val="20"/>
              </w:rPr>
            </w:pPr>
            <w:r>
              <w:rPr>
                <w:sz w:val="20"/>
              </w:rPr>
              <w:t>1-150</w:t>
            </w:r>
          </w:p>
        </w:tc>
        <w:tc>
          <w:tcPr>
            <w:tcW w:w="1841"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720" w:right="720"/>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40"/>
              <w:ind w:right="5"/>
              <w:jc w:val="center"/>
              <w:rPr>
                <w:sz w:val="20"/>
              </w:rPr>
            </w:pPr>
            <w:r>
              <w:rPr>
                <w:w w:val="100"/>
                <w:sz w:val="20"/>
              </w:rPr>
              <w:t>0</w:t>
            </w:r>
          </w:p>
        </w:tc>
      </w:tr>
      <w:tr>
        <w:trPr>
          <w:trHeight w:val="314" w:hRule="atLeast"/>
        </w:trPr>
        <w:tc>
          <w:tcPr>
            <w:tcW w:w="3893" w:type="dxa"/>
            <w:vMerge/>
            <w:tcBorders>
              <w:top w:val="nil"/>
              <w:left w:val="nil"/>
              <w:bottom w:val="single" w:sz="4" w:space="0" w:color="000000"/>
              <w:right w:val="single" w:sz="4" w:space="0" w:color="000000"/>
            </w:tcBorders>
            <w:shd w:val="clear" w:color="auto" w:fill="F2F2F2"/>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8"/>
              <w:ind w:left="660" w:right="665"/>
              <w:jc w:val="center"/>
              <w:rPr>
                <w:sz w:val="20"/>
              </w:rPr>
            </w:pPr>
            <w:r>
              <w:rPr>
                <w:sz w:val="20"/>
              </w:rPr>
              <w:t>151-200</w:t>
            </w:r>
          </w:p>
        </w:tc>
        <w:tc>
          <w:tcPr>
            <w:tcW w:w="1841"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8"/>
              <w:ind w:left="720" w:right="720"/>
              <w:jc w:val="center"/>
              <w:rPr>
                <w:sz w:val="20"/>
              </w:rPr>
            </w:pPr>
            <w:r>
              <w:rPr>
                <w:sz w:val="20"/>
              </w:rPr>
              <w:t>1.23</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38"/>
              <w:ind w:left="305" w:right="311"/>
              <w:jc w:val="center"/>
              <w:rPr>
                <w:sz w:val="20"/>
              </w:rPr>
            </w:pPr>
            <w:r>
              <w:rPr>
                <w:sz w:val="20"/>
              </w:rPr>
              <w:t>13</w:t>
            </w:r>
          </w:p>
        </w:tc>
      </w:tr>
      <w:tr>
        <w:trPr>
          <w:trHeight w:val="315" w:hRule="atLeast"/>
        </w:trPr>
        <w:tc>
          <w:tcPr>
            <w:tcW w:w="3893" w:type="dxa"/>
            <w:vMerge/>
            <w:tcBorders>
              <w:top w:val="nil"/>
              <w:left w:val="nil"/>
              <w:bottom w:val="single" w:sz="4" w:space="0" w:color="000000"/>
              <w:right w:val="single" w:sz="4" w:space="0" w:color="000000"/>
            </w:tcBorders>
            <w:shd w:val="clear" w:color="auto" w:fill="F2F2F2"/>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660" w:right="663"/>
              <w:jc w:val="center"/>
              <w:rPr>
                <w:sz w:val="20"/>
              </w:rPr>
            </w:pPr>
            <w:r>
              <w:rPr>
                <w:sz w:val="20"/>
              </w:rPr>
              <w:t>&gt;200</w:t>
            </w:r>
          </w:p>
        </w:tc>
        <w:tc>
          <w:tcPr>
            <w:tcW w:w="1841"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40"/>
              <w:ind w:left="720" w:right="720"/>
              <w:jc w:val="center"/>
              <w:rPr>
                <w:sz w:val="20"/>
              </w:rPr>
            </w:pPr>
            <w:r>
              <w:rPr>
                <w:sz w:val="20"/>
              </w:rPr>
              <w:t>1.60</w:t>
            </w:r>
          </w:p>
        </w:tc>
        <w:tc>
          <w:tcPr>
            <w:tcW w:w="1584" w:type="dxa"/>
            <w:tcBorders>
              <w:top w:val="single" w:sz="4" w:space="0" w:color="000000"/>
              <w:left w:val="single" w:sz="4" w:space="0" w:color="000000"/>
              <w:bottom w:val="single" w:sz="4" w:space="0" w:color="000000"/>
              <w:right w:val="nil"/>
            </w:tcBorders>
            <w:shd w:val="clear" w:color="auto" w:fill="F2F2F2"/>
          </w:tcPr>
          <w:p>
            <w:pPr>
              <w:pStyle w:val="TableParagraph"/>
              <w:spacing w:before="42"/>
              <w:ind w:left="305" w:right="311"/>
              <w:jc w:val="center"/>
              <w:rPr>
                <w:b/>
                <w:sz w:val="20"/>
              </w:rPr>
            </w:pPr>
            <w:r>
              <w:rPr>
                <w:b/>
                <w:sz w:val="20"/>
              </w:rPr>
              <w:t>16</w:t>
            </w:r>
          </w:p>
        </w:tc>
      </w:tr>
      <w:tr>
        <w:trPr>
          <w:trHeight w:val="315" w:hRule="atLeast"/>
        </w:trPr>
        <w:tc>
          <w:tcPr>
            <w:tcW w:w="3893" w:type="dxa"/>
            <w:vMerge w:val="restart"/>
            <w:tcBorders>
              <w:top w:val="single" w:sz="4" w:space="0" w:color="000000"/>
              <w:left w:val="nil"/>
              <w:bottom w:val="single" w:sz="4" w:space="0" w:color="000000"/>
              <w:right w:val="single" w:sz="4" w:space="0" w:color="000000"/>
            </w:tcBorders>
          </w:tcPr>
          <w:p>
            <w:pPr>
              <w:pStyle w:val="TableParagraph"/>
              <w:spacing w:before="6"/>
              <w:rPr>
                <w:b/>
                <w:sz w:val="17"/>
              </w:rPr>
            </w:pPr>
          </w:p>
          <w:p>
            <w:pPr>
              <w:pStyle w:val="TableParagraph"/>
              <w:ind w:left="107"/>
              <w:rPr>
                <w:sz w:val="20"/>
              </w:rPr>
            </w:pPr>
            <w:r>
              <w:rPr>
                <w:sz w:val="20"/>
              </w:rPr>
              <w:t>Presence of marked crosswalk</w:t>
            </w: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left="660" w:right="663"/>
              <w:jc w:val="center"/>
              <w:rPr>
                <w:sz w:val="20"/>
              </w:rPr>
            </w:pPr>
            <w:r>
              <w:rPr>
                <w:sz w:val="20"/>
              </w:rPr>
              <w:t>Yes</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1.00</w:t>
            </w:r>
          </w:p>
        </w:tc>
        <w:tc>
          <w:tcPr>
            <w:tcW w:w="1584" w:type="dxa"/>
            <w:tcBorders>
              <w:top w:val="single" w:sz="4" w:space="0" w:color="000000"/>
              <w:left w:val="single" w:sz="4" w:space="0" w:color="000000"/>
              <w:bottom w:val="single" w:sz="4" w:space="0" w:color="000000"/>
              <w:right w:val="nil"/>
            </w:tcBorders>
          </w:tcPr>
          <w:p>
            <w:pPr>
              <w:pStyle w:val="TableParagraph"/>
              <w:spacing w:before="42"/>
              <w:ind w:right="5"/>
              <w:jc w:val="center"/>
              <w:rPr>
                <w:b/>
                <w:sz w:val="20"/>
              </w:rPr>
            </w:pPr>
            <w:r>
              <w:rPr>
                <w:b/>
                <w:w w:val="100"/>
                <w:sz w:val="20"/>
              </w:rPr>
              <w:t>0</w:t>
            </w:r>
          </w:p>
        </w:tc>
      </w:tr>
      <w:tr>
        <w:trPr>
          <w:trHeight w:val="317" w:hRule="atLeast"/>
        </w:trPr>
        <w:tc>
          <w:tcPr>
            <w:tcW w:w="3893" w:type="dxa"/>
            <w:vMerge/>
            <w:tcBorders>
              <w:top w:val="nil"/>
              <w:left w:val="nil"/>
              <w:bottom w:val="single" w:sz="4" w:space="0" w:color="000000"/>
              <w:right w:val="single" w:sz="4" w:space="0" w:color="000000"/>
            </w:tcBorders>
          </w:tcPr>
          <w:p>
            <w:pPr>
              <w:rPr>
                <w:sz w:val="2"/>
                <w:szCs w:val="2"/>
              </w:rPr>
            </w:pPr>
          </w:p>
        </w:tc>
        <w:tc>
          <w:tcPr>
            <w:tcW w:w="2043" w:type="dxa"/>
            <w:tcBorders>
              <w:top w:val="single" w:sz="4" w:space="0" w:color="000000"/>
              <w:left w:val="single" w:sz="4" w:space="0" w:color="000000"/>
              <w:bottom w:val="single" w:sz="4" w:space="0" w:color="000000"/>
              <w:right w:val="single" w:sz="4" w:space="0" w:color="000000"/>
            </w:tcBorders>
          </w:tcPr>
          <w:p>
            <w:pPr>
              <w:pStyle w:val="TableParagraph"/>
              <w:spacing w:before="40"/>
              <w:ind w:left="660" w:right="663"/>
              <w:jc w:val="center"/>
              <w:rPr>
                <w:sz w:val="20"/>
              </w:rPr>
            </w:pPr>
            <w:r>
              <w:rPr>
                <w:sz w:val="20"/>
              </w:rPr>
              <w:t>No</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before="40"/>
              <w:ind w:left="720" w:right="720"/>
              <w:jc w:val="center"/>
              <w:rPr>
                <w:sz w:val="20"/>
              </w:rPr>
            </w:pPr>
            <w:r>
              <w:rPr>
                <w:sz w:val="20"/>
              </w:rPr>
              <w:t>3.34</w:t>
            </w:r>
          </w:p>
        </w:tc>
        <w:tc>
          <w:tcPr>
            <w:tcW w:w="1584" w:type="dxa"/>
            <w:tcBorders>
              <w:top w:val="single" w:sz="4" w:space="0" w:color="000000"/>
              <w:left w:val="single" w:sz="4" w:space="0" w:color="000000"/>
              <w:bottom w:val="single" w:sz="4" w:space="0" w:color="000000"/>
              <w:right w:val="nil"/>
            </w:tcBorders>
          </w:tcPr>
          <w:p>
            <w:pPr>
              <w:pStyle w:val="TableParagraph"/>
              <w:spacing w:before="42"/>
              <w:ind w:left="307" w:right="311"/>
              <w:jc w:val="center"/>
              <w:rPr>
                <w:b/>
                <w:sz w:val="20"/>
              </w:rPr>
            </w:pPr>
            <w:r>
              <w:rPr>
                <w:b/>
                <w:sz w:val="20"/>
              </w:rPr>
              <w:t>34</w:t>
            </w:r>
          </w:p>
        </w:tc>
      </w:tr>
    </w:tbl>
    <w:p>
      <w:pPr>
        <w:pStyle w:val="BodyText"/>
        <w:spacing w:before="9"/>
        <w:rPr>
          <w:b/>
          <w:sz w:val="23"/>
        </w:rPr>
      </w:pPr>
    </w:p>
    <w:p>
      <w:pPr>
        <w:pStyle w:val="Heading3"/>
        <w:numPr>
          <w:ilvl w:val="2"/>
          <w:numId w:val="31"/>
        </w:numPr>
        <w:tabs>
          <w:tab w:pos="1040" w:val="left" w:leader="none"/>
        </w:tabs>
        <w:spacing w:line="240" w:lineRule="auto" w:before="0" w:after="0"/>
        <w:ind w:left="1039" w:right="0" w:hanging="719"/>
        <w:jc w:val="left"/>
      </w:pPr>
      <w:bookmarkStart w:name="_TOC_250009" w:id="272"/>
      <w:bookmarkStart w:name="7.3.2 Intersection Risk Score" w:id="273"/>
      <w:r>
        <w:rPr>
          <w:b w:val="0"/>
        </w:rPr>
      </w:r>
      <w:bookmarkEnd w:id="273"/>
      <w:bookmarkStart w:name="7.3.2 Intersection Risk Score" w:id="274"/>
      <w:r>
        <w:rPr/>
        <w:t>I</w:t>
      </w:r>
      <w:r>
        <w:rPr/>
        <w:t>ntersection Risk</w:t>
      </w:r>
      <w:r>
        <w:rPr>
          <w:spacing w:val="-4"/>
        </w:rPr>
        <w:t> </w:t>
      </w:r>
      <w:bookmarkEnd w:id="272"/>
      <w:r>
        <w:rPr/>
        <w:t>Score</w:t>
      </w:r>
    </w:p>
    <w:p>
      <w:pPr>
        <w:pStyle w:val="BodyText"/>
        <w:spacing w:before="237"/>
        <w:ind w:left="320" w:right="1589"/>
      </w:pPr>
      <w:hyperlink w:history="true" w:anchor="_bookmark57">
        <w:r>
          <w:rPr/>
          <w:t>Table 7.5</w:t>
        </w:r>
      </w:hyperlink>
      <w:r>
        <w:rPr/>
        <w:t> shows the risk score developed from the bicycle intersection model. In order to make all risk scores positive, two variables’ base condition is converted. Variable “Minor road functional class” transferred its base condition from Arterial to Collector and the base condition of variable “Minor road presence of right-turn lane” is “Presence of right-turn lane” instead of No right-turn lane.</w:t>
      </w:r>
    </w:p>
    <w:p>
      <w:pPr>
        <w:spacing w:after="0"/>
        <w:sectPr>
          <w:pgSz w:w="12240" w:h="15840"/>
          <w:pgMar w:header="0" w:footer="709" w:top="920" w:bottom="980" w:left="1120" w:right="0"/>
        </w:sectPr>
      </w:pPr>
    </w:p>
    <w:p>
      <w:pPr>
        <w:tabs>
          <w:tab w:pos="9576" w:val="left" w:leader="none"/>
        </w:tabs>
        <w:spacing w:before="75"/>
        <w:ind w:left="216" w:right="0" w:firstLine="0"/>
        <w:jc w:val="left"/>
        <w:rPr>
          <w:b/>
          <w:sz w:val="20"/>
        </w:rPr>
      </w:pPr>
      <w:bookmarkStart w:name="_bookmark57" w:id="275"/>
      <w:bookmarkEnd w:id="275"/>
      <w:r>
        <w:rPr/>
      </w:r>
      <w:r>
        <w:rPr>
          <w:b/>
          <w:w w:val="100"/>
          <w:sz w:val="20"/>
          <w:u w:val="thick"/>
        </w:rPr>
        <w:t> </w:t>
      </w:r>
      <w:r>
        <w:rPr>
          <w:b/>
          <w:spacing w:val="3"/>
          <w:sz w:val="20"/>
          <w:u w:val="thick"/>
        </w:rPr>
        <w:t> </w:t>
      </w:r>
      <w:r>
        <w:rPr>
          <w:b/>
          <w:sz w:val="20"/>
          <w:u w:val="thick"/>
        </w:rPr>
        <w:t>Table 7.5: Bicycle Intersection Risk</w:t>
      </w:r>
      <w:r>
        <w:rPr>
          <w:b/>
          <w:spacing w:val="-20"/>
          <w:sz w:val="20"/>
          <w:u w:val="thick"/>
        </w:rPr>
        <w:t> </w:t>
      </w:r>
      <w:r>
        <w:rPr>
          <w:b/>
          <w:sz w:val="20"/>
          <w:u w:val="thick"/>
        </w:rPr>
        <w:t>Scores</w:t>
        <w:tab/>
      </w:r>
    </w:p>
    <w:p>
      <w:pPr>
        <w:pStyle w:val="BodyText"/>
        <w:spacing w:before="4"/>
        <w:rPr>
          <w:b/>
          <w:sz w:val="6"/>
        </w:rPr>
      </w:pPr>
    </w:p>
    <w:tbl>
      <w:tblPr>
        <w:tblW w:w="0" w:type="auto"/>
        <w:jc w:val="left"/>
        <w:tblInd w:w="2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822"/>
        <w:gridCol w:w="2228"/>
        <w:gridCol w:w="1725"/>
        <w:gridCol w:w="1583"/>
      </w:tblGrid>
      <w:tr>
        <w:trPr>
          <w:trHeight w:val="257" w:hRule="atLeast"/>
        </w:trPr>
        <w:tc>
          <w:tcPr>
            <w:tcW w:w="3822" w:type="dxa"/>
            <w:tcBorders>
              <w:top w:val="nil"/>
              <w:left w:val="nil"/>
              <w:right w:val="nil"/>
            </w:tcBorders>
          </w:tcPr>
          <w:p>
            <w:pPr>
              <w:pStyle w:val="TableParagraph"/>
              <w:spacing w:line="222" w:lineRule="exact"/>
              <w:ind w:left="108"/>
              <w:rPr>
                <w:b/>
                <w:sz w:val="20"/>
              </w:rPr>
            </w:pPr>
            <w:r>
              <w:rPr>
                <w:b/>
                <w:sz w:val="20"/>
              </w:rPr>
              <w:t>Variable</w:t>
            </w:r>
          </w:p>
        </w:tc>
        <w:tc>
          <w:tcPr>
            <w:tcW w:w="2228" w:type="dxa"/>
            <w:tcBorders>
              <w:top w:val="nil"/>
              <w:left w:val="nil"/>
              <w:right w:val="nil"/>
            </w:tcBorders>
          </w:tcPr>
          <w:p>
            <w:pPr>
              <w:pStyle w:val="TableParagraph"/>
              <w:spacing w:line="222" w:lineRule="exact"/>
              <w:ind w:left="860" w:right="861"/>
              <w:jc w:val="center"/>
              <w:rPr>
                <w:b/>
                <w:sz w:val="20"/>
              </w:rPr>
            </w:pPr>
            <w:r>
              <w:rPr>
                <w:b/>
                <w:sz w:val="20"/>
              </w:rPr>
              <w:t>Level</w:t>
            </w:r>
          </w:p>
        </w:tc>
        <w:tc>
          <w:tcPr>
            <w:tcW w:w="1725" w:type="dxa"/>
            <w:tcBorders>
              <w:top w:val="nil"/>
              <w:left w:val="nil"/>
              <w:right w:val="nil"/>
            </w:tcBorders>
          </w:tcPr>
          <w:p>
            <w:pPr>
              <w:pStyle w:val="TableParagraph"/>
              <w:spacing w:line="222" w:lineRule="exact"/>
              <w:ind w:left="156" w:right="155"/>
              <w:jc w:val="center"/>
              <w:rPr>
                <w:b/>
                <w:sz w:val="20"/>
              </w:rPr>
            </w:pPr>
            <w:r>
              <w:rPr>
                <w:b/>
                <w:sz w:val="20"/>
              </w:rPr>
              <w:t>Internal Weight</w:t>
            </w:r>
          </w:p>
        </w:tc>
        <w:tc>
          <w:tcPr>
            <w:tcW w:w="1583" w:type="dxa"/>
            <w:tcBorders>
              <w:top w:val="nil"/>
              <w:left w:val="nil"/>
              <w:right w:val="nil"/>
            </w:tcBorders>
          </w:tcPr>
          <w:p>
            <w:pPr>
              <w:pStyle w:val="TableParagraph"/>
              <w:spacing w:line="222" w:lineRule="exact"/>
              <w:ind w:left="315" w:right="311"/>
              <w:jc w:val="center"/>
              <w:rPr>
                <w:b/>
                <w:sz w:val="20"/>
              </w:rPr>
            </w:pPr>
            <w:r>
              <w:rPr>
                <w:b/>
                <w:sz w:val="20"/>
              </w:rPr>
              <w:t>Risk Score</w:t>
            </w:r>
          </w:p>
        </w:tc>
      </w:tr>
      <w:tr>
        <w:trPr>
          <w:trHeight w:val="299" w:hRule="atLeast"/>
        </w:trPr>
        <w:tc>
          <w:tcPr>
            <w:tcW w:w="3822" w:type="dxa"/>
            <w:vMerge w:val="restart"/>
            <w:tcBorders>
              <w:left w:val="nil"/>
              <w:bottom w:val="single" w:sz="4" w:space="0" w:color="000000"/>
              <w:right w:val="single" w:sz="4" w:space="0" w:color="000000"/>
            </w:tcBorders>
            <w:shd w:val="clear" w:color="auto" w:fill="F2F2F2"/>
          </w:tcPr>
          <w:p>
            <w:pPr>
              <w:pStyle w:val="TableParagraph"/>
              <w:spacing w:before="7"/>
              <w:rPr>
                <w:b/>
                <w:sz w:val="29"/>
              </w:rPr>
            </w:pPr>
          </w:p>
          <w:p>
            <w:pPr>
              <w:pStyle w:val="TableParagraph"/>
              <w:spacing w:before="1"/>
              <w:ind w:left="107"/>
              <w:rPr>
                <w:sz w:val="20"/>
              </w:rPr>
            </w:pPr>
            <w:r>
              <w:rPr>
                <w:sz w:val="20"/>
              </w:rPr>
              <w:t>Bikes per day (STRAVA)</w:t>
            </w:r>
          </w:p>
        </w:tc>
        <w:tc>
          <w:tcPr>
            <w:tcW w:w="2228" w:type="dxa"/>
            <w:tcBorders>
              <w:left w:val="single" w:sz="4" w:space="0" w:color="000000"/>
              <w:bottom w:val="single" w:sz="4" w:space="0" w:color="000000"/>
              <w:right w:val="single" w:sz="4" w:space="0" w:color="000000"/>
            </w:tcBorders>
            <w:shd w:val="clear" w:color="auto" w:fill="F2F2F2"/>
          </w:tcPr>
          <w:p>
            <w:pPr>
              <w:pStyle w:val="TableParagraph"/>
              <w:spacing w:before="31"/>
              <w:ind w:left="556" w:right="557"/>
              <w:jc w:val="center"/>
              <w:rPr>
                <w:sz w:val="20"/>
              </w:rPr>
            </w:pPr>
            <w:r>
              <w:rPr>
                <w:sz w:val="20"/>
              </w:rPr>
              <w:t>&lt;=200 (base)</w:t>
            </w:r>
          </w:p>
        </w:tc>
        <w:tc>
          <w:tcPr>
            <w:tcW w:w="1725" w:type="dxa"/>
            <w:tcBorders>
              <w:left w:val="single" w:sz="4" w:space="0" w:color="000000"/>
              <w:bottom w:val="single" w:sz="4" w:space="0" w:color="000000"/>
              <w:right w:val="single" w:sz="4" w:space="0" w:color="000000"/>
            </w:tcBorders>
            <w:shd w:val="clear" w:color="auto" w:fill="F2F2F2"/>
          </w:tcPr>
          <w:p>
            <w:pPr>
              <w:pStyle w:val="TableParagraph"/>
              <w:spacing w:before="31"/>
              <w:jc w:val="center"/>
              <w:rPr>
                <w:sz w:val="20"/>
              </w:rPr>
            </w:pPr>
            <w:r>
              <w:rPr>
                <w:w w:val="100"/>
                <w:sz w:val="20"/>
              </w:rPr>
              <w:t>1</w:t>
            </w:r>
          </w:p>
        </w:tc>
        <w:tc>
          <w:tcPr>
            <w:tcW w:w="1583" w:type="dxa"/>
            <w:tcBorders>
              <w:left w:val="single" w:sz="4" w:space="0" w:color="000000"/>
              <w:bottom w:val="single" w:sz="4" w:space="0" w:color="000000"/>
              <w:right w:val="nil"/>
            </w:tcBorders>
            <w:shd w:val="clear" w:color="auto" w:fill="F2F2F2"/>
          </w:tcPr>
          <w:p>
            <w:pPr>
              <w:pStyle w:val="TableParagraph"/>
              <w:spacing w:before="31"/>
              <w:jc w:val="center"/>
              <w:rPr>
                <w:sz w:val="20"/>
              </w:rPr>
            </w:pPr>
            <w:r>
              <w:rPr>
                <w:w w:val="100"/>
                <w:sz w:val="20"/>
              </w:rPr>
              <w:t>0</w:t>
            </w:r>
          </w:p>
        </w:tc>
      </w:tr>
      <w:tr>
        <w:trPr>
          <w:trHeight w:val="299" w:hRule="atLeast"/>
        </w:trPr>
        <w:tc>
          <w:tcPr>
            <w:tcW w:w="3822" w:type="dxa"/>
            <w:vMerge/>
            <w:tcBorders>
              <w:top w:val="nil"/>
              <w:left w:val="nil"/>
              <w:bottom w:val="single" w:sz="4" w:space="0" w:color="000000"/>
              <w:right w:val="single" w:sz="4" w:space="0" w:color="000000"/>
            </w:tcBorders>
            <w:shd w:val="clear" w:color="auto" w:fill="F2F2F2"/>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55" w:right="557"/>
              <w:jc w:val="center"/>
              <w:rPr>
                <w:sz w:val="20"/>
              </w:rPr>
            </w:pPr>
            <w:r>
              <w:rPr>
                <w:sz w:val="20"/>
              </w:rPr>
              <w:t>&lt;= 800</w:t>
            </w:r>
          </w:p>
        </w:tc>
        <w:tc>
          <w:tcPr>
            <w:tcW w:w="17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712" w:right="711"/>
              <w:jc w:val="center"/>
              <w:rPr>
                <w:sz w:val="20"/>
              </w:rPr>
            </w:pPr>
            <w:r>
              <w:rPr>
                <w:sz w:val="20"/>
              </w:rPr>
              <w:t>2.4</w:t>
            </w:r>
          </w:p>
        </w:tc>
        <w:tc>
          <w:tcPr>
            <w:tcW w:w="1583" w:type="dxa"/>
            <w:tcBorders>
              <w:top w:val="single" w:sz="4" w:space="0" w:color="000000"/>
              <w:left w:val="single" w:sz="4" w:space="0" w:color="000000"/>
              <w:bottom w:val="single" w:sz="4" w:space="0" w:color="000000"/>
              <w:right w:val="nil"/>
            </w:tcBorders>
            <w:shd w:val="clear" w:color="auto" w:fill="F2F2F2"/>
          </w:tcPr>
          <w:p>
            <w:pPr>
              <w:pStyle w:val="TableParagraph"/>
              <w:spacing w:before="31"/>
              <w:ind w:left="668" w:right="669"/>
              <w:jc w:val="center"/>
              <w:rPr>
                <w:sz w:val="20"/>
              </w:rPr>
            </w:pPr>
            <w:r>
              <w:rPr>
                <w:sz w:val="20"/>
              </w:rPr>
              <w:t>11</w:t>
            </w:r>
          </w:p>
        </w:tc>
      </w:tr>
      <w:tr>
        <w:trPr>
          <w:trHeight w:val="299" w:hRule="atLeast"/>
        </w:trPr>
        <w:tc>
          <w:tcPr>
            <w:tcW w:w="3822" w:type="dxa"/>
            <w:vMerge/>
            <w:tcBorders>
              <w:top w:val="nil"/>
              <w:left w:val="nil"/>
              <w:bottom w:val="single" w:sz="4" w:space="0" w:color="000000"/>
              <w:right w:val="single" w:sz="4" w:space="0" w:color="000000"/>
            </w:tcBorders>
            <w:shd w:val="clear" w:color="auto" w:fill="F2F2F2"/>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54" w:right="557"/>
              <w:jc w:val="center"/>
              <w:rPr>
                <w:sz w:val="20"/>
              </w:rPr>
            </w:pPr>
            <w:r>
              <w:rPr>
                <w:sz w:val="20"/>
              </w:rPr>
              <w:t>&gt;800</w:t>
            </w:r>
          </w:p>
        </w:tc>
        <w:tc>
          <w:tcPr>
            <w:tcW w:w="17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712" w:right="711"/>
              <w:jc w:val="center"/>
              <w:rPr>
                <w:sz w:val="20"/>
              </w:rPr>
            </w:pPr>
            <w:r>
              <w:rPr>
                <w:sz w:val="20"/>
              </w:rPr>
              <w:t>4.3</w:t>
            </w:r>
          </w:p>
        </w:tc>
        <w:tc>
          <w:tcPr>
            <w:tcW w:w="1583" w:type="dxa"/>
            <w:tcBorders>
              <w:top w:val="single" w:sz="4" w:space="0" w:color="000000"/>
              <w:left w:val="single" w:sz="4" w:space="0" w:color="000000"/>
              <w:bottom w:val="single" w:sz="4" w:space="0" w:color="000000"/>
              <w:right w:val="nil"/>
            </w:tcBorders>
            <w:shd w:val="clear" w:color="auto" w:fill="F2F2F2"/>
          </w:tcPr>
          <w:p>
            <w:pPr>
              <w:pStyle w:val="TableParagraph"/>
              <w:spacing w:before="34"/>
              <w:ind w:left="668" w:right="669"/>
              <w:jc w:val="center"/>
              <w:rPr>
                <w:b/>
                <w:sz w:val="20"/>
              </w:rPr>
            </w:pPr>
            <w:r>
              <w:rPr>
                <w:b/>
                <w:sz w:val="20"/>
              </w:rPr>
              <w:t>20</w:t>
            </w:r>
          </w:p>
        </w:tc>
      </w:tr>
      <w:tr>
        <w:trPr>
          <w:trHeight w:val="300" w:hRule="atLeast"/>
        </w:trPr>
        <w:tc>
          <w:tcPr>
            <w:tcW w:w="3822"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rPr>
                <w:b/>
                <w:sz w:val="22"/>
              </w:rPr>
            </w:pPr>
          </w:p>
          <w:p>
            <w:pPr>
              <w:pStyle w:val="TableParagraph"/>
              <w:spacing w:before="146"/>
              <w:ind w:left="107"/>
              <w:rPr>
                <w:sz w:val="20"/>
              </w:rPr>
            </w:pPr>
            <w:r>
              <w:rPr>
                <w:sz w:val="20"/>
              </w:rPr>
              <w:t>Number of transit stops</w:t>
            </w: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2"/>
              <w:ind w:left="555" w:right="557"/>
              <w:jc w:val="center"/>
              <w:rPr>
                <w:sz w:val="20"/>
              </w:rPr>
            </w:pPr>
            <w:r>
              <w:rPr>
                <w:sz w:val="20"/>
              </w:rPr>
              <w:t>0(base)</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2"/>
              <w:jc w:val="center"/>
              <w:rPr>
                <w:sz w:val="20"/>
              </w:rPr>
            </w:pPr>
            <w:r>
              <w:rPr>
                <w:w w:val="100"/>
                <w:sz w:val="20"/>
              </w:rPr>
              <w:t>1</w:t>
            </w:r>
          </w:p>
        </w:tc>
        <w:tc>
          <w:tcPr>
            <w:tcW w:w="1583" w:type="dxa"/>
            <w:tcBorders>
              <w:top w:val="single" w:sz="4" w:space="0" w:color="000000"/>
              <w:left w:val="single" w:sz="4" w:space="0" w:color="000000"/>
              <w:bottom w:val="single" w:sz="4" w:space="0" w:color="000000"/>
              <w:right w:val="nil"/>
            </w:tcBorders>
          </w:tcPr>
          <w:p>
            <w:pPr>
              <w:pStyle w:val="TableParagraph"/>
              <w:spacing w:before="32"/>
              <w:jc w:val="center"/>
              <w:rPr>
                <w:sz w:val="20"/>
              </w:rPr>
            </w:pPr>
            <w:r>
              <w:rPr>
                <w:w w:val="100"/>
                <w:sz w:val="20"/>
              </w:rPr>
              <w:t>0</w:t>
            </w:r>
          </w:p>
        </w:tc>
      </w:tr>
      <w:tr>
        <w:trPr>
          <w:trHeight w:val="299"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right="1"/>
              <w:jc w:val="center"/>
              <w:rPr>
                <w:sz w:val="20"/>
              </w:rPr>
            </w:pPr>
            <w:r>
              <w:rPr>
                <w:w w:val="100"/>
                <w:sz w:val="20"/>
              </w:rPr>
              <w:t>1</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ind w:left="713" w:right="711"/>
              <w:jc w:val="center"/>
              <w:rPr>
                <w:sz w:val="20"/>
              </w:rPr>
            </w:pPr>
            <w:r>
              <w:rPr>
                <w:sz w:val="20"/>
              </w:rPr>
              <w:t>1.4</w:t>
            </w:r>
          </w:p>
        </w:tc>
        <w:tc>
          <w:tcPr>
            <w:tcW w:w="1583" w:type="dxa"/>
            <w:tcBorders>
              <w:top w:val="single" w:sz="4" w:space="0" w:color="000000"/>
              <w:left w:val="single" w:sz="4" w:space="0" w:color="000000"/>
              <w:bottom w:val="single" w:sz="4" w:space="0" w:color="000000"/>
              <w:right w:val="nil"/>
            </w:tcBorders>
          </w:tcPr>
          <w:p>
            <w:pPr>
              <w:pStyle w:val="TableParagraph"/>
              <w:spacing w:before="31"/>
              <w:jc w:val="center"/>
              <w:rPr>
                <w:sz w:val="20"/>
              </w:rPr>
            </w:pPr>
            <w:r>
              <w:rPr>
                <w:w w:val="100"/>
                <w:sz w:val="20"/>
              </w:rPr>
              <w:t>7</w:t>
            </w:r>
          </w:p>
        </w:tc>
      </w:tr>
      <w:tr>
        <w:trPr>
          <w:trHeight w:val="299"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right="1"/>
              <w:jc w:val="center"/>
              <w:rPr>
                <w:sz w:val="20"/>
              </w:rPr>
            </w:pPr>
            <w:r>
              <w:rPr>
                <w:w w:val="100"/>
                <w:sz w:val="20"/>
              </w:rPr>
              <w:t>2</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jc w:val="center"/>
              <w:rPr>
                <w:sz w:val="20"/>
              </w:rPr>
            </w:pPr>
            <w:r>
              <w:rPr>
                <w:w w:val="100"/>
                <w:sz w:val="20"/>
              </w:rPr>
              <w:t>2</w:t>
            </w:r>
          </w:p>
        </w:tc>
        <w:tc>
          <w:tcPr>
            <w:tcW w:w="1583" w:type="dxa"/>
            <w:tcBorders>
              <w:top w:val="single" w:sz="4" w:space="0" w:color="000000"/>
              <w:left w:val="single" w:sz="4" w:space="0" w:color="000000"/>
              <w:bottom w:val="single" w:sz="4" w:space="0" w:color="000000"/>
              <w:right w:val="nil"/>
            </w:tcBorders>
          </w:tcPr>
          <w:p>
            <w:pPr>
              <w:pStyle w:val="TableParagraph"/>
              <w:spacing w:before="31"/>
              <w:ind w:left="668" w:right="668"/>
              <w:jc w:val="center"/>
              <w:rPr>
                <w:sz w:val="20"/>
              </w:rPr>
            </w:pPr>
            <w:r>
              <w:rPr>
                <w:sz w:val="20"/>
              </w:rPr>
              <w:t>10</w:t>
            </w:r>
          </w:p>
        </w:tc>
      </w:tr>
      <w:tr>
        <w:trPr>
          <w:trHeight w:val="300"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2"/>
              <w:ind w:right="1"/>
              <w:jc w:val="center"/>
              <w:rPr>
                <w:sz w:val="20"/>
              </w:rPr>
            </w:pPr>
            <w:r>
              <w:rPr>
                <w:w w:val="100"/>
                <w:sz w:val="20"/>
              </w:rPr>
              <w:t>3</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2"/>
              <w:ind w:left="713" w:right="711"/>
              <w:jc w:val="center"/>
              <w:rPr>
                <w:sz w:val="20"/>
              </w:rPr>
            </w:pPr>
            <w:r>
              <w:rPr>
                <w:sz w:val="20"/>
              </w:rPr>
              <w:t>2.8</w:t>
            </w:r>
          </w:p>
        </w:tc>
        <w:tc>
          <w:tcPr>
            <w:tcW w:w="1583" w:type="dxa"/>
            <w:tcBorders>
              <w:top w:val="single" w:sz="4" w:space="0" w:color="000000"/>
              <w:left w:val="single" w:sz="4" w:space="0" w:color="000000"/>
              <w:bottom w:val="single" w:sz="4" w:space="0" w:color="000000"/>
              <w:right w:val="nil"/>
            </w:tcBorders>
          </w:tcPr>
          <w:p>
            <w:pPr>
              <w:pStyle w:val="TableParagraph"/>
              <w:spacing w:before="32"/>
              <w:ind w:left="668" w:right="669"/>
              <w:jc w:val="center"/>
              <w:rPr>
                <w:sz w:val="20"/>
              </w:rPr>
            </w:pPr>
            <w:r>
              <w:rPr>
                <w:sz w:val="20"/>
              </w:rPr>
              <w:t>14</w:t>
            </w:r>
          </w:p>
        </w:tc>
      </w:tr>
      <w:tr>
        <w:trPr>
          <w:trHeight w:val="299"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left="556" w:right="557"/>
              <w:jc w:val="center"/>
              <w:rPr>
                <w:sz w:val="20"/>
              </w:rPr>
            </w:pPr>
            <w:r>
              <w:rPr>
                <w:sz w:val="20"/>
              </w:rPr>
              <w:t>&gt;3</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ind w:left="713" w:right="711"/>
              <w:jc w:val="center"/>
              <w:rPr>
                <w:sz w:val="20"/>
              </w:rPr>
            </w:pPr>
            <w:r>
              <w:rPr>
                <w:sz w:val="20"/>
              </w:rPr>
              <w:t>5.7</w:t>
            </w:r>
          </w:p>
        </w:tc>
        <w:tc>
          <w:tcPr>
            <w:tcW w:w="1583" w:type="dxa"/>
            <w:tcBorders>
              <w:top w:val="single" w:sz="4" w:space="0" w:color="000000"/>
              <w:left w:val="single" w:sz="4" w:space="0" w:color="000000"/>
              <w:bottom w:val="single" w:sz="4" w:space="0" w:color="000000"/>
              <w:right w:val="nil"/>
            </w:tcBorders>
          </w:tcPr>
          <w:p>
            <w:pPr>
              <w:pStyle w:val="TableParagraph"/>
              <w:spacing w:before="34"/>
              <w:ind w:left="668" w:right="669"/>
              <w:jc w:val="center"/>
              <w:rPr>
                <w:b/>
                <w:sz w:val="20"/>
              </w:rPr>
            </w:pPr>
            <w:r>
              <w:rPr>
                <w:b/>
                <w:sz w:val="20"/>
              </w:rPr>
              <w:t>27</w:t>
            </w:r>
          </w:p>
        </w:tc>
      </w:tr>
      <w:tr>
        <w:trPr>
          <w:trHeight w:val="299" w:hRule="atLeast"/>
        </w:trPr>
        <w:tc>
          <w:tcPr>
            <w:tcW w:w="3822" w:type="dxa"/>
            <w:vMerge w:val="restart"/>
            <w:tcBorders>
              <w:top w:val="single" w:sz="4" w:space="0" w:color="000000"/>
              <w:left w:val="nil"/>
              <w:bottom w:val="single" w:sz="4" w:space="0" w:color="000000"/>
              <w:right w:val="single" w:sz="4" w:space="0" w:color="000000"/>
            </w:tcBorders>
            <w:shd w:val="clear" w:color="auto" w:fill="F2F2F2"/>
          </w:tcPr>
          <w:p>
            <w:pPr>
              <w:pStyle w:val="TableParagraph"/>
              <w:spacing w:before="187"/>
              <w:ind w:left="107"/>
              <w:rPr>
                <w:sz w:val="20"/>
              </w:rPr>
            </w:pPr>
            <w:r>
              <w:rPr>
                <w:sz w:val="20"/>
              </w:rPr>
              <w:t>Minor functional class</w:t>
            </w:r>
          </w:p>
        </w:tc>
        <w:tc>
          <w:tcPr>
            <w:tcW w:w="222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55" w:right="557"/>
              <w:jc w:val="center"/>
              <w:rPr>
                <w:sz w:val="20"/>
              </w:rPr>
            </w:pPr>
            <w:r>
              <w:rPr>
                <w:sz w:val="20"/>
              </w:rPr>
              <w:t>Collector</w:t>
            </w:r>
          </w:p>
        </w:tc>
        <w:tc>
          <w:tcPr>
            <w:tcW w:w="17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jc w:val="center"/>
              <w:rPr>
                <w:sz w:val="20"/>
              </w:rPr>
            </w:pPr>
            <w:r>
              <w:rPr>
                <w:w w:val="100"/>
                <w:sz w:val="20"/>
              </w:rPr>
              <w:t>1</w:t>
            </w:r>
          </w:p>
        </w:tc>
        <w:tc>
          <w:tcPr>
            <w:tcW w:w="1583" w:type="dxa"/>
            <w:tcBorders>
              <w:top w:val="single" w:sz="4" w:space="0" w:color="000000"/>
              <w:left w:val="single" w:sz="4" w:space="0" w:color="000000"/>
              <w:bottom w:val="single" w:sz="4" w:space="0" w:color="000000"/>
              <w:right w:val="nil"/>
            </w:tcBorders>
            <w:shd w:val="clear" w:color="auto" w:fill="F2F2F2"/>
          </w:tcPr>
          <w:p>
            <w:pPr>
              <w:pStyle w:val="TableParagraph"/>
              <w:spacing w:before="31"/>
              <w:jc w:val="center"/>
              <w:rPr>
                <w:sz w:val="20"/>
              </w:rPr>
            </w:pPr>
            <w:r>
              <w:rPr>
                <w:w w:val="100"/>
                <w:sz w:val="20"/>
              </w:rPr>
              <w:t>0</w:t>
            </w:r>
          </w:p>
        </w:tc>
      </w:tr>
      <w:tr>
        <w:trPr>
          <w:trHeight w:val="300" w:hRule="atLeast"/>
        </w:trPr>
        <w:tc>
          <w:tcPr>
            <w:tcW w:w="3822" w:type="dxa"/>
            <w:vMerge/>
            <w:tcBorders>
              <w:top w:val="nil"/>
              <w:left w:val="nil"/>
              <w:bottom w:val="single" w:sz="4" w:space="0" w:color="000000"/>
              <w:right w:val="single" w:sz="4" w:space="0" w:color="000000"/>
            </w:tcBorders>
            <w:shd w:val="clear" w:color="auto" w:fill="F2F2F2"/>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555" w:right="557"/>
              <w:jc w:val="center"/>
              <w:rPr>
                <w:sz w:val="20"/>
              </w:rPr>
            </w:pPr>
            <w:r>
              <w:rPr>
                <w:sz w:val="20"/>
              </w:rPr>
              <w:t>Arterial</w:t>
            </w:r>
          </w:p>
        </w:tc>
        <w:tc>
          <w:tcPr>
            <w:tcW w:w="17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2"/>
              <w:ind w:left="712" w:right="711"/>
              <w:jc w:val="center"/>
              <w:rPr>
                <w:sz w:val="20"/>
              </w:rPr>
            </w:pPr>
            <w:r>
              <w:rPr>
                <w:sz w:val="20"/>
              </w:rPr>
              <w:t>2.3</w:t>
            </w:r>
          </w:p>
        </w:tc>
        <w:tc>
          <w:tcPr>
            <w:tcW w:w="1583" w:type="dxa"/>
            <w:tcBorders>
              <w:top w:val="single" w:sz="4" w:space="0" w:color="000000"/>
              <w:left w:val="single" w:sz="4" w:space="0" w:color="000000"/>
              <w:bottom w:val="single" w:sz="4" w:space="0" w:color="000000"/>
              <w:right w:val="nil"/>
            </w:tcBorders>
            <w:shd w:val="clear" w:color="auto" w:fill="F2F2F2"/>
          </w:tcPr>
          <w:p>
            <w:pPr>
              <w:pStyle w:val="TableParagraph"/>
              <w:spacing w:before="35"/>
              <w:ind w:left="668" w:right="669"/>
              <w:jc w:val="center"/>
              <w:rPr>
                <w:b/>
                <w:sz w:val="20"/>
              </w:rPr>
            </w:pPr>
            <w:r>
              <w:rPr>
                <w:b/>
                <w:sz w:val="20"/>
              </w:rPr>
              <w:t>12</w:t>
            </w:r>
          </w:p>
        </w:tc>
      </w:tr>
      <w:tr>
        <w:trPr>
          <w:trHeight w:val="299" w:hRule="atLeast"/>
        </w:trPr>
        <w:tc>
          <w:tcPr>
            <w:tcW w:w="3822" w:type="dxa"/>
            <w:vMerge w:val="restart"/>
            <w:tcBorders>
              <w:top w:val="single" w:sz="4" w:space="0" w:color="000000"/>
              <w:left w:val="nil"/>
              <w:bottom w:val="single" w:sz="4" w:space="0" w:color="000000"/>
              <w:right w:val="single" w:sz="4" w:space="0" w:color="000000"/>
            </w:tcBorders>
          </w:tcPr>
          <w:p>
            <w:pPr>
              <w:pStyle w:val="TableParagraph"/>
              <w:rPr>
                <w:b/>
                <w:sz w:val="22"/>
              </w:rPr>
            </w:pPr>
          </w:p>
          <w:p>
            <w:pPr>
              <w:pStyle w:val="TableParagraph"/>
              <w:spacing w:before="2"/>
              <w:rPr>
                <w:b/>
                <w:sz w:val="21"/>
              </w:rPr>
            </w:pPr>
          </w:p>
          <w:p>
            <w:pPr>
              <w:pStyle w:val="TableParagraph"/>
              <w:ind w:left="107"/>
              <w:rPr>
                <w:sz w:val="20"/>
              </w:rPr>
            </w:pPr>
            <w:r>
              <w:rPr>
                <w:sz w:val="20"/>
              </w:rPr>
              <w:t>Minor road total number of traffic lanes</w:t>
            </w: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left="555" w:right="557"/>
              <w:jc w:val="center"/>
              <w:rPr>
                <w:sz w:val="20"/>
              </w:rPr>
            </w:pPr>
            <w:r>
              <w:rPr>
                <w:sz w:val="20"/>
              </w:rPr>
              <w:t>2(base)</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jc w:val="center"/>
              <w:rPr>
                <w:sz w:val="20"/>
              </w:rPr>
            </w:pPr>
            <w:r>
              <w:rPr>
                <w:w w:val="100"/>
                <w:sz w:val="20"/>
              </w:rPr>
              <w:t>1</w:t>
            </w:r>
          </w:p>
        </w:tc>
        <w:tc>
          <w:tcPr>
            <w:tcW w:w="1583" w:type="dxa"/>
            <w:tcBorders>
              <w:top w:val="single" w:sz="4" w:space="0" w:color="000000"/>
              <w:left w:val="single" w:sz="4" w:space="0" w:color="000000"/>
              <w:bottom w:val="single" w:sz="4" w:space="0" w:color="000000"/>
              <w:right w:val="nil"/>
            </w:tcBorders>
          </w:tcPr>
          <w:p>
            <w:pPr>
              <w:pStyle w:val="TableParagraph"/>
              <w:spacing w:before="31"/>
              <w:jc w:val="center"/>
              <w:rPr>
                <w:sz w:val="20"/>
              </w:rPr>
            </w:pPr>
            <w:r>
              <w:rPr>
                <w:w w:val="100"/>
                <w:sz w:val="20"/>
              </w:rPr>
              <w:t>0</w:t>
            </w:r>
          </w:p>
        </w:tc>
      </w:tr>
      <w:tr>
        <w:trPr>
          <w:trHeight w:val="299"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right="1"/>
              <w:jc w:val="center"/>
              <w:rPr>
                <w:sz w:val="20"/>
              </w:rPr>
            </w:pPr>
            <w:r>
              <w:rPr>
                <w:w w:val="100"/>
                <w:sz w:val="20"/>
              </w:rPr>
              <w:t>3</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ind w:left="713" w:right="711"/>
              <w:jc w:val="center"/>
              <w:rPr>
                <w:sz w:val="20"/>
              </w:rPr>
            </w:pPr>
            <w:r>
              <w:rPr>
                <w:sz w:val="20"/>
              </w:rPr>
              <w:t>1.6</w:t>
            </w:r>
          </w:p>
        </w:tc>
        <w:tc>
          <w:tcPr>
            <w:tcW w:w="1583" w:type="dxa"/>
            <w:tcBorders>
              <w:top w:val="single" w:sz="4" w:space="0" w:color="000000"/>
              <w:left w:val="single" w:sz="4" w:space="0" w:color="000000"/>
              <w:bottom w:val="single" w:sz="4" w:space="0" w:color="000000"/>
              <w:right w:val="nil"/>
            </w:tcBorders>
          </w:tcPr>
          <w:p>
            <w:pPr>
              <w:pStyle w:val="TableParagraph"/>
              <w:spacing w:before="31"/>
              <w:jc w:val="center"/>
              <w:rPr>
                <w:sz w:val="20"/>
              </w:rPr>
            </w:pPr>
            <w:r>
              <w:rPr>
                <w:w w:val="100"/>
                <w:sz w:val="20"/>
              </w:rPr>
              <w:t>8</w:t>
            </w:r>
          </w:p>
        </w:tc>
      </w:tr>
      <w:tr>
        <w:trPr>
          <w:trHeight w:val="300"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2"/>
              <w:ind w:right="1"/>
              <w:jc w:val="center"/>
              <w:rPr>
                <w:sz w:val="20"/>
              </w:rPr>
            </w:pPr>
            <w:r>
              <w:rPr>
                <w:w w:val="100"/>
                <w:sz w:val="20"/>
              </w:rPr>
              <w:t>4</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2"/>
              <w:ind w:left="713" w:right="711"/>
              <w:jc w:val="center"/>
              <w:rPr>
                <w:sz w:val="20"/>
              </w:rPr>
            </w:pPr>
            <w:r>
              <w:rPr>
                <w:sz w:val="20"/>
              </w:rPr>
              <w:t>2.7</w:t>
            </w:r>
          </w:p>
        </w:tc>
        <w:tc>
          <w:tcPr>
            <w:tcW w:w="1583" w:type="dxa"/>
            <w:tcBorders>
              <w:top w:val="single" w:sz="4" w:space="0" w:color="000000"/>
              <w:left w:val="single" w:sz="4" w:space="0" w:color="000000"/>
              <w:bottom w:val="single" w:sz="4" w:space="0" w:color="000000"/>
              <w:right w:val="nil"/>
            </w:tcBorders>
          </w:tcPr>
          <w:p>
            <w:pPr>
              <w:pStyle w:val="TableParagraph"/>
              <w:spacing w:before="32"/>
              <w:ind w:left="668" w:right="669"/>
              <w:jc w:val="center"/>
              <w:rPr>
                <w:sz w:val="20"/>
              </w:rPr>
            </w:pPr>
            <w:r>
              <w:rPr>
                <w:sz w:val="20"/>
              </w:rPr>
              <w:t>12</w:t>
            </w:r>
          </w:p>
        </w:tc>
      </w:tr>
      <w:tr>
        <w:trPr>
          <w:trHeight w:val="299" w:hRule="atLeast"/>
        </w:trPr>
        <w:tc>
          <w:tcPr>
            <w:tcW w:w="3822" w:type="dxa"/>
            <w:vMerge/>
            <w:tcBorders>
              <w:top w:val="nil"/>
              <w:left w:val="nil"/>
              <w:bottom w:val="single" w:sz="4" w:space="0" w:color="000000"/>
              <w:right w:val="single" w:sz="4" w:space="0" w:color="000000"/>
            </w:tcBorders>
          </w:tcPr>
          <w:p>
            <w:pPr>
              <w:rPr>
                <w:sz w:val="2"/>
                <w:szCs w:val="2"/>
              </w:rPr>
            </w:pPr>
          </w:p>
        </w:tc>
        <w:tc>
          <w:tcPr>
            <w:tcW w:w="2228" w:type="dxa"/>
            <w:tcBorders>
              <w:top w:val="single" w:sz="4" w:space="0" w:color="000000"/>
              <w:left w:val="single" w:sz="4" w:space="0" w:color="000000"/>
              <w:bottom w:val="single" w:sz="4" w:space="0" w:color="000000"/>
              <w:right w:val="single" w:sz="4" w:space="0" w:color="000000"/>
            </w:tcBorders>
          </w:tcPr>
          <w:p>
            <w:pPr>
              <w:pStyle w:val="TableParagraph"/>
              <w:spacing w:before="31"/>
              <w:ind w:left="556" w:right="557"/>
              <w:jc w:val="center"/>
              <w:rPr>
                <w:sz w:val="20"/>
              </w:rPr>
            </w:pPr>
            <w:r>
              <w:rPr>
                <w:sz w:val="20"/>
              </w:rPr>
              <w:t>&gt;4</w:t>
            </w:r>
          </w:p>
        </w:tc>
        <w:tc>
          <w:tcPr>
            <w:tcW w:w="1725" w:type="dxa"/>
            <w:tcBorders>
              <w:top w:val="single" w:sz="4" w:space="0" w:color="000000"/>
              <w:left w:val="single" w:sz="4" w:space="0" w:color="000000"/>
              <w:bottom w:val="single" w:sz="4" w:space="0" w:color="000000"/>
              <w:right w:val="single" w:sz="4" w:space="0" w:color="000000"/>
            </w:tcBorders>
          </w:tcPr>
          <w:p>
            <w:pPr>
              <w:pStyle w:val="TableParagraph"/>
              <w:spacing w:before="31"/>
              <w:ind w:left="713" w:right="711"/>
              <w:jc w:val="center"/>
              <w:rPr>
                <w:sz w:val="20"/>
              </w:rPr>
            </w:pPr>
            <w:r>
              <w:rPr>
                <w:sz w:val="20"/>
              </w:rPr>
              <w:t>7.2</w:t>
            </w:r>
          </w:p>
        </w:tc>
        <w:tc>
          <w:tcPr>
            <w:tcW w:w="1583" w:type="dxa"/>
            <w:tcBorders>
              <w:top w:val="single" w:sz="4" w:space="0" w:color="000000"/>
              <w:left w:val="single" w:sz="4" w:space="0" w:color="000000"/>
              <w:bottom w:val="single" w:sz="4" w:space="0" w:color="000000"/>
              <w:right w:val="nil"/>
            </w:tcBorders>
          </w:tcPr>
          <w:p>
            <w:pPr>
              <w:pStyle w:val="TableParagraph"/>
              <w:spacing w:before="34"/>
              <w:ind w:left="668" w:right="669"/>
              <w:jc w:val="center"/>
              <w:rPr>
                <w:b/>
                <w:sz w:val="20"/>
              </w:rPr>
            </w:pPr>
            <w:r>
              <w:rPr>
                <w:b/>
                <w:sz w:val="20"/>
              </w:rPr>
              <w:t>31</w:t>
            </w:r>
          </w:p>
        </w:tc>
      </w:tr>
      <w:tr>
        <w:trPr>
          <w:trHeight w:val="289" w:hRule="atLeast"/>
        </w:trPr>
        <w:tc>
          <w:tcPr>
            <w:tcW w:w="3822" w:type="dxa"/>
            <w:vMerge w:val="restart"/>
            <w:tcBorders>
              <w:top w:val="single" w:sz="4" w:space="0" w:color="000000"/>
              <w:left w:val="nil"/>
              <w:right w:val="single" w:sz="4" w:space="0" w:color="000000"/>
            </w:tcBorders>
            <w:shd w:val="clear" w:color="auto" w:fill="F2F2F2"/>
          </w:tcPr>
          <w:p>
            <w:pPr>
              <w:pStyle w:val="TableParagraph"/>
              <w:spacing w:before="187"/>
              <w:ind w:left="107"/>
              <w:rPr>
                <w:sz w:val="20"/>
              </w:rPr>
            </w:pPr>
            <w:r>
              <w:rPr>
                <w:sz w:val="20"/>
              </w:rPr>
              <w:t>Minor road presence of right-turn lane</w:t>
            </w:r>
          </w:p>
        </w:tc>
        <w:tc>
          <w:tcPr>
            <w:tcW w:w="222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ind w:left="554" w:right="557"/>
              <w:jc w:val="center"/>
              <w:rPr>
                <w:sz w:val="20"/>
              </w:rPr>
            </w:pPr>
            <w:r>
              <w:rPr>
                <w:sz w:val="20"/>
              </w:rPr>
              <w:t>Yes (base)</w:t>
            </w:r>
          </w:p>
        </w:tc>
        <w:tc>
          <w:tcPr>
            <w:tcW w:w="17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1"/>
              <w:jc w:val="center"/>
              <w:rPr>
                <w:sz w:val="20"/>
              </w:rPr>
            </w:pPr>
            <w:r>
              <w:rPr>
                <w:w w:val="100"/>
                <w:sz w:val="20"/>
              </w:rPr>
              <w:t>1</w:t>
            </w:r>
          </w:p>
        </w:tc>
        <w:tc>
          <w:tcPr>
            <w:tcW w:w="1583" w:type="dxa"/>
            <w:tcBorders>
              <w:top w:val="single" w:sz="4" w:space="0" w:color="000000"/>
              <w:left w:val="single" w:sz="4" w:space="0" w:color="000000"/>
              <w:bottom w:val="single" w:sz="4" w:space="0" w:color="000000"/>
              <w:right w:val="nil"/>
            </w:tcBorders>
            <w:shd w:val="clear" w:color="auto" w:fill="F2F2F2"/>
          </w:tcPr>
          <w:p>
            <w:pPr>
              <w:pStyle w:val="TableParagraph"/>
              <w:spacing w:before="31"/>
              <w:jc w:val="center"/>
              <w:rPr>
                <w:sz w:val="20"/>
              </w:rPr>
            </w:pPr>
            <w:r>
              <w:rPr>
                <w:w w:val="100"/>
                <w:sz w:val="20"/>
              </w:rPr>
              <w:t>0</w:t>
            </w:r>
          </w:p>
        </w:tc>
      </w:tr>
      <w:tr>
        <w:trPr>
          <w:trHeight w:val="298" w:hRule="atLeast"/>
        </w:trPr>
        <w:tc>
          <w:tcPr>
            <w:tcW w:w="3822" w:type="dxa"/>
            <w:vMerge/>
            <w:tcBorders>
              <w:top w:val="nil"/>
              <w:left w:val="nil"/>
              <w:right w:val="single" w:sz="4" w:space="0" w:color="000000"/>
            </w:tcBorders>
            <w:shd w:val="clear" w:color="auto" w:fill="F2F2F2"/>
          </w:tcPr>
          <w:p>
            <w:pPr>
              <w:rPr>
                <w:sz w:val="2"/>
                <w:szCs w:val="2"/>
              </w:rPr>
            </w:pPr>
          </w:p>
        </w:tc>
        <w:tc>
          <w:tcPr>
            <w:tcW w:w="2228" w:type="dxa"/>
            <w:tcBorders>
              <w:top w:val="single" w:sz="4" w:space="0" w:color="000000"/>
              <w:left w:val="single" w:sz="4" w:space="0" w:color="000000"/>
              <w:right w:val="single" w:sz="4" w:space="0" w:color="000000"/>
            </w:tcBorders>
            <w:shd w:val="clear" w:color="auto" w:fill="F2F2F2"/>
          </w:tcPr>
          <w:p>
            <w:pPr>
              <w:pStyle w:val="TableParagraph"/>
              <w:spacing w:before="22"/>
              <w:ind w:left="553" w:right="557"/>
              <w:jc w:val="center"/>
              <w:rPr>
                <w:sz w:val="20"/>
              </w:rPr>
            </w:pPr>
            <w:r>
              <w:rPr>
                <w:sz w:val="20"/>
              </w:rPr>
              <w:t>No</w:t>
            </w:r>
          </w:p>
        </w:tc>
        <w:tc>
          <w:tcPr>
            <w:tcW w:w="1725" w:type="dxa"/>
            <w:tcBorders>
              <w:top w:val="single" w:sz="4" w:space="0" w:color="000000"/>
              <w:left w:val="single" w:sz="4" w:space="0" w:color="000000"/>
              <w:right w:val="single" w:sz="4" w:space="0" w:color="000000"/>
            </w:tcBorders>
            <w:shd w:val="clear" w:color="auto" w:fill="F2F2F2"/>
          </w:tcPr>
          <w:p>
            <w:pPr>
              <w:pStyle w:val="TableParagraph"/>
              <w:spacing w:before="22"/>
              <w:ind w:left="712" w:right="711"/>
              <w:jc w:val="center"/>
              <w:rPr>
                <w:sz w:val="20"/>
              </w:rPr>
            </w:pPr>
            <w:r>
              <w:rPr>
                <w:sz w:val="20"/>
              </w:rPr>
              <w:t>2.2</w:t>
            </w:r>
          </w:p>
        </w:tc>
        <w:tc>
          <w:tcPr>
            <w:tcW w:w="1583" w:type="dxa"/>
            <w:tcBorders>
              <w:top w:val="single" w:sz="4" w:space="0" w:color="000000"/>
              <w:left w:val="single" w:sz="4" w:space="0" w:color="000000"/>
              <w:right w:val="nil"/>
            </w:tcBorders>
            <w:shd w:val="clear" w:color="auto" w:fill="F2F2F2"/>
          </w:tcPr>
          <w:p>
            <w:pPr>
              <w:pStyle w:val="TableParagraph"/>
              <w:spacing w:before="25"/>
              <w:ind w:left="668" w:right="669"/>
              <w:jc w:val="center"/>
              <w:rPr>
                <w:b/>
                <w:sz w:val="20"/>
              </w:rPr>
            </w:pPr>
            <w:r>
              <w:rPr>
                <w:b/>
                <w:sz w:val="20"/>
              </w:rPr>
              <w:t>10</w:t>
            </w:r>
          </w:p>
        </w:tc>
      </w:tr>
    </w:tbl>
    <w:p>
      <w:pPr>
        <w:pStyle w:val="BodyText"/>
        <w:rPr>
          <w:b/>
          <w:sz w:val="22"/>
        </w:rPr>
      </w:pPr>
    </w:p>
    <w:p>
      <w:pPr>
        <w:pStyle w:val="Heading3"/>
        <w:numPr>
          <w:ilvl w:val="1"/>
          <w:numId w:val="31"/>
        </w:numPr>
        <w:tabs>
          <w:tab w:pos="1039" w:val="left" w:leader="none"/>
          <w:tab w:pos="1040" w:val="left" w:leader="none"/>
        </w:tabs>
        <w:spacing w:line="240" w:lineRule="auto" w:before="136" w:after="0"/>
        <w:ind w:left="1039" w:right="0" w:hanging="719"/>
        <w:jc w:val="left"/>
      </w:pPr>
      <w:bookmarkStart w:name="_TOC_250008" w:id="276"/>
      <w:bookmarkStart w:name="7.4 RISK-SCORE DISTRIBUTION" w:id="277"/>
      <w:r>
        <w:rPr>
          <w:b w:val="0"/>
        </w:rPr>
      </w:r>
      <w:bookmarkEnd w:id="277"/>
      <w:bookmarkStart w:name="7.4 RISK-SCORE DISTRIBUTION" w:id="278"/>
      <w:r>
        <w:rPr/>
        <w:t>R</w:t>
      </w:r>
      <w:r>
        <w:rPr/>
        <w:t>ISK-SCORE</w:t>
      </w:r>
      <w:r>
        <w:rPr>
          <w:spacing w:val="-2"/>
        </w:rPr>
        <w:t> </w:t>
      </w:r>
      <w:bookmarkEnd w:id="276"/>
      <w:r>
        <w:rPr/>
        <w:t>DISTRIBUTION</w:t>
      </w:r>
    </w:p>
    <w:p>
      <w:pPr>
        <w:pStyle w:val="BodyText"/>
        <w:spacing w:before="236"/>
        <w:ind w:left="319" w:right="1467"/>
      </w:pPr>
      <w:r>
        <w:rPr/>
        <w:t>The risk-scoring tables were applied to all 188 segments and 184 intersections in the modeling dataset. Figure 7.1 shows the distribution of scores for each of the risk tools as applied to these locations. With the exception of the intersection tool for pedestrians, the distributions are skewed. The bicycle segment model is less distributed, reflecting the limited number of significant variables that were in the model. Table 7.6 shows the risk score by percentiles and the mean score. The risk scores are only intended to be evaluated within each context (i.e., the risk score for bicycles at intersections is not comparable to the score for pedestrians on</w:t>
      </w:r>
      <w:r>
        <w:rPr>
          <w:spacing w:val="-20"/>
        </w:rPr>
        <w:t> </w:t>
      </w:r>
      <w:r>
        <w:rPr/>
        <w:t>segments).</w:t>
      </w:r>
    </w:p>
    <w:p>
      <w:pPr>
        <w:pStyle w:val="BodyText"/>
        <w:ind w:left="319" w:right="1602"/>
      </w:pPr>
      <w:r>
        <w:rPr/>
        <w:t>The distributions of the risk scores could be used when making comparisons across the tools by estimating the percentile of the score from Table 7.6. For example, a risk score of 46 would be above the 75</w:t>
      </w:r>
      <w:r>
        <w:rPr>
          <w:vertAlign w:val="superscript"/>
        </w:rPr>
        <w:t>th</w:t>
      </w:r>
      <w:r>
        <w:rPr>
          <w:vertAlign w:val="baseline"/>
        </w:rPr>
        <w:t> percentile of the calculated scores for the pedestrian, intersection and bicycle segment, but only average for the other two tools.</w:t>
      </w:r>
    </w:p>
    <w:p>
      <w:pPr>
        <w:pStyle w:val="BodyText"/>
        <w:rPr>
          <w:sz w:val="26"/>
        </w:rPr>
      </w:pPr>
    </w:p>
    <w:p>
      <w:pPr>
        <w:pStyle w:val="BodyText"/>
        <w:spacing w:before="6"/>
        <w:rPr>
          <w:sz w:val="29"/>
        </w:rPr>
      </w:pPr>
    </w:p>
    <w:p>
      <w:pPr>
        <w:spacing w:before="1"/>
        <w:ind w:left="320" w:right="0" w:firstLine="0"/>
        <w:jc w:val="left"/>
        <w:rPr>
          <w:b/>
          <w:sz w:val="20"/>
        </w:rPr>
      </w:pPr>
      <w:r>
        <w:rPr>
          <w:b/>
          <w:sz w:val="20"/>
        </w:rPr>
        <w:t>Table 7.6: Risk-Score Distribution</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170"/>
        <w:gridCol w:w="1870"/>
        <w:gridCol w:w="1551"/>
        <w:gridCol w:w="1210"/>
        <w:gridCol w:w="1500"/>
      </w:tblGrid>
      <w:tr>
        <w:trPr>
          <w:trHeight w:val="230" w:hRule="atLeast"/>
        </w:trPr>
        <w:tc>
          <w:tcPr>
            <w:tcW w:w="2170" w:type="dxa"/>
            <w:tcBorders>
              <w:left w:val="nil"/>
              <w:bottom w:val="single" w:sz="4" w:space="0" w:color="000000"/>
              <w:right w:val="single" w:sz="4" w:space="0" w:color="000000"/>
            </w:tcBorders>
          </w:tcPr>
          <w:p>
            <w:pPr>
              <w:pStyle w:val="TableParagraph"/>
              <w:spacing w:line="210" w:lineRule="exact"/>
              <w:ind w:left="147" w:right="96"/>
              <w:jc w:val="center"/>
              <w:rPr>
                <w:b/>
                <w:sz w:val="20"/>
              </w:rPr>
            </w:pPr>
            <w:r>
              <w:rPr>
                <w:b/>
                <w:sz w:val="20"/>
              </w:rPr>
              <w:t>Risk Tool</w:t>
            </w:r>
          </w:p>
        </w:tc>
        <w:tc>
          <w:tcPr>
            <w:tcW w:w="1870" w:type="dxa"/>
            <w:tcBorders>
              <w:left w:val="single" w:sz="4" w:space="0" w:color="000000"/>
              <w:bottom w:val="single" w:sz="4" w:space="0" w:color="000000"/>
              <w:right w:val="single" w:sz="4" w:space="0" w:color="000000"/>
            </w:tcBorders>
          </w:tcPr>
          <w:p>
            <w:pPr>
              <w:pStyle w:val="TableParagraph"/>
              <w:spacing w:line="210" w:lineRule="exact"/>
              <w:ind w:left="313" w:right="285"/>
              <w:jc w:val="center"/>
              <w:rPr>
                <w:b/>
                <w:sz w:val="20"/>
              </w:rPr>
            </w:pPr>
            <w:r>
              <w:rPr>
                <w:b/>
                <w:sz w:val="20"/>
              </w:rPr>
              <w:t>25</w:t>
            </w:r>
            <w:r>
              <w:rPr>
                <w:b/>
                <w:sz w:val="20"/>
                <w:vertAlign w:val="superscript"/>
              </w:rPr>
              <w:t>th</w:t>
            </w:r>
            <w:r>
              <w:rPr>
                <w:b/>
                <w:sz w:val="20"/>
                <w:vertAlign w:val="baseline"/>
              </w:rPr>
              <w:t> Percentile</w:t>
            </w:r>
          </w:p>
        </w:tc>
        <w:tc>
          <w:tcPr>
            <w:tcW w:w="1551" w:type="dxa"/>
            <w:tcBorders>
              <w:left w:val="single" w:sz="4" w:space="0" w:color="000000"/>
              <w:bottom w:val="single" w:sz="4" w:space="0" w:color="000000"/>
              <w:right w:val="single" w:sz="4" w:space="0" w:color="000000"/>
            </w:tcBorders>
          </w:tcPr>
          <w:p>
            <w:pPr>
              <w:pStyle w:val="TableParagraph"/>
              <w:spacing w:line="210" w:lineRule="exact"/>
              <w:ind w:left="153" w:right="126"/>
              <w:jc w:val="center"/>
              <w:rPr>
                <w:b/>
                <w:sz w:val="20"/>
              </w:rPr>
            </w:pPr>
            <w:r>
              <w:rPr>
                <w:b/>
                <w:sz w:val="20"/>
              </w:rPr>
              <w:t>50</w:t>
            </w:r>
            <w:r>
              <w:rPr>
                <w:b/>
                <w:sz w:val="20"/>
                <w:vertAlign w:val="superscript"/>
              </w:rPr>
              <w:t>th</w:t>
            </w:r>
            <w:r>
              <w:rPr>
                <w:b/>
                <w:sz w:val="20"/>
                <w:vertAlign w:val="baseline"/>
              </w:rPr>
              <w:t> Percentile</w:t>
            </w:r>
          </w:p>
        </w:tc>
        <w:tc>
          <w:tcPr>
            <w:tcW w:w="1210" w:type="dxa"/>
            <w:tcBorders>
              <w:left w:val="single" w:sz="4" w:space="0" w:color="000000"/>
              <w:bottom w:val="single" w:sz="4" w:space="0" w:color="000000"/>
              <w:right w:val="single" w:sz="4" w:space="0" w:color="000000"/>
            </w:tcBorders>
          </w:tcPr>
          <w:p>
            <w:pPr>
              <w:pStyle w:val="TableParagraph"/>
              <w:spacing w:line="210" w:lineRule="exact"/>
              <w:ind w:right="340"/>
              <w:jc w:val="right"/>
              <w:rPr>
                <w:b/>
                <w:sz w:val="20"/>
              </w:rPr>
            </w:pPr>
            <w:r>
              <w:rPr>
                <w:b/>
                <w:sz w:val="20"/>
              </w:rPr>
              <w:t>Mean</w:t>
            </w:r>
          </w:p>
        </w:tc>
        <w:tc>
          <w:tcPr>
            <w:tcW w:w="1500" w:type="dxa"/>
            <w:tcBorders>
              <w:left w:val="single" w:sz="4" w:space="0" w:color="000000"/>
              <w:bottom w:val="single" w:sz="4" w:space="0" w:color="000000"/>
              <w:right w:val="nil"/>
            </w:tcBorders>
          </w:tcPr>
          <w:p>
            <w:pPr>
              <w:pStyle w:val="TableParagraph"/>
              <w:spacing w:line="210" w:lineRule="exact"/>
              <w:ind w:left="127" w:right="106"/>
              <w:jc w:val="center"/>
              <w:rPr>
                <w:b/>
                <w:sz w:val="20"/>
              </w:rPr>
            </w:pPr>
            <w:r>
              <w:rPr>
                <w:b/>
                <w:sz w:val="20"/>
              </w:rPr>
              <w:t>75</w:t>
            </w:r>
            <w:r>
              <w:rPr>
                <w:b/>
                <w:sz w:val="20"/>
                <w:vertAlign w:val="superscript"/>
              </w:rPr>
              <w:t>th</w:t>
            </w:r>
            <w:r>
              <w:rPr>
                <w:b/>
                <w:sz w:val="20"/>
                <w:vertAlign w:val="baseline"/>
              </w:rPr>
              <w:t> Percentile</w:t>
            </w:r>
          </w:p>
        </w:tc>
      </w:tr>
      <w:tr>
        <w:trPr>
          <w:trHeight w:val="287" w:hRule="atLeast"/>
        </w:trPr>
        <w:tc>
          <w:tcPr>
            <w:tcW w:w="2170" w:type="dxa"/>
            <w:tcBorders>
              <w:top w:val="single" w:sz="4" w:space="0" w:color="000000"/>
              <w:left w:val="nil"/>
              <w:bottom w:val="single" w:sz="4" w:space="0" w:color="000000"/>
              <w:right w:val="single" w:sz="4" w:space="0" w:color="000000"/>
            </w:tcBorders>
          </w:tcPr>
          <w:p>
            <w:pPr>
              <w:pStyle w:val="TableParagraph"/>
              <w:spacing w:before="25"/>
              <w:ind w:left="147" w:right="99"/>
              <w:jc w:val="center"/>
              <w:rPr>
                <w:sz w:val="20"/>
              </w:rPr>
            </w:pPr>
            <w:r>
              <w:rPr>
                <w:sz w:val="20"/>
              </w:rPr>
              <w:t>Segment, Pedestrian</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before="25"/>
              <w:ind w:left="313" w:right="284"/>
              <w:jc w:val="center"/>
              <w:rPr>
                <w:sz w:val="20"/>
              </w:rPr>
            </w:pPr>
            <w:r>
              <w:rPr>
                <w:sz w:val="20"/>
              </w:rPr>
              <w:t>16.0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before="25"/>
              <w:ind w:left="153" w:right="125"/>
              <w:jc w:val="center"/>
              <w:rPr>
                <w:sz w:val="20"/>
              </w:rPr>
            </w:pPr>
            <w:r>
              <w:rPr>
                <w:sz w:val="20"/>
              </w:rPr>
              <w:t>24.0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before="25"/>
              <w:ind w:right="360"/>
              <w:jc w:val="right"/>
              <w:rPr>
                <w:sz w:val="20"/>
              </w:rPr>
            </w:pPr>
            <w:r>
              <w:rPr>
                <w:sz w:val="20"/>
              </w:rPr>
              <w:t>24.97</w:t>
            </w:r>
          </w:p>
        </w:tc>
        <w:tc>
          <w:tcPr>
            <w:tcW w:w="1500" w:type="dxa"/>
            <w:tcBorders>
              <w:top w:val="single" w:sz="4" w:space="0" w:color="000000"/>
              <w:left w:val="single" w:sz="4" w:space="0" w:color="000000"/>
              <w:bottom w:val="single" w:sz="4" w:space="0" w:color="000000"/>
              <w:right w:val="nil"/>
            </w:tcBorders>
          </w:tcPr>
          <w:p>
            <w:pPr>
              <w:pStyle w:val="TableParagraph"/>
              <w:spacing w:before="25"/>
              <w:ind w:left="127" w:right="105"/>
              <w:jc w:val="center"/>
              <w:rPr>
                <w:sz w:val="20"/>
              </w:rPr>
            </w:pPr>
            <w:r>
              <w:rPr>
                <w:sz w:val="20"/>
              </w:rPr>
              <w:t>34.0</w:t>
            </w:r>
          </w:p>
        </w:tc>
      </w:tr>
      <w:tr>
        <w:trPr>
          <w:trHeight w:val="288" w:hRule="atLeast"/>
        </w:trPr>
        <w:tc>
          <w:tcPr>
            <w:tcW w:w="2170" w:type="dxa"/>
            <w:tcBorders>
              <w:top w:val="single" w:sz="4" w:space="0" w:color="000000"/>
              <w:left w:val="nil"/>
              <w:bottom w:val="single" w:sz="4" w:space="0" w:color="000000"/>
              <w:right w:val="single" w:sz="4" w:space="0" w:color="000000"/>
            </w:tcBorders>
          </w:tcPr>
          <w:p>
            <w:pPr>
              <w:pStyle w:val="TableParagraph"/>
              <w:spacing w:before="26"/>
              <w:ind w:left="146" w:right="99"/>
              <w:jc w:val="center"/>
              <w:rPr>
                <w:sz w:val="20"/>
              </w:rPr>
            </w:pPr>
            <w:r>
              <w:rPr>
                <w:sz w:val="20"/>
              </w:rPr>
              <w:t>Segment, Bicycle</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before="26"/>
              <w:ind w:left="313" w:right="284"/>
              <w:jc w:val="center"/>
              <w:rPr>
                <w:sz w:val="20"/>
              </w:rPr>
            </w:pPr>
            <w:r>
              <w:rPr>
                <w:sz w:val="20"/>
              </w:rPr>
              <w:t>26.5</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before="26"/>
              <w:ind w:left="153" w:right="125"/>
              <w:jc w:val="center"/>
              <w:rPr>
                <w:sz w:val="20"/>
              </w:rPr>
            </w:pPr>
            <w:r>
              <w:rPr>
                <w:sz w:val="20"/>
              </w:rPr>
              <w:t>46.0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before="26"/>
              <w:ind w:right="360"/>
              <w:jc w:val="right"/>
              <w:rPr>
                <w:sz w:val="20"/>
              </w:rPr>
            </w:pPr>
            <w:r>
              <w:rPr>
                <w:sz w:val="20"/>
              </w:rPr>
              <w:t>41.02</w:t>
            </w:r>
          </w:p>
        </w:tc>
        <w:tc>
          <w:tcPr>
            <w:tcW w:w="1500" w:type="dxa"/>
            <w:tcBorders>
              <w:top w:val="single" w:sz="4" w:space="0" w:color="000000"/>
              <w:left w:val="single" w:sz="4" w:space="0" w:color="000000"/>
              <w:bottom w:val="single" w:sz="4" w:space="0" w:color="000000"/>
              <w:right w:val="nil"/>
            </w:tcBorders>
          </w:tcPr>
          <w:p>
            <w:pPr>
              <w:pStyle w:val="TableParagraph"/>
              <w:spacing w:before="26"/>
              <w:ind w:left="127" w:right="105"/>
              <w:jc w:val="center"/>
              <w:rPr>
                <w:sz w:val="20"/>
              </w:rPr>
            </w:pPr>
            <w:r>
              <w:rPr>
                <w:sz w:val="20"/>
              </w:rPr>
              <w:t>61.0</w:t>
            </w:r>
          </w:p>
        </w:tc>
      </w:tr>
      <w:tr>
        <w:trPr>
          <w:trHeight w:val="287" w:hRule="atLeast"/>
        </w:trPr>
        <w:tc>
          <w:tcPr>
            <w:tcW w:w="2170" w:type="dxa"/>
            <w:tcBorders>
              <w:top w:val="single" w:sz="4" w:space="0" w:color="000000"/>
              <w:left w:val="nil"/>
              <w:bottom w:val="single" w:sz="4" w:space="0" w:color="000000"/>
              <w:right w:val="single" w:sz="4" w:space="0" w:color="000000"/>
            </w:tcBorders>
          </w:tcPr>
          <w:p>
            <w:pPr>
              <w:pStyle w:val="TableParagraph"/>
              <w:spacing w:before="25"/>
              <w:ind w:left="147" w:right="99"/>
              <w:jc w:val="center"/>
              <w:rPr>
                <w:sz w:val="20"/>
              </w:rPr>
            </w:pPr>
            <w:r>
              <w:rPr>
                <w:sz w:val="20"/>
              </w:rPr>
              <w:t>Intersection, Pedestrian</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before="25"/>
              <w:ind w:left="313" w:right="284"/>
              <w:jc w:val="center"/>
              <w:rPr>
                <w:sz w:val="20"/>
              </w:rPr>
            </w:pPr>
            <w:r>
              <w:rPr>
                <w:sz w:val="20"/>
              </w:rPr>
              <w:t>39.0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before="25"/>
              <w:ind w:left="153" w:right="125"/>
              <w:jc w:val="center"/>
              <w:rPr>
                <w:sz w:val="20"/>
              </w:rPr>
            </w:pPr>
            <w:r>
              <w:rPr>
                <w:sz w:val="20"/>
              </w:rPr>
              <w:t>48.0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before="25"/>
              <w:ind w:right="360"/>
              <w:jc w:val="right"/>
              <w:rPr>
                <w:sz w:val="20"/>
              </w:rPr>
            </w:pPr>
            <w:r>
              <w:rPr>
                <w:sz w:val="20"/>
              </w:rPr>
              <w:t>47.12</w:t>
            </w:r>
          </w:p>
        </w:tc>
        <w:tc>
          <w:tcPr>
            <w:tcW w:w="1500" w:type="dxa"/>
            <w:tcBorders>
              <w:top w:val="single" w:sz="4" w:space="0" w:color="000000"/>
              <w:left w:val="single" w:sz="4" w:space="0" w:color="000000"/>
              <w:bottom w:val="single" w:sz="4" w:space="0" w:color="000000"/>
              <w:right w:val="nil"/>
            </w:tcBorders>
          </w:tcPr>
          <w:p>
            <w:pPr>
              <w:pStyle w:val="TableParagraph"/>
              <w:spacing w:before="25"/>
              <w:ind w:left="127" w:right="105"/>
              <w:jc w:val="center"/>
              <w:rPr>
                <w:sz w:val="20"/>
              </w:rPr>
            </w:pPr>
            <w:r>
              <w:rPr>
                <w:sz w:val="20"/>
              </w:rPr>
              <w:t>55.0</w:t>
            </w:r>
          </w:p>
        </w:tc>
      </w:tr>
      <w:tr>
        <w:trPr>
          <w:trHeight w:val="287" w:hRule="atLeast"/>
        </w:trPr>
        <w:tc>
          <w:tcPr>
            <w:tcW w:w="2170" w:type="dxa"/>
            <w:tcBorders>
              <w:top w:val="single" w:sz="4" w:space="0" w:color="000000"/>
              <w:left w:val="nil"/>
              <w:right w:val="single" w:sz="4" w:space="0" w:color="000000"/>
            </w:tcBorders>
          </w:tcPr>
          <w:p>
            <w:pPr>
              <w:pStyle w:val="TableParagraph"/>
              <w:spacing w:before="25"/>
              <w:ind w:left="145" w:right="99"/>
              <w:jc w:val="center"/>
              <w:rPr>
                <w:sz w:val="20"/>
              </w:rPr>
            </w:pPr>
            <w:r>
              <w:rPr>
                <w:sz w:val="20"/>
              </w:rPr>
              <w:t>Intersection, Bicycle</w:t>
            </w:r>
          </w:p>
        </w:tc>
        <w:tc>
          <w:tcPr>
            <w:tcW w:w="1870" w:type="dxa"/>
            <w:tcBorders>
              <w:top w:val="single" w:sz="4" w:space="0" w:color="000000"/>
              <w:left w:val="single" w:sz="4" w:space="0" w:color="000000"/>
              <w:right w:val="single" w:sz="4" w:space="0" w:color="000000"/>
            </w:tcBorders>
          </w:tcPr>
          <w:p>
            <w:pPr>
              <w:pStyle w:val="TableParagraph"/>
              <w:spacing w:before="25"/>
              <w:ind w:left="313" w:right="284"/>
              <w:jc w:val="center"/>
              <w:rPr>
                <w:sz w:val="20"/>
              </w:rPr>
            </w:pPr>
            <w:r>
              <w:rPr>
                <w:sz w:val="20"/>
              </w:rPr>
              <w:t>20.0</w:t>
            </w:r>
          </w:p>
        </w:tc>
        <w:tc>
          <w:tcPr>
            <w:tcW w:w="1551" w:type="dxa"/>
            <w:tcBorders>
              <w:top w:val="single" w:sz="4" w:space="0" w:color="000000"/>
              <w:left w:val="single" w:sz="4" w:space="0" w:color="000000"/>
              <w:right w:val="single" w:sz="4" w:space="0" w:color="000000"/>
            </w:tcBorders>
          </w:tcPr>
          <w:p>
            <w:pPr>
              <w:pStyle w:val="TableParagraph"/>
              <w:spacing w:before="25"/>
              <w:ind w:left="153" w:right="125"/>
              <w:jc w:val="center"/>
              <w:rPr>
                <w:sz w:val="20"/>
              </w:rPr>
            </w:pPr>
            <w:r>
              <w:rPr>
                <w:sz w:val="20"/>
              </w:rPr>
              <w:t>31.0</w:t>
            </w:r>
          </w:p>
        </w:tc>
        <w:tc>
          <w:tcPr>
            <w:tcW w:w="1210" w:type="dxa"/>
            <w:tcBorders>
              <w:top w:val="single" w:sz="4" w:space="0" w:color="000000"/>
              <w:left w:val="single" w:sz="4" w:space="0" w:color="000000"/>
              <w:right w:val="single" w:sz="4" w:space="0" w:color="000000"/>
            </w:tcBorders>
          </w:tcPr>
          <w:p>
            <w:pPr>
              <w:pStyle w:val="TableParagraph"/>
              <w:spacing w:before="25"/>
              <w:ind w:right="360"/>
              <w:jc w:val="right"/>
              <w:rPr>
                <w:sz w:val="20"/>
              </w:rPr>
            </w:pPr>
            <w:r>
              <w:rPr>
                <w:sz w:val="20"/>
              </w:rPr>
              <w:t>33.72</w:t>
            </w:r>
          </w:p>
        </w:tc>
        <w:tc>
          <w:tcPr>
            <w:tcW w:w="1500" w:type="dxa"/>
            <w:tcBorders>
              <w:top w:val="single" w:sz="4" w:space="0" w:color="000000"/>
              <w:left w:val="single" w:sz="4" w:space="0" w:color="000000"/>
              <w:right w:val="nil"/>
            </w:tcBorders>
          </w:tcPr>
          <w:p>
            <w:pPr>
              <w:pStyle w:val="TableParagraph"/>
              <w:spacing w:before="25"/>
              <w:ind w:left="127" w:right="105"/>
              <w:jc w:val="center"/>
              <w:rPr>
                <w:sz w:val="20"/>
              </w:rPr>
            </w:pPr>
            <w:r>
              <w:rPr>
                <w:sz w:val="20"/>
              </w:rPr>
              <w:t>43.0</w:t>
            </w:r>
          </w:p>
        </w:tc>
      </w:tr>
    </w:tbl>
    <w:p>
      <w:pPr>
        <w:spacing w:after="0"/>
        <w:jc w:val="center"/>
        <w:rPr>
          <w:sz w:val="20"/>
        </w:rPr>
        <w:sectPr>
          <w:pgSz w:w="12240" w:h="15840"/>
          <w:pgMar w:header="0" w:footer="709" w:top="920" w:bottom="980" w:left="1120" w:right="0"/>
        </w:sectPr>
      </w:pPr>
    </w:p>
    <w:p>
      <w:pPr>
        <w:tabs>
          <w:tab w:pos="5004" w:val="left" w:leader="none"/>
        </w:tabs>
        <w:spacing w:line="240" w:lineRule="auto" w:after="15"/>
        <w:ind w:left="320" w:right="0" w:firstLine="0"/>
        <w:rPr>
          <w:sz w:val="20"/>
        </w:rPr>
      </w:pPr>
      <w:r>
        <w:rPr>
          <w:sz w:val="20"/>
        </w:rPr>
        <w:drawing>
          <wp:inline distT="0" distB="0" distL="0" distR="0">
            <wp:extent cx="2800369" cy="2105025"/>
            <wp:effectExtent l="0" t="0" r="0" b="0"/>
            <wp:docPr id="51" name="image37.png" descr=""/>
            <wp:cNvGraphicFramePr>
              <a:graphicFrameLocks noChangeAspect="1"/>
            </wp:cNvGraphicFramePr>
            <a:graphic>
              <a:graphicData uri="http://schemas.openxmlformats.org/drawingml/2006/picture">
                <pic:pic>
                  <pic:nvPicPr>
                    <pic:cNvPr id="52" name="image37.png"/>
                    <pic:cNvPicPr/>
                  </pic:nvPicPr>
                  <pic:blipFill>
                    <a:blip r:embed="rId46" cstate="print"/>
                    <a:stretch>
                      <a:fillRect/>
                    </a:stretch>
                  </pic:blipFill>
                  <pic:spPr>
                    <a:xfrm>
                      <a:off x="0" y="0"/>
                      <a:ext cx="2800369" cy="2105025"/>
                    </a:xfrm>
                    <a:prstGeom prst="rect">
                      <a:avLst/>
                    </a:prstGeom>
                  </pic:spPr>
                </pic:pic>
              </a:graphicData>
            </a:graphic>
          </wp:inline>
        </w:drawing>
      </w:r>
      <w:r>
        <w:rPr>
          <w:sz w:val="20"/>
        </w:rPr>
      </w:r>
      <w:r>
        <w:rPr>
          <w:sz w:val="20"/>
        </w:rPr>
        <w:tab/>
      </w:r>
      <w:r>
        <w:rPr>
          <w:sz w:val="20"/>
        </w:rPr>
        <w:drawing>
          <wp:inline distT="0" distB="0" distL="0" distR="0">
            <wp:extent cx="2989028" cy="2105025"/>
            <wp:effectExtent l="0" t="0" r="0" b="0"/>
            <wp:docPr id="53" name="image38.png" descr=""/>
            <wp:cNvGraphicFramePr>
              <a:graphicFrameLocks noChangeAspect="1"/>
            </wp:cNvGraphicFramePr>
            <a:graphic>
              <a:graphicData uri="http://schemas.openxmlformats.org/drawingml/2006/picture">
                <pic:pic>
                  <pic:nvPicPr>
                    <pic:cNvPr id="54" name="image38.png"/>
                    <pic:cNvPicPr/>
                  </pic:nvPicPr>
                  <pic:blipFill>
                    <a:blip r:embed="rId47" cstate="print"/>
                    <a:stretch>
                      <a:fillRect/>
                    </a:stretch>
                  </pic:blipFill>
                  <pic:spPr>
                    <a:xfrm>
                      <a:off x="0" y="0"/>
                      <a:ext cx="2989028" cy="2105025"/>
                    </a:xfrm>
                    <a:prstGeom prst="rect">
                      <a:avLst/>
                    </a:prstGeom>
                  </pic:spPr>
                </pic:pic>
              </a:graphicData>
            </a:graphic>
          </wp:inline>
        </w:drawing>
      </w:r>
      <w:r>
        <w:rPr>
          <w:sz w:val="20"/>
        </w:rPr>
      </w:r>
    </w:p>
    <w:tbl>
      <w:tblPr>
        <w:tblW w:w="0" w:type="auto"/>
        <w:jc w:val="left"/>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87"/>
        <w:gridCol w:w="3296"/>
      </w:tblGrid>
      <w:tr>
        <w:trPr>
          <w:trHeight w:val="1943" w:hRule="atLeast"/>
        </w:trPr>
        <w:tc>
          <w:tcPr>
            <w:tcW w:w="3587" w:type="dxa"/>
          </w:tcPr>
          <w:p>
            <w:pPr>
              <w:pStyle w:val="TableParagraph"/>
              <w:spacing w:line="201" w:lineRule="exact"/>
              <w:ind w:left="180" w:right="1524"/>
              <w:jc w:val="center"/>
              <w:rPr>
                <w:rFonts w:ascii="Arial"/>
                <w:sz w:val="18"/>
              </w:rPr>
            </w:pPr>
            <w:r>
              <w:rPr>
                <w:rFonts w:ascii="Arial"/>
                <w:sz w:val="18"/>
              </w:rPr>
              <w:t>Segment Pedestrian</w:t>
            </w:r>
          </w:p>
        </w:tc>
        <w:tc>
          <w:tcPr>
            <w:tcW w:w="3296" w:type="dxa"/>
          </w:tcPr>
          <w:p>
            <w:pPr>
              <w:pStyle w:val="TableParagraph"/>
              <w:spacing w:line="201" w:lineRule="exact"/>
              <w:ind w:right="302"/>
              <w:jc w:val="right"/>
              <w:rPr>
                <w:rFonts w:ascii="Arial"/>
                <w:sz w:val="18"/>
              </w:rPr>
            </w:pPr>
            <w:r>
              <w:rPr>
                <w:rFonts w:ascii="Arial"/>
                <w:sz w:val="18"/>
              </w:rPr>
              <w:t>Segment Bicycle</w:t>
            </w:r>
          </w:p>
        </w:tc>
      </w:tr>
      <w:tr>
        <w:trPr>
          <w:trHeight w:val="1943" w:hRule="atLeast"/>
        </w:trPr>
        <w:tc>
          <w:tcPr>
            <w:tcW w:w="3587"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187" w:lineRule="exact" w:before="127"/>
              <w:ind w:left="180" w:right="1524"/>
              <w:jc w:val="center"/>
              <w:rPr>
                <w:rFonts w:ascii="Arial"/>
                <w:sz w:val="18"/>
              </w:rPr>
            </w:pPr>
            <w:r>
              <w:rPr>
                <w:rFonts w:ascii="Arial"/>
                <w:sz w:val="18"/>
              </w:rPr>
              <w:t>Intersection Pedestrian</w:t>
            </w:r>
          </w:p>
        </w:tc>
        <w:tc>
          <w:tcPr>
            <w:tcW w:w="329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187" w:lineRule="exact" w:before="127"/>
              <w:ind w:right="198"/>
              <w:jc w:val="right"/>
              <w:rPr>
                <w:rFonts w:ascii="Arial"/>
                <w:sz w:val="18"/>
              </w:rPr>
            </w:pPr>
            <w:r>
              <w:rPr>
                <w:rFonts w:ascii="Arial"/>
                <w:sz w:val="18"/>
              </w:rPr>
              <w:t>Intersection Bicycle</w:t>
            </w:r>
          </w:p>
        </w:tc>
      </w:tr>
    </w:tbl>
    <w:p>
      <w:pPr>
        <w:spacing w:before="119"/>
        <w:ind w:left="2686" w:right="0" w:firstLine="0"/>
        <w:jc w:val="left"/>
        <w:rPr>
          <w:sz w:val="20"/>
        </w:rPr>
      </w:pPr>
      <w:r>
        <w:rPr/>
        <w:drawing>
          <wp:anchor distT="0" distB="0" distL="0" distR="0" allowOverlap="1" layoutInCell="1" locked="0" behindDoc="1" simplePos="0" relativeHeight="268181591">
            <wp:simplePos x="0" y="0"/>
            <wp:positionH relativeFrom="page">
              <wp:posOffset>914400</wp:posOffset>
            </wp:positionH>
            <wp:positionV relativeFrom="paragraph">
              <wp:posOffset>-2339925</wp:posOffset>
            </wp:positionV>
            <wp:extent cx="2857500" cy="2105025"/>
            <wp:effectExtent l="0" t="0" r="0" b="0"/>
            <wp:wrapNone/>
            <wp:docPr id="55" name="image39.png" descr=""/>
            <wp:cNvGraphicFramePr>
              <a:graphicFrameLocks noChangeAspect="1"/>
            </wp:cNvGraphicFramePr>
            <a:graphic>
              <a:graphicData uri="http://schemas.openxmlformats.org/drawingml/2006/picture">
                <pic:pic>
                  <pic:nvPicPr>
                    <pic:cNvPr id="56" name="image39.png"/>
                    <pic:cNvPicPr/>
                  </pic:nvPicPr>
                  <pic:blipFill>
                    <a:blip r:embed="rId48" cstate="print"/>
                    <a:stretch>
                      <a:fillRect/>
                    </a:stretch>
                  </pic:blipFill>
                  <pic:spPr>
                    <a:xfrm>
                      <a:off x="0" y="0"/>
                      <a:ext cx="2857500" cy="2105025"/>
                    </a:xfrm>
                    <a:prstGeom prst="rect">
                      <a:avLst/>
                    </a:prstGeom>
                  </pic:spPr>
                </pic:pic>
              </a:graphicData>
            </a:graphic>
          </wp:anchor>
        </w:drawing>
      </w:r>
      <w:r>
        <w:rPr/>
        <w:drawing>
          <wp:anchor distT="0" distB="0" distL="0" distR="0" allowOverlap="1" layoutInCell="1" locked="0" behindDoc="1" simplePos="0" relativeHeight="268181615">
            <wp:simplePos x="0" y="0"/>
            <wp:positionH relativeFrom="page">
              <wp:posOffset>3906520</wp:posOffset>
            </wp:positionH>
            <wp:positionV relativeFrom="paragraph">
              <wp:posOffset>-2339924</wp:posOffset>
            </wp:positionV>
            <wp:extent cx="2924643" cy="2209800"/>
            <wp:effectExtent l="0" t="0" r="0" b="0"/>
            <wp:wrapNone/>
            <wp:docPr id="57" name="image40.png" descr=""/>
            <wp:cNvGraphicFramePr>
              <a:graphicFrameLocks noChangeAspect="1"/>
            </wp:cNvGraphicFramePr>
            <a:graphic>
              <a:graphicData uri="http://schemas.openxmlformats.org/drawingml/2006/picture">
                <pic:pic>
                  <pic:nvPicPr>
                    <pic:cNvPr id="58" name="image40.png"/>
                    <pic:cNvPicPr/>
                  </pic:nvPicPr>
                  <pic:blipFill>
                    <a:blip r:embed="rId49" cstate="print"/>
                    <a:stretch>
                      <a:fillRect/>
                    </a:stretch>
                  </pic:blipFill>
                  <pic:spPr>
                    <a:xfrm>
                      <a:off x="0" y="0"/>
                      <a:ext cx="2924643" cy="2209800"/>
                    </a:xfrm>
                    <a:prstGeom prst="rect">
                      <a:avLst/>
                    </a:prstGeom>
                  </pic:spPr>
                </pic:pic>
              </a:graphicData>
            </a:graphic>
          </wp:anchor>
        </w:drawing>
      </w:r>
      <w:bookmarkStart w:name="_bookmark58" w:id="279"/>
      <w:bookmarkEnd w:id="279"/>
      <w:r>
        <w:rPr/>
      </w:r>
      <w:r>
        <w:rPr>
          <w:sz w:val="20"/>
        </w:rPr>
        <w:t>Figure 7.1: Intersection Crash Severity Level Distribution</w:t>
      </w:r>
    </w:p>
    <w:p>
      <w:pPr>
        <w:pStyle w:val="BodyText"/>
        <w:rPr>
          <w:sz w:val="22"/>
        </w:rPr>
      </w:pPr>
    </w:p>
    <w:p>
      <w:pPr>
        <w:pStyle w:val="BodyText"/>
        <w:spacing w:before="1"/>
        <w:rPr>
          <w:sz w:val="20"/>
        </w:rPr>
      </w:pPr>
    </w:p>
    <w:p>
      <w:pPr>
        <w:pStyle w:val="Heading3"/>
        <w:numPr>
          <w:ilvl w:val="1"/>
          <w:numId w:val="31"/>
        </w:numPr>
        <w:tabs>
          <w:tab w:pos="1039" w:val="left" w:leader="none"/>
          <w:tab w:pos="1040" w:val="left" w:leader="none"/>
        </w:tabs>
        <w:spacing w:line="240" w:lineRule="auto" w:before="0" w:after="0"/>
        <w:ind w:left="1039" w:right="0" w:hanging="719"/>
        <w:jc w:val="left"/>
      </w:pPr>
      <w:bookmarkStart w:name="_TOC_250007" w:id="280"/>
      <w:bookmarkStart w:name="7.5 SUMMARY" w:id="281"/>
      <w:r>
        <w:rPr>
          <w:b w:val="0"/>
        </w:rPr>
      </w:r>
      <w:bookmarkEnd w:id="281"/>
      <w:bookmarkStart w:name="7.5 SUMMARY" w:id="282"/>
      <w:r>
        <w:rPr/>
        <w:t>S</w:t>
      </w:r>
      <w:bookmarkEnd w:id="280"/>
      <w:r>
        <w:rPr/>
        <w:t>UMMARY</w:t>
      </w:r>
    </w:p>
    <w:p>
      <w:pPr>
        <w:pStyle w:val="BodyText"/>
        <w:spacing w:before="236"/>
        <w:ind w:left="320" w:right="1452"/>
      </w:pPr>
      <w:r>
        <w:rPr/>
        <w:t>To aid in the implementation of these risk-scoring tables the research team constructed an Excel spreadsheet. The use of the scoring tool is demonstrated in the following chapter using projects identified for funding in the All Roads Transportation Safety (ARTS) final project lists in Region 1 and Region 2. This chapter presented the method used to convert the model results to a weighted risk score for each of the components. Presently, the risk scores are only intended to be evaluated within each context (i.e., the risk score for bicycles at intersections is not comparable to the score for pedestrians on segments). Use of the percentiles can be used to inform comparisons between the scoring</w:t>
      </w:r>
      <w:r>
        <w:rPr>
          <w:spacing w:val="-4"/>
        </w:rPr>
        <w:t> </w:t>
      </w:r>
      <w:r>
        <w:rPr/>
        <w:t>tools.</w:t>
      </w:r>
    </w:p>
    <w:p>
      <w:pPr>
        <w:spacing w:after="0"/>
        <w:sectPr>
          <w:pgSz w:w="12240" w:h="15840"/>
          <w:pgMar w:header="0" w:footer="709" w:top="1000" w:bottom="980" w:left="1120" w:right="0"/>
        </w:sectPr>
      </w:pPr>
    </w:p>
    <w:p>
      <w:pPr>
        <w:pStyle w:val="Heading2"/>
        <w:numPr>
          <w:ilvl w:val="1"/>
          <w:numId w:val="32"/>
        </w:numPr>
        <w:tabs>
          <w:tab w:pos="3465" w:val="left" w:leader="none"/>
          <w:tab w:pos="3466" w:val="left" w:leader="none"/>
        </w:tabs>
        <w:spacing w:line="240" w:lineRule="auto" w:before="75" w:after="0"/>
        <w:ind w:left="3465" w:right="0" w:hanging="720"/>
        <w:jc w:val="left"/>
      </w:pPr>
      <w:bookmarkStart w:name="_TOC_250006" w:id="283"/>
      <w:bookmarkStart w:name="8.0 SAMPLE APPLICATIONS" w:id="284"/>
      <w:r>
        <w:rPr>
          <w:b w:val="0"/>
        </w:rPr>
      </w:r>
      <w:bookmarkEnd w:id="284"/>
      <w:bookmarkStart w:name="8.0 SAMPLE APPLICATIONS" w:id="285"/>
      <w:r>
        <w:rPr/>
        <w:t>S</w:t>
      </w:r>
      <w:r>
        <w:rPr/>
        <w:t>AMPLE</w:t>
      </w:r>
      <w:r>
        <w:rPr>
          <w:spacing w:val="-18"/>
        </w:rPr>
        <w:t> </w:t>
      </w:r>
      <w:bookmarkEnd w:id="283"/>
      <w:r>
        <w:rPr>
          <w:spacing w:val="-3"/>
        </w:rPr>
        <w:t>APPLICATIONS</w:t>
      </w:r>
    </w:p>
    <w:p>
      <w:pPr>
        <w:pStyle w:val="BodyText"/>
        <w:spacing w:before="6"/>
        <w:rPr>
          <w:b/>
          <w:sz w:val="41"/>
        </w:rPr>
      </w:pPr>
    </w:p>
    <w:p>
      <w:pPr>
        <w:pStyle w:val="BodyText"/>
        <w:ind w:left="319" w:right="1430"/>
      </w:pPr>
      <w:r>
        <w:rPr/>
        <w:t>In this chapter, we apply the risk-scoring tool to safety projects that were recommended in the 2015 All Roads Transportation Safety (ARTS) project lists from Region 1 and 2. The chapter includes screen captures from the risk-scoring spreadsheet tool that was developed for the project and is available for use on the ODOT research website. Appendix A contains examples of the individual data collection elements.</w:t>
      </w:r>
    </w:p>
    <w:p>
      <w:pPr>
        <w:pStyle w:val="BodyText"/>
        <w:spacing w:before="2"/>
        <w:rPr>
          <w:sz w:val="21"/>
        </w:rPr>
      </w:pPr>
    </w:p>
    <w:p>
      <w:pPr>
        <w:pStyle w:val="Heading3"/>
        <w:numPr>
          <w:ilvl w:val="1"/>
          <w:numId w:val="32"/>
        </w:numPr>
        <w:tabs>
          <w:tab w:pos="1039" w:val="left" w:leader="none"/>
          <w:tab w:pos="1040" w:val="left" w:leader="none"/>
        </w:tabs>
        <w:spacing w:line="240" w:lineRule="auto" w:before="1" w:after="0"/>
        <w:ind w:left="1039" w:right="0" w:hanging="719"/>
        <w:jc w:val="left"/>
      </w:pPr>
      <w:bookmarkStart w:name="_TOC_250005" w:id="286"/>
      <w:bookmarkStart w:name="8.1 INTERSECTION PROJECTS" w:id="287"/>
      <w:r>
        <w:rPr>
          <w:b w:val="0"/>
        </w:rPr>
      </w:r>
      <w:bookmarkEnd w:id="287"/>
      <w:bookmarkStart w:name="8.1 INTERSECTION PROJECTS" w:id="288"/>
      <w:r>
        <w:rPr/>
        <w:t>I</w:t>
      </w:r>
      <w:r>
        <w:rPr/>
        <w:t>NTERSECTION</w:t>
      </w:r>
      <w:r>
        <w:rPr>
          <w:spacing w:val="-1"/>
        </w:rPr>
        <w:t> </w:t>
      </w:r>
      <w:bookmarkEnd w:id="286"/>
      <w:r>
        <w:rPr/>
        <w:t>PROJECTS</w:t>
      </w:r>
    </w:p>
    <w:p>
      <w:pPr>
        <w:pStyle w:val="BodyText"/>
        <w:spacing w:before="236"/>
        <w:ind w:left="319" w:right="1462"/>
      </w:pPr>
      <w:r>
        <w:rPr/>
        <w:t>A total of five intersections projects with pedestrian-related countermeasures were selected from ARTS final project lists in Region 1 and Region 2. These are show</w:t>
      </w:r>
      <w:hyperlink w:history="true" w:anchor="_bookmark59">
        <w:r>
          <w:rPr/>
          <w:t>n in Table 8.1</w:t>
        </w:r>
      </w:hyperlink>
      <w:r>
        <w:rPr/>
        <w:t> with the project name, proposed countermeasures and the benefit-cost (B/C) ratio calculated through the ARTS procedures.</w:t>
      </w:r>
    </w:p>
    <w:p>
      <w:pPr>
        <w:pStyle w:val="BodyText"/>
        <w:spacing w:before="1"/>
        <w:rPr>
          <w:sz w:val="21"/>
        </w:rPr>
      </w:pPr>
    </w:p>
    <w:p>
      <w:pPr>
        <w:spacing w:before="0"/>
        <w:ind w:left="320" w:right="0" w:firstLine="0"/>
        <w:jc w:val="left"/>
        <w:rPr>
          <w:b/>
          <w:sz w:val="20"/>
        </w:rPr>
      </w:pPr>
      <w:bookmarkStart w:name="_bookmark59" w:id="289"/>
      <w:bookmarkEnd w:id="289"/>
      <w:r>
        <w:rPr/>
      </w:r>
      <w:r>
        <w:rPr>
          <w:b/>
          <w:sz w:val="20"/>
        </w:rPr>
        <w:t>Table 8.1: Validation List of Pedestrian Intersection Risk Score</w:t>
      </w:r>
    </w:p>
    <w:tbl>
      <w:tblPr>
        <w:tblW w:w="0" w:type="auto"/>
        <w:jc w:val="left"/>
        <w:tblInd w:w="19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052"/>
        <w:gridCol w:w="2989"/>
        <w:gridCol w:w="3987"/>
        <w:gridCol w:w="1340"/>
      </w:tblGrid>
      <w:tr>
        <w:trPr>
          <w:trHeight w:val="460" w:hRule="atLeast"/>
        </w:trPr>
        <w:tc>
          <w:tcPr>
            <w:tcW w:w="1052" w:type="dxa"/>
            <w:tcBorders>
              <w:left w:val="nil"/>
              <w:right w:val="single" w:sz="4" w:space="0" w:color="000000"/>
            </w:tcBorders>
          </w:tcPr>
          <w:p>
            <w:pPr>
              <w:pStyle w:val="TableParagraph"/>
              <w:spacing w:before="114"/>
              <w:ind w:left="137"/>
              <w:rPr>
                <w:b/>
                <w:sz w:val="20"/>
              </w:rPr>
            </w:pPr>
            <w:r>
              <w:rPr>
                <w:b/>
                <w:sz w:val="20"/>
              </w:rPr>
              <w:t>City</w:t>
            </w:r>
          </w:p>
        </w:tc>
        <w:tc>
          <w:tcPr>
            <w:tcW w:w="2989" w:type="dxa"/>
            <w:tcBorders>
              <w:left w:val="single" w:sz="4" w:space="0" w:color="000000"/>
              <w:right w:val="single" w:sz="4" w:space="0" w:color="000000"/>
            </w:tcBorders>
          </w:tcPr>
          <w:p>
            <w:pPr>
              <w:pStyle w:val="TableParagraph"/>
              <w:spacing w:before="114"/>
              <w:ind w:left="118"/>
              <w:rPr>
                <w:b/>
                <w:sz w:val="20"/>
              </w:rPr>
            </w:pPr>
            <w:r>
              <w:rPr>
                <w:b/>
                <w:sz w:val="20"/>
              </w:rPr>
              <w:t>Project Name</w:t>
            </w:r>
          </w:p>
        </w:tc>
        <w:tc>
          <w:tcPr>
            <w:tcW w:w="3987" w:type="dxa"/>
            <w:tcBorders>
              <w:left w:val="single" w:sz="4" w:space="0" w:color="000000"/>
              <w:right w:val="single" w:sz="4" w:space="0" w:color="000000"/>
            </w:tcBorders>
          </w:tcPr>
          <w:p>
            <w:pPr>
              <w:pStyle w:val="TableParagraph"/>
              <w:spacing w:before="114"/>
              <w:ind w:left="118"/>
              <w:rPr>
                <w:b/>
                <w:sz w:val="20"/>
              </w:rPr>
            </w:pPr>
            <w:r>
              <w:rPr>
                <w:b/>
                <w:sz w:val="20"/>
              </w:rPr>
              <w:t>Countermeasures</w:t>
            </w:r>
          </w:p>
        </w:tc>
        <w:tc>
          <w:tcPr>
            <w:tcW w:w="1340" w:type="dxa"/>
            <w:tcBorders>
              <w:left w:val="single" w:sz="4" w:space="0" w:color="000000"/>
              <w:right w:val="nil"/>
            </w:tcBorders>
          </w:tcPr>
          <w:p>
            <w:pPr>
              <w:pStyle w:val="TableParagraph"/>
              <w:spacing w:line="230" w:lineRule="exact" w:before="2"/>
              <w:ind w:left="446" w:right="111" w:hanging="292"/>
              <w:rPr>
                <w:b/>
                <w:sz w:val="20"/>
              </w:rPr>
            </w:pPr>
            <w:r>
              <w:rPr>
                <w:b/>
                <w:sz w:val="20"/>
              </w:rPr>
              <w:t>Benefit Cost Ratio</w:t>
            </w:r>
          </w:p>
        </w:tc>
      </w:tr>
      <w:tr>
        <w:trPr>
          <w:trHeight w:val="458" w:hRule="atLeast"/>
        </w:trPr>
        <w:tc>
          <w:tcPr>
            <w:tcW w:w="1052" w:type="dxa"/>
            <w:tcBorders>
              <w:left w:val="nil"/>
              <w:bottom w:val="single" w:sz="4" w:space="0" w:color="000000"/>
              <w:right w:val="single" w:sz="4" w:space="0" w:color="000000"/>
            </w:tcBorders>
          </w:tcPr>
          <w:p>
            <w:pPr>
              <w:pStyle w:val="TableParagraph"/>
              <w:spacing w:before="111"/>
              <w:ind w:left="137"/>
              <w:rPr>
                <w:sz w:val="20"/>
              </w:rPr>
            </w:pPr>
            <w:r>
              <w:rPr>
                <w:sz w:val="20"/>
              </w:rPr>
              <w:t>Keizer</w:t>
            </w:r>
          </w:p>
        </w:tc>
        <w:tc>
          <w:tcPr>
            <w:tcW w:w="2989" w:type="dxa"/>
            <w:tcBorders>
              <w:left w:val="single" w:sz="4" w:space="0" w:color="000000"/>
              <w:bottom w:val="single" w:sz="4" w:space="0" w:color="000000"/>
              <w:right w:val="single" w:sz="4" w:space="0" w:color="000000"/>
            </w:tcBorders>
          </w:tcPr>
          <w:p>
            <w:pPr>
              <w:pStyle w:val="TableParagraph"/>
              <w:tabs>
                <w:tab w:pos="972" w:val="left" w:leader="none"/>
                <w:tab w:pos="1501" w:val="left" w:leader="none"/>
                <w:tab w:pos="2021" w:val="left" w:leader="none"/>
                <w:tab w:pos="2457" w:val="left" w:leader="none"/>
              </w:tabs>
              <w:spacing w:line="225" w:lineRule="exact"/>
              <w:ind w:left="118"/>
              <w:rPr>
                <w:sz w:val="20"/>
              </w:rPr>
            </w:pPr>
            <w:r>
              <w:rPr>
                <w:sz w:val="20"/>
              </w:rPr>
              <w:t>RIVER</w:t>
              <w:tab/>
              <w:t>RD</w:t>
              <w:tab/>
              <w:t>NE</w:t>
              <w:tab/>
              <w:t>@</w:t>
              <w:tab/>
              <w:t>SAM</w:t>
            </w:r>
          </w:p>
          <w:p>
            <w:pPr>
              <w:pStyle w:val="TableParagraph"/>
              <w:spacing w:line="213" w:lineRule="exact"/>
              <w:ind w:left="118"/>
              <w:rPr>
                <w:sz w:val="20"/>
              </w:rPr>
            </w:pPr>
            <w:r>
              <w:rPr>
                <w:sz w:val="20"/>
              </w:rPr>
              <w:t>ORCUTT WAY NE</w:t>
            </w:r>
          </w:p>
        </w:tc>
        <w:tc>
          <w:tcPr>
            <w:tcW w:w="3987" w:type="dxa"/>
            <w:tcBorders>
              <w:left w:val="single" w:sz="4" w:space="0" w:color="000000"/>
              <w:bottom w:val="single" w:sz="4" w:space="0" w:color="000000"/>
              <w:right w:val="single" w:sz="4" w:space="0" w:color="000000"/>
            </w:tcBorders>
          </w:tcPr>
          <w:p>
            <w:pPr>
              <w:pStyle w:val="TableParagraph"/>
              <w:spacing w:line="225" w:lineRule="exact"/>
              <w:ind w:left="118"/>
              <w:rPr>
                <w:sz w:val="20"/>
              </w:rPr>
            </w:pPr>
            <w:r>
              <w:rPr>
                <w:sz w:val="20"/>
              </w:rPr>
              <w:t>BP4 - Install No Pedestrian Phase Feature with</w:t>
            </w:r>
          </w:p>
          <w:p>
            <w:pPr>
              <w:pStyle w:val="TableParagraph"/>
              <w:spacing w:line="213" w:lineRule="exact"/>
              <w:ind w:left="118"/>
              <w:rPr>
                <w:sz w:val="20"/>
              </w:rPr>
            </w:pPr>
            <w:r>
              <w:rPr>
                <w:sz w:val="20"/>
              </w:rPr>
              <w:t>Flashing Yellow Arrow</w:t>
            </w:r>
          </w:p>
        </w:tc>
        <w:tc>
          <w:tcPr>
            <w:tcW w:w="1340" w:type="dxa"/>
            <w:tcBorders>
              <w:left w:val="single" w:sz="4" w:space="0" w:color="000000"/>
              <w:bottom w:val="single" w:sz="4" w:space="0" w:color="000000"/>
              <w:right w:val="nil"/>
            </w:tcBorders>
          </w:tcPr>
          <w:p>
            <w:pPr>
              <w:pStyle w:val="TableParagraph"/>
              <w:spacing w:before="111"/>
              <w:ind w:left="435" w:right="410"/>
              <w:jc w:val="center"/>
              <w:rPr>
                <w:sz w:val="20"/>
              </w:rPr>
            </w:pPr>
            <w:r>
              <w:rPr>
                <w:sz w:val="20"/>
              </w:rPr>
              <w:t>17.16</w:t>
            </w:r>
          </w:p>
        </w:tc>
      </w:tr>
      <w:tr>
        <w:trPr>
          <w:trHeight w:val="460" w:hRule="atLeast"/>
        </w:trPr>
        <w:tc>
          <w:tcPr>
            <w:tcW w:w="1052" w:type="dxa"/>
            <w:tcBorders>
              <w:top w:val="single" w:sz="4" w:space="0" w:color="000000"/>
              <w:left w:val="nil"/>
              <w:bottom w:val="single" w:sz="4" w:space="0" w:color="000000"/>
              <w:right w:val="single" w:sz="4" w:space="0" w:color="000000"/>
            </w:tcBorders>
          </w:tcPr>
          <w:p>
            <w:pPr>
              <w:pStyle w:val="TableParagraph"/>
              <w:spacing w:before="112"/>
              <w:ind w:left="137"/>
              <w:rPr>
                <w:sz w:val="20"/>
              </w:rPr>
            </w:pPr>
            <w:r>
              <w:rPr>
                <w:sz w:val="20"/>
              </w:rPr>
              <w:t>Eugene</w:t>
            </w:r>
          </w:p>
        </w:tc>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8"/>
              <w:rPr>
                <w:sz w:val="20"/>
              </w:rPr>
            </w:pPr>
            <w:r>
              <w:rPr>
                <w:sz w:val="20"/>
              </w:rPr>
              <w:t>I 105 @ MP 1.8: COBURG RD</w:t>
            </w:r>
          </w:p>
          <w:p>
            <w:pPr>
              <w:pStyle w:val="TableParagraph"/>
              <w:spacing w:line="213" w:lineRule="exact"/>
              <w:ind w:left="118"/>
              <w:rPr>
                <w:sz w:val="20"/>
              </w:rPr>
            </w:pPr>
            <w:r>
              <w:rPr>
                <w:sz w:val="20"/>
              </w:rPr>
              <w:t>@ MLK JR BLVD</w:t>
            </w:r>
          </w:p>
        </w:tc>
        <w:tc>
          <w:tcPr>
            <w:tcW w:w="3987"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Pr>
                <w:sz w:val="20"/>
              </w:rPr>
            </w:pPr>
            <w:r>
              <w:rPr>
                <w:sz w:val="20"/>
              </w:rPr>
              <w:t>BP1 - Install Pedestrian Countdown Timer(s)</w:t>
            </w:r>
          </w:p>
        </w:tc>
        <w:tc>
          <w:tcPr>
            <w:tcW w:w="1340" w:type="dxa"/>
            <w:tcBorders>
              <w:top w:val="single" w:sz="4" w:space="0" w:color="000000"/>
              <w:left w:val="single" w:sz="4" w:space="0" w:color="000000"/>
              <w:bottom w:val="single" w:sz="4" w:space="0" w:color="000000"/>
              <w:right w:val="nil"/>
            </w:tcBorders>
          </w:tcPr>
          <w:p>
            <w:pPr>
              <w:pStyle w:val="TableParagraph"/>
              <w:spacing w:before="112"/>
              <w:ind w:left="435" w:right="407"/>
              <w:jc w:val="center"/>
              <w:rPr>
                <w:sz w:val="20"/>
              </w:rPr>
            </w:pPr>
            <w:r>
              <w:rPr>
                <w:sz w:val="20"/>
              </w:rPr>
              <w:t>9.87</w:t>
            </w:r>
          </w:p>
        </w:tc>
      </w:tr>
      <w:tr>
        <w:trPr>
          <w:trHeight w:val="920" w:hRule="atLeast"/>
        </w:trPr>
        <w:tc>
          <w:tcPr>
            <w:tcW w:w="1052" w:type="dxa"/>
            <w:tcBorders>
              <w:top w:val="single" w:sz="4" w:space="0" w:color="000000"/>
              <w:left w:val="nil"/>
              <w:bottom w:val="single" w:sz="4" w:space="0" w:color="000000"/>
              <w:right w:val="single" w:sz="4" w:space="0" w:color="000000"/>
            </w:tcBorders>
          </w:tcPr>
          <w:p>
            <w:pPr>
              <w:pStyle w:val="TableParagraph"/>
              <w:spacing w:before="7"/>
              <w:rPr>
                <w:b/>
                <w:sz w:val="29"/>
              </w:rPr>
            </w:pPr>
          </w:p>
          <w:p>
            <w:pPr>
              <w:pStyle w:val="TableParagraph"/>
              <w:ind w:left="137"/>
              <w:rPr>
                <w:sz w:val="20"/>
              </w:rPr>
            </w:pPr>
            <w:r>
              <w:rPr>
                <w:sz w:val="20"/>
              </w:rPr>
              <w:t>Albany</w:t>
            </w:r>
          </w:p>
        </w:tc>
        <w:tc>
          <w:tcPr>
            <w:tcW w:w="2989" w:type="dxa"/>
            <w:tcBorders>
              <w:top w:val="single" w:sz="4" w:space="0" w:color="000000"/>
              <w:left w:val="single" w:sz="4" w:space="0" w:color="000000"/>
              <w:bottom w:val="single" w:sz="4" w:space="0" w:color="000000"/>
              <w:right w:val="single" w:sz="4" w:space="0" w:color="000000"/>
            </w:tcBorders>
          </w:tcPr>
          <w:p>
            <w:pPr>
              <w:pStyle w:val="TableParagraph"/>
              <w:spacing w:before="7"/>
              <w:rPr>
                <w:b/>
                <w:sz w:val="29"/>
              </w:rPr>
            </w:pPr>
          </w:p>
          <w:p>
            <w:pPr>
              <w:pStyle w:val="TableParagraph"/>
              <w:ind w:left="118"/>
              <w:rPr>
                <w:sz w:val="20"/>
              </w:rPr>
            </w:pPr>
            <w:r>
              <w:rPr>
                <w:sz w:val="20"/>
              </w:rPr>
              <w:t>GEARY ST @ QUEEN AVE</w:t>
            </w:r>
          </w:p>
        </w:tc>
        <w:tc>
          <w:tcPr>
            <w:tcW w:w="3987" w:type="dxa"/>
            <w:tcBorders>
              <w:top w:val="single" w:sz="4" w:space="0" w:color="000000"/>
              <w:left w:val="single" w:sz="4" w:space="0" w:color="000000"/>
              <w:bottom w:val="single" w:sz="4" w:space="0" w:color="000000"/>
              <w:right w:val="single" w:sz="4" w:space="0" w:color="000000"/>
            </w:tcBorders>
          </w:tcPr>
          <w:p>
            <w:pPr>
              <w:pStyle w:val="TableParagraph"/>
              <w:ind w:left="118" w:right="78"/>
              <w:rPr>
                <w:sz w:val="20"/>
              </w:rPr>
            </w:pPr>
            <w:r>
              <w:rPr>
                <w:sz w:val="20"/>
              </w:rPr>
              <w:t>BP4 - Install No Pedestrian Phase Feature with Flashing Yellow Arrow</w:t>
            </w:r>
          </w:p>
          <w:p>
            <w:pPr>
              <w:pStyle w:val="TableParagraph"/>
              <w:spacing w:line="230" w:lineRule="exact"/>
              <w:ind w:left="118"/>
              <w:rPr>
                <w:sz w:val="20"/>
              </w:rPr>
            </w:pPr>
            <w:r>
              <w:rPr>
                <w:sz w:val="20"/>
              </w:rPr>
              <w:t>BP5 - Install Urban Green Bike Lanes at Conflict Points</w:t>
            </w:r>
          </w:p>
        </w:tc>
        <w:tc>
          <w:tcPr>
            <w:tcW w:w="1340" w:type="dxa"/>
            <w:tcBorders>
              <w:top w:val="single" w:sz="4" w:space="0" w:color="000000"/>
              <w:left w:val="single" w:sz="4" w:space="0" w:color="000000"/>
              <w:bottom w:val="single" w:sz="4" w:space="0" w:color="000000"/>
              <w:right w:val="nil"/>
            </w:tcBorders>
          </w:tcPr>
          <w:p>
            <w:pPr>
              <w:pStyle w:val="TableParagraph"/>
              <w:spacing w:before="7"/>
              <w:rPr>
                <w:b/>
                <w:sz w:val="29"/>
              </w:rPr>
            </w:pPr>
          </w:p>
          <w:p>
            <w:pPr>
              <w:pStyle w:val="TableParagraph"/>
              <w:ind w:left="435" w:right="408"/>
              <w:jc w:val="center"/>
              <w:rPr>
                <w:sz w:val="20"/>
              </w:rPr>
            </w:pPr>
            <w:r>
              <w:rPr>
                <w:sz w:val="20"/>
              </w:rPr>
              <w:t>7.13</w:t>
            </w:r>
          </w:p>
        </w:tc>
      </w:tr>
      <w:tr>
        <w:trPr>
          <w:trHeight w:val="459" w:hRule="atLeast"/>
        </w:trPr>
        <w:tc>
          <w:tcPr>
            <w:tcW w:w="1052" w:type="dxa"/>
            <w:tcBorders>
              <w:top w:val="single" w:sz="4" w:space="0" w:color="000000"/>
              <w:left w:val="nil"/>
              <w:bottom w:val="single" w:sz="4" w:space="0" w:color="000000"/>
              <w:right w:val="single" w:sz="4" w:space="0" w:color="000000"/>
            </w:tcBorders>
          </w:tcPr>
          <w:p>
            <w:pPr>
              <w:pStyle w:val="TableParagraph"/>
              <w:spacing w:before="112"/>
              <w:ind w:left="137"/>
              <w:rPr>
                <w:sz w:val="20"/>
              </w:rPr>
            </w:pPr>
            <w:r>
              <w:rPr>
                <w:sz w:val="20"/>
              </w:rPr>
              <w:t>Salem</w:t>
            </w:r>
          </w:p>
        </w:tc>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8"/>
              <w:rPr>
                <w:sz w:val="20"/>
              </w:rPr>
            </w:pPr>
            <w:r>
              <w:rPr>
                <w:sz w:val="20"/>
              </w:rPr>
              <w:t>BROADWAY ST NE @ PINE</w:t>
            </w:r>
          </w:p>
          <w:p>
            <w:pPr>
              <w:pStyle w:val="TableParagraph"/>
              <w:spacing w:line="212" w:lineRule="exact"/>
              <w:ind w:left="118"/>
              <w:rPr>
                <w:sz w:val="20"/>
              </w:rPr>
            </w:pPr>
            <w:r>
              <w:rPr>
                <w:sz w:val="20"/>
              </w:rPr>
              <w:t>ST NE</w:t>
            </w:r>
          </w:p>
        </w:tc>
        <w:tc>
          <w:tcPr>
            <w:tcW w:w="3987"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Pr>
                <w:sz w:val="20"/>
              </w:rPr>
            </w:pPr>
            <w:r>
              <w:rPr>
                <w:sz w:val="20"/>
              </w:rPr>
              <w:t>BP1 - Install Pedestrian Countdown Timer(s)</w:t>
            </w:r>
          </w:p>
        </w:tc>
        <w:tc>
          <w:tcPr>
            <w:tcW w:w="1340" w:type="dxa"/>
            <w:tcBorders>
              <w:top w:val="single" w:sz="4" w:space="0" w:color="000000"/>
              <w:left w:val="single" w:sz="4" w:space="0" w:color="000000"/>
              <w:bottom w:val="single" w:sz="4" w:space="0" w:color="000000"/>
              <w:right w:val="nil"/>
            </w:tcBorders>
          </w:tcPr>
          <w:p>
            <w:pPr>
              <w:pStyle w:val="TableParagraph"/>
              <w:spacing w:before="112"/>
              <w:ind w:left="435" w:right="407"/>
              <w:jc w:val="center"/>
              <w:rPr>
                <w:sz w:val="20"/>
              </w:rPr>
            </w:pPr>
            <w:r>
              <w:rPr>
                <w:sz w:val="20"/>
              </w:rPr>
              <w:t>2.45</w:t>
            </w:r>
          </w:p>
        </w:tc>
      </w:tr>
      <w:tr>
        <w:trPr>
          <w:trHeight w:val="460" w:hRule="atLeast"/>
        </w:trPr>
        <w:tc>
          <w:tcPr>
            <w:tcW w:w="1052" w:type="dxa"/>
            <w:tcBorders>
              <w:top w:val="single" w:sz="4" w:space="0" w:color="000000"/>
              <w:left w:val="nil"/>
              <w:right w:val="single" w:sz="4" w:space="0" w:color="000000"/>
            </w:tcBorders>
          </w:tcPr>
          <w:p>
            <w:pPr>
              <w:pStyle w:val="TableParagraph"/>
              <w:spacing w:before="112"/>
              <w:ind w:left="137"/>
              <w:rPr>
                <w:sz w:val="20"/>
              </w:rPr>
            </w:pPr>
            <w:r>
              <w:rPr>
                <w:sz w:val="20"/>
              </w:rPr>
              <w:t>Beaverton</w:t>
            </w:r>
          </w:p>
        </w:tc>
        <w:tc>
          <w:tcPr>
            <w:tcW w:w="2989" w:type="dxa"/>
            <w:tcBorders>
              <w:top w:val="single" w:sz="4" w:space="0" w:color="000000"/>
              <w:left w:val="single" w:sz="4" w:space="0" w:color="000000"/>
              <w:right w:val="single" w:sz="4" w:space="0" w:color="000000"/>
            </w:tcBorders>
          </w:tcPr>
          <w:p>
            <w:pPr>
              <w:pStyle w:val="TableParagraph"/>
              <w:spacing w:line="230" w:lineRule="exact"/>
              <w:ind w:left="118" w:right="85" w:firstLine="50"/>
              <w:rPr>
                <w:sz w:val="20"/>
              </w:rPr>
            </w:pPr>
            <w:r>
              <w:rPr>
                <w:sz w:val="20"/>
              </w:rPr>
              <w:t>SW Hall Blvd @ SW Nimbus Ave</w:t>
            </w:r>
          </w:p>
        </w:tc>
        <w:tc>
          <w:tcPr>
            <w:tcW w:w="3987" w:type="dxa"/>
            <w:tcBorders>
              <w:top w:val="single" w:sz="4" w:space="0" w:color="000000"/>
              <w:left w:val="single" w:sz="4" w:space="0" w:color="000000"/>
              <w:right w:val="single" w:sz="4" w:space="0" w:color="000000"/>
            </w:tcBorders>
          </w:tcPr>
          <w:p>
            <w:pPr>
              <w:pStyle w:val="TableParagraph"/>
              <w:spacing w:line="230" w:lineRule="exact"/>
              <w:ind w:left="118" w:right="78"/>
              <w:rPr>
                <w:sz w:val="20"/>
              </w:rPr>
            </w:pPr>
            <w:r>
              <w:rPr>
                <w:sz w:val="20"/>
              </w:rPr>
              <w:t>BP4 - Install No Pedestrian Phase Feature with Flashing Yellow Arrow</w:t>
            </w:r>
          </w:p>
        </w:tc>
        <w:tc>
          <w:tcPr>
            <w:tcW w:w="1340" w:type="dxa"/>
            <w:tcBorders>
              <w:top w:val="single" w:sz="4" w:space="0" w:color="000000"/>
              <w:left w:val="single" w:sz="4" w:space="0" w:color="000000"/>
              <w:right w:val="nil"/>
            </w:tcBorders>
          </w:tcPr>
          <w:p>
            <w:pPr>
              <w:pStyle w:val="TableParagraph"/>
              <w:spacing w:before="112"/>
              <w:ind w:left="435" w:right="409"/>
              <w:jc w:val="center"/>
              <w:rPr>
                <w:sz w:val="20"/>
              </w:rPr>
            </w:pPr>
            <w:r>
              <w:rPr>
                <w:sz w:val="20"/>
              </w:rPr>
              <w:t>17</w:t>
            </w:r>
          </w:p>
        </w:tc>
      </w:tr>
    </w:tbl>
    <w:p>
      <w:pPr>
        <w:pStyle w:val="BodyText"/>
        <w:spacing w:before="8"/>
        <w:rPr>
          <w:b/>
          <w:sz w:val="23"/>
        </w:rPr>
      </w:pPr>
    </w:p>
    <w:p>
      <w:pPr>
        <w:pStyle w:val="BodyText"/>
        <w:ind w:left="319" w:right="1430"/>
      </w:pPr>
      <w:r>
        <w:rPr/>
        <w:t>The first step to calculate the risk score is to collect the necessary information for the risk- scoring tool. </w:t>
      </w:r>
      <w:hyperlink w:history="true" w:anchor="_bookmark55">
        <w:r>
          <w:rPr/>
          <w:t>Table 7.3</w:t>
        </w:r>
      </w:hyperlink>
      <w:r>
        <w:rPr/>
        <w:t> shows that six variables need to be collected. Total population density can be obtained from the Environmental Protection Agency (EPA)’s Smart Location Database (2013); AADT and number of transit can be collected from ODOT TransGIS website; and Google Maps street view images provided the geometric information such as the presence of a median on a segment and the presence of a right-turn lane on major and minor roads. For the first intersection in Keizer, the detailed information of this intersection is shown in </w:t>
      </w:r>
      <w:hyperlink w:history="true" w:anchor="_bookmark60">
        <w:r>
          <w:rPr/>
          <w:t>Table 8.2.</w:t>
        </w:r>
      </w:hyperlink>
    </w:p>
    <w:p>
      <w:pPr>
        <w:spacing w:after="0"/>
        <w:sectPr>
          <w:pgSz w:w="12240" w:h="15840"/>
          <w:pgMar w:header="0" w:footer="709" w:top="1400" w:bottom="980" w:left="1120" w:right="0"/>
        </w:sectPr>
      </w:pPr>
    </w:p>
    <w:p>
      <w:pPr>
        <w:spacing w:before="75"/>
        <w:ind w:left="320" w:right="0" w:firstLine="0"/>
        <w:jc w:val="left"/>
        <w:rPr>
          <w:b/>
          <w:sz w:val="20"/>
        </w:rPr>
      </w:pPr>
      <w:bookmarkStart w:name="_bookmark60" w:id="290"/>
      <w:bookmarkEnd w:id="290"/>
      <w:r>
        <w:rPr/>
      </w:r>
      <w:r>
        <w:rPr>
          <w:b/>
          <w:sz w:val="20"/>
        </w:rPr>
        <w:t>Table 8.2: Detailed Information of Intersection River Road @ Sam Orcutt Way</w:t>
      </w:r>
    </w:p>
    <w:tbl>
      <w:tblPr>
        <w:tblW w:w="0" w:type="auto"/>
        <w:jc w:val="left"/>
        <w:tblInd w:w="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53"/>
        <w:gridCol w:w="1375"/>
        <w:gridCol w:w="2060"/>
        <w:gridCol w:w="1039"/>
        <w:gridCol w:w="1098"/>
        <w:gridCol w:w="1131"/>
        <w:gridCol w:w="1098"/>
      </w:tblGrid>
      <w:tr>
        <w:trPr>
          <w:trHeight w:val="1149" w:hRule="atLeast"/>
        </w:trPr>
        <w:tc>
          <w:tcPr>
            <w:tcW w:w="1553" w:type="dxa"/>
            <w:tcBorders>
              <w:top w:val="single" w:sz="12" w:space="0" w:color="000000"/>
              <w:bottom w:val="single" w:sz="12" w:space="0" w:color="000000"/>
            </w:tcBorders>
          </w:tcPr>
          <w:p>
            <w:pPr>
              <w:pStyle w:val="TableParagraph"/>
              <w:rPr>
                <w:b/>
                <w:sz w:val="22"/>
              </w:rPr>
            </w:pPr>
          </w:p>
          <w:p>
            <w:pPr>
              <w:pStyle w:val="TableParagraph"/>
              <w:spacing w:before="10"/>
              <w:rPr>
                <w:b/>
                <w:sz w:val="17"/>
              </w:rPr>
            </w:pPr>
          </w:p>
          <w:p>
            <w:pPr>
              <w:pStyle w:val="TableParagraph"/>
              <w:ind w:left="108"/>
              <w:rPr>
                <w:b/>
                <w:sz w:val="20"/>
              </w:rPr>
            </w:pPr>
            <w:r>
              <w:rPr>
                <w:b/>
                <w:sz w:val="20"/>
              </w:rPr>
              <w:t>Project name</w:t>
            </w:r>
          </w:p>
        </w:tc>
        <w:tc>
          <w:tcPr>
            <w:tcW w:w="1375" w:type="dxa"/>
            <w:tcBorders>
              <w:top w:val="single" w:sz="12" w:space="0" w:color="000000"/>
              <w:bottom w:val="single" w:sz="12" w:space="0" w:color="000000"/>
            </w:tcBorders>
          </w:tcPr>
          <w:p>
            <w:pPr>
              <w:pStyle w:val="TableParagraph"/>
              <w:spacing w:before="113"/>
              <w:ind w:left="107"/>
              <w:rPr>
                <w:b/>
                <w:sz w:val="20"/>
              </w:rPr>
            </w:pPr>
            <w:r>
              <w:rPr>
                <w:b/>
                <w:sz w:val="20"/>
              </w:rPr>
              <w:t>Total population density (per square mile)</w:t>
            </w:r>
          </w:p>
        </w:tc>
        <w:tc>
          <w:tcPr>
            <w:tcW w:w="2060" w:type="dxa"/>
            <w:tcBorders>
              <w:top w:val="single" w:sz="12" w:space="0" w:color="000000"/>
              <w:bottom w:val="single" w:sz="12" w:space="0" w:color="000000"/>
            </w:tcBorders>
          </w:tcPr>
          <w:p>
            <w:pPr>
              <w:pStyle w:val="TableParagraph"/>
              <w:spacing w:before="10"/>
              <w:rPr>
                <w:b/>
                <w:sz w:val="19"/>
              </w:rPr>
            </w:pPr>
          </w:p>
          <w:p>
            <w:pPr>
              <w:pStyle w:val="TableParagraph"/>
              <w:ind w:left="107" w:right="104"/>
              <w:jc w:val="both"/>
              <w:rPr>
                <w:b/>
                <w:sz w:val="20"/>
              </w:rPr>
            </w:pPr>
            <w:r>
              <w:rPr>
                <w:b/>
                <w:sz w:val="20"/>
              </w:rPr>
              <w:t>Number of transit lines on go through intersection</w:t>
            </w:r>
          </w:p>
        </w:tc>
        <w:tc>
          <w:tcPr>
            <w:tcW w:w="1039" w:type="dxa"/>
            <w:tcBorders>
              <w:top w:val="single" w:sz="12" w:space="0" w:color="000000"/>
              <w:bottom w:val="single" w:sz="12" w:space="0" w:color="000000"/>
            </w:tcBorders>
          </w:tcPr>
          <w:p>
            <w:pPr>
              <w:pStyle w:val="TableParagraph"/>
              <w:spacing w:before="10"/>
              <w:rPr>
                <w:b/>
                <w:sz w:val="19"/>
              </w:rPr>
            </w:pPr>
          </w:p>
          <w:p>
            <w:pPr>
              <w:pStyle w:val="TableParagraph"/>
              <w:ind w:left="108"/>
              <w:rPr>
                <w:b/>
                <w:sz w:val="20"/>
              </w:rPr>
            </w:pPr>
            <w:r>
              <w:rPr>
                <w:b/>
                <w:sz w:val="20"/>
              </w:rPr>
              <w:t>AADT</w:t>
            </w:r>
          </w:p>
          <w:p>
            <w:pPr>
              <w:pStyle w:val="TableParagraph"/>
              <w:ind w:left="108"/>
              <w:rPr>
                <w:b/>
                <w:sz w:val="20"/>
              </w:rPr>
            </w:pPr>
            <w:r>
              <w:rPr>
                <w:b/>
                <w:sz w:val="20"/>
              </w:rPr>
              <w:t>on major road</w:t>
            </w:r>
          </w:p>
        </w:tc>
        <w:tc>
          <w:tcPr>
            <w:tcW w:w="1098" w:type="dxa"/>
            <w:tcBorders>
              <w:top w:val="single" w:sz="12" w:space="0" w:color="000000"/>
              <w:bottom w:val="single" w:sz="12" w:space="0" w:color="000000"/>
            </w:tcBorders>
          </w:tcPr>
          <w:p>
            <w:pPr>
              <w:pStyle w:val="TableParagraph"/>
              <w:spacing w:before="113"/>
              <w:ind w:left="108" w:right="120"/>
              <w:rPr>
                <w:b/>
                <w:sz w:val="20"/>
              </w:rPr>
            </w:pPr>
            <w:r>
              <w:rPr>
                <w:b/>
                <w:sz w:val="20"/>
              </w:rPr>
              <w:t>Major road: Presence of median</w:t>
            </w:r>
          </w:p>
        </w:tc>
        <w:tc>
          <w:tcPr>
            <w:tcW w:w="1131" w:type="dxa"/>
            <w:tcBorders>
              <w:top w:val="single" w:sz="12" w:space="0" w:color="000000"/>
              <w:bottom w:val="single" w:sz="12" w:space="0" w:color="000000"/>
            </w:tcBorders>
          </w:tcPr>
          <w:p>
            <w:pPr>
              <w:pStyle w:val="TableParagraph"/>
              <w:ind w:left="142"/>
              <w:rPr>
                <w:b/>
                <w:sz w:val="20"/>
              </w:rPr>
            </w:pPr>
            <w:r>
              <w:rPr>
                <w:b/>
                <w:sz w:val="20"/>
              </w:rPr>
              <w:t>Minor road: Presence</w:t>
            </w:r>
          </w:p>
          <w:p>
            <w:pPr>
              <w:pStyle w:val="TableParagraph"/>
              <w:tabs>
                <w:tab w:pos="536" w:val="left" w:leader="none"/>
              </w:tabs>
              <w:spacing w:line="230" w:lineRule="exact" w:before="2"/>
              <w:ind w:left="142" w:right="104"/>
              <w:rPr>
                <w:b/>
                <w:sz w:val="20"/>
              </w:rPr>
            </w:pPr>
            <w:r>
              <w:rPr>
                <w:b/>
                <w:sz w:val="20"/>
              </w:rPr>
              <w:t>of</w:t>
              <w:tab/>
            </w:r>
            <w:r>
              <w:rPr>
                <w:b/>
                <w:spacing w:val="-4"/>
                <w:sz w:val="20"/>
              </w:rPr>
              <w:t>right- </w:t>
            </w:r>
            <w:r>
              <w:rPr>
                <w:b/>
                <w:sz w:val="20"/>
              </w:rPr>
              <w:t>turn</w:t>
            </w:r>
            <w:r>
              <w:rPr>
                <w:b/>
                <w:spacing w:val="-1"/>
                <w:sz w:val="20"/>
              </w:rPr>
              <w:t> </w:t>
            </w:r>
            <w:r>
              <w:rPr>
                <w:b/>
                <w:sz w:val="20"/>
              </w:rPr>
              <w:t>lane</w:t>
            </w:r>
          </w:p>
        </w:tc>
        <w:tc>
          <w:tcPr>
            <w:tcW w:w="1098" w:type="dxa"/>
            <w:tcBorders>
              <w:top w:val="single" w:sz="12" w:space="0" w:color="000000"/>
              <w:bottom w:val="single" w:sz="12" w:space="0" w:color="000000"/>
            </w:tcBorders>
          </w:tcPr>
          <w:p>
            <w:pPr>
              <w:pStyle w:val="TableParagraph"/>
              <w:ind w:left="109" w:right="120"/>
              <w:rPr>
                <w:b/>
                <w:sz w:val="20"/>
              </w:rPr>
            </w:pPr>
            <w:r>
              <w:rPr>
                <w:b/>
                <w:sz w:val="20"/>
              </w:rPr>
              <w:t>Major road: Presence</w:t>
            </w:r>
          </w:p>
          <w:p>
            <w:pPr>
              <w:pStyle w:val="TableParagraph"/>
              <w:tabs>
                <w:tab w:pos="503" w:val="left" w:leader="none"/>
              </w:tabs>
              <w:spacing w:line="230" w:lineRule="exact" w:before="2"/>
              <w:ind w:left="109" w:right="104"/>
              <w:rPr>
                <w:b/>
                <w:sz w:val="20"/>
              </w:rPr>
            </w:pPr>
            <w:r>
              <w:rPr>
                <w:b/>
                <w:sz w:val="20"/>
              </w:rPr>
              <w:t>of</w:t>
              <w:tab/>
            </w:r>
            <w:r>
              <w:rPr>
                <w:b/>
                <w:spacing w:val="-4"/>
                <w:sz w:val="20"/>
              </w:rPr>
              <w:t>right- </w:t>
            </w:r>
            <w:r>
              <w:rPr>
                <w:b/>
                <w:sz w:val="20"/>
              </w:rPr>
              <w:t>turn</w:t>
            </w:r>
            <w:r>
              <w:rPr>
                <w:b/>
                <w:spacing w:val="-1"/>
                <w:sz w:val="20"/>
              </w:rPr>
              <w:t> </w:t>
            </w:r>
            <w:r>
              <w:rPr>
                <w:b/>
                <w:sz w:val="20"/>
              </w:rPr>
              <w:t>lane</w:t>
            </w:r>
          </w:p>
        </w:tc>
      </w:tr>
      <w:tr>
        <w:trPr>
          <w:trHeight w:val="914" w:hRule="atLeast"/>
        </w:trPr>
        <w:tc>
          <w:tcPr>
            <w:tcW w:w="1553" w:type="dxa"/>
            <w:tcBorders>
              <w:top w:val="single" w:sz="12" w:space="0" w:color="000000"/>
            </w:tcBorders>
          </w:tcPr>
          <w:p>
            <w:pPr>
              <w:pStyle w:val="TableParagraph"/>
              <w:tabs>
                <w:tab w:pos="1012" w:val="left" w:leader="none"/>
              </w:tabs>
              <w:ind w:left="107" w:right="105"/>
              <w:rPr>
                <w:sz w:val="20"/>
              </w:rPr>
            </w:pPr>
            <w:r>
              <w:rPr>
                <w:sz w:val="20"/>
              </w:rPr>
              <w:t>RIVER RD </w:t>
            </w:r>
            <w:r>
              <w:rPr>
                <w:spacing w:val="-7"/>
                <w:sz w:val="20"/>
              </w:rPr>
              <w:t>NE </w:t>
            </w:r>
            <w:r>
              <w:rPr>
                <w:sz w:val="20"/>
              </w:rPr>
              <w:t>@</w:t>
              <w:tab/>
            </w:r>
            <w:r>
              <w:rPr>
                <w:spacing w:val="-9"/>
                <w:sz w:val="20"/>
              </w:rPr>
              <w:t>SAM</w:t>
            </w:r>
          </w:p>
          <w:p>
            <w:pPr>
              <w:pStyle w:val="TableParagraph"/>
              <w:spacing w:line="230" w:lineRule="exact"/>
              <w:ind w:left="107"/>
              <w:rPr>
                <w:sz w:val="20"/>
              </w:rPr>
            </w:pPr>
            <w:r>
              <w:rPr>
                <w:sz w:val="20"/>
              </w:rPr>
              <w:t>ORCUTT</w:t>
            </w:r>
            <w:r>
              <w:rPr>
                <w:spacing w:val="5"/>
                <w:sz w:val="20"/>
              </w:rPr>
              <w:t> </w:t>
            </w:r>
            <w:r>
              <w:rPr>
                <w:sz w:val="20"/>
              </w:rPr>
              <w:t>WAY</w:t>
            </w:r>
          </w:p>
          <w:p>
            <w:pPr>
              <w:pStyle w:val="TableParagraph"/>
              <w:tabs>
                <w:tab w:pos="9355" w:val="left" w:leader="none"/>
              </w:tabs>
              <w:spacing w:line="210" w:lineRule="exact"/>
              <w:ind w:left="-15" w:right="-7805"/>
              <w:rPr>
                <w:sz w:val="20"/>
              </w:rPr>
            </w:pPr>
            <w:r>
              <w:rPr>
                <w:w w:val="100"/>
                <w:sz w:val="20"/>
                <w:u w:val="thick"/>
              </w:rPr>
              <w:t> </w:t>
            </w:r>
            <w:r>
              <w:rPr>
                <w:spacing w:val="22"/>
                <w:sz w:val="20"/>
                <w:u w:val="thick"/>
              </w:rPr>
              <w:t> </w:t>
            </w:r>
            <w:r>
              <w:rPr>
                <w:sz w:val="20"/>
                <w:u w:val="thick"/>
              </w:rPr>
              <w:t>NE</w:t>
              <w:tab/>
            </w:r>
          </w:p>
        </w:tc>
        <w:tc>
          <w:tcPr>
            <w:tcW w:w="1375" w:type="dxa"/>
            <w:tcBorders>
              <w:top w:val="single" w:sz="12" w:space="0" w:color="000000"/>
            </w:tcBorders>
          </w:tcPr>
          <w:p>
            <w:pPr>
              <w:pStyle w:val="TableParagraph"/>
              <w:spacing w:before="5"/>
              <w:rPr>
                <w:b/>
                <w:sz w:val="29"/>
              </w:rPr>
            </w:pPr>
          </w:p>
          <w:p>
            <w:pPr>
              <w:pStyle w:val="TableParagraph"/>
              <w:ind w:left="107"/>
              <w:rPr>
                <w:sz w:val="20"/>
              </w:rPr>
            </w:pPr>
            <w:r>
              <w:rPr>
                <w:sz w:val="20"/>
              </w:rPr>
              <w:t>5857</w:t>
            </w:r>
          </w:p>
        </w:tc>
        <w:tc>
          <w:tcPr>
            <w:tcW w:w="2060" w:type="dxa"/>
            <w:tcBorders>
              <w:top w:val="single" w:sz="12" w:space="0" w:color="000000"/>
            </w:tcBorders>
          </w:tcPr>
          <w:p>
            <w:pPr>
              <w:pStyle w:val="TableParagraph"/>
              <w:spacing w:before="5"/>
              <w:rPr>
                <w:b/>
                <w:sz w:val="29"/>
              </w:rPr>
            </w:pPr>
          </w:p>
          <w:p>
            <w:pPr>
              <w:pStyle w:val="TableParagraph"/>
              <w:ind w:left="107"/>
              <w:rPr>
                <w:sz w:val="20"/>
              </w:rPr>
            </w:pPr>
            <w:r>
              <w:rPr>
                <w:w w:val="100"/>
                <w:sz w:val="20"/>
              </w:rPr>
              <w:t>2</w:t>
            </w:r>
          </w:p>
        </w:tc>
        <w:tc>
          <w:tcPr>
            <w:tcW w:w="1039" w:type="dxa"/>
            <w:tcBorders>
              <w:top w:val="single" w:sz="12" w:space="0" w:color="000000"/>
            </w:tcBorders>
          </w:tcPr>
          <w:p>
            <w:pPr>
              <w:pStyle w:val="TableParagraph"/>
              <w:spacing w:before="5"/>
              <w:rPr>
                <w:b/>
                <w:sz w:val="29"/>
              </w:rPr>
            </w:pPr>
          </w:p>
          <w:p>
            <w:pPr>
              <w:pStyle w:val="TableParagraph"/>
              <w:ind w:left="108"/>
              <w:rPr>
                <w:sz w:val="20"/>
              </w:rPr>
            </w:pPr>
            <w:r>
              <w:rPr>
                <w:sz w:val="20"/>
              </w:rPr>
              <w:t>25500</w:t>
            </w:r>
          </w:p>
        </w:tc>
        <w:tc>
          <w:tcPr>
            <w:tcW w:w="1098" w:type="dxa"/>
            <w:tcBorders>
              <w:top w:val="single" w:sz="12" w:space="0" w:color="000000"/>
            </w:tcBorders>
          </w:tcPr>
          <w:p>
            <w:pPr>
              <w:pStyle w:val="TableParagraph"/>
              <w:spacing w:before="5"/>
              <w:rPr>
                <w:b/>
                <w:sz w:val="29"/>
              </w:rPr>
            </w:pPr>
          </w:p>
          <w:p>
            <w:pPr>
              <w:pStyle w:val="TableParagraph"/>
              <w:ind w:left="108"/>
              <w:rPr>
                <w:sz w:val="20"/>
              </w:rPr>
            </w:pPr>
            <w:r>
              <w:rPr>
                <w:sz w:val="20"/>
              </w:rPr>
              <w:t>No</w:t>
            </w:r>
          </w:p>
        </w:tc>
        <w:tc>
          <w:tcPr>
            <w:tcW w:w="1131" w:type="dxa"/>
            <w:tcBorders>
              <w:top w:val="single" w:sz="12" w:space="0" w:color="000000"/>
            </w:tcBorders>
          </w:tcPr>
          <w:p>
            <w:pPr>
              <w:pStyle w:val="TableParagraph"/>
              <w:spacing w:before="5"/>
              <w:rPr>
                <w:b/>
                <w:sz w:val="29"/>
              </w:rPr>
            </w:pPr>
          </w:p>
          <w:p>
            <w:pPr>
              <w:pStyle w:val="TableParagraph"/>
              <w:ind w:left="142"/>
              <w:rPr>
                <w:sz w:val="20"/>
              </w:rPr>
            </w:pPr>
            <w:r>
              <w:rPr>
                <w:sz w:val="20"/>
              </w:rPr>
              <w:t>No</w:t>
            </w:r>
          </w:p>
        </w:tc>
        <w:tc>
          <w:tcPr>
            <w:tcW w:w="1098" w:type="dxa"/>
            <w:tcBorders>
              <w:top w:val="single" w:sz="12" w:space="0" w:color="000000"/>
            </w:tcBorders>
          </w:tcPr>
          <w:p>
            <w:pPr>
              <w:pStyle w:val="TableParagraph"/>
              <w:spacing w:before="5"/>
              <w:rPr>
                <w:b/>
                <w:sz w:val="29"/>
              </w:rPr>
            </w:pPr>
          </w:p>
          <w:p>
            <w:pPr>
              <w:pStyle w:val="TableParagraph"/>
              <w:ind w:left="109"/>
              <w:rPr>
                <w:sz w:val="20"/>
              </w:rPr>
            </w:pPr>
            <w:r>
              <w:rPr>
                <w:sz w:val="20"/>
              </w:rPr>
              <w:t>No</w:t>
            </w:r>
          </w:p>
        </w:tc>
      </w:tr>
    </w:tbl>
    <w:p>
      <w:pPr>
        <w:pStyle w:val="BodyText"/>
        <w:spacing w:before="6"/>
        <w:rPr>
          <w:b/>
          <w:sz w:val="26"/>
        </w:rPr>
      </w:pPr>
    </w:p>
    <w:p>
      <w:pPr>
        <w:pStyle w:val="BodyText"/>
        <w:ind w:left="319" w:right="1610"/>
      </w:pPr>
      <w:r>
        <w:rPr/>
        <w:t>The next step is to use the tool/method to calculate the risk score. A user could easily self-score the location us</w:t>
      </w:r>
      <w:hyperlink w:history="true" w:anchor="_bookmark55">
        <w:r>
          <w:rPr/>
          <w:t>ing Table 7.3</w:t>
        </w:r>
      </w:hyperlink>
      <w:r>
        <w:rPr/>
        <w:t> or by using the spreadsheet tool and selecting the most appropriate one from drop-down lists for each variable. </w:t>
      </w:r>
      <w:hyperlink w:history="true" w:anchor="_bookmark61">
        <w:r>
          <w:rPr/>
          <w:t>Figure 8.1</w:t>
        </w:r>
      </w:hyperlink>
      <w:r>
        <w:rPr/>
        <w:t> shows the risk score of individual input and the total risk score, 67 points.</w:t>
      </w:r>
    </w:p>
    <w:p>
      <w:pPr>
        <w:pStyle w:val="BodyText"/>
        <w:spacing w:before="7"/>
        <w:rPr>
          <w:sz w:val="26"/>
        </w:rPr>
      </w:pPr>
      <w:r>
        <w:rPr/>
        <w:drawing>
          <wp:anchor distT="0" distB="0" distL="0" distR="0" allowOverlap="1" layoutInCell="1" locked="0" behindDoc="0" simplePos="0" relativeHeight="164">
            <wp:simplePos x="0" y="0"/>
            <wp:positionH relativeFrom="page">
              <wp:posOffset>979004</wp:posOffset>
            </wp:positionH>
            <wp:positionV relativeFrom="paragraph">
              <wp:posOffset>219434</wp:posOffset>
            </wp:positionV>
            <wp:extent cx="5795481" cy="2530982"/>
            <wp:effectExtent l="0" t="0" r="0" b="0"/>
            <wp:wrapTopAndBottom/>
            <wp:docPr id="59" name="image41.png" descr=""/>
            <wp:cNvGraphicFramePr>
              <a:graphicFrameLocks noChangeAspect="1"/>
            </wp:cNvGraphicFramePr>
            <a:graphic>
              <a:graphicData uri="http://schemas.openxmlformats.org/drawingml/2006/picture">
                <pic:pic>
                  <pic:nvPicPr>
                    <pic:cNvPr id="60" name="image41.png"/>
                    <pic:cNvPicPr/>
                  </pic:nvPicPr>
                  <pic:blipFill>
                    <a:blip r:embed="rId50" cstate="print"/>
                    <a:stretch>
                      <a:fillRect/>
                    </a:stretch>
                  </pic:blipFill>
                  <pic:spPr>
                    <a:xfrm>
                      <a:off x="0" y="0"/>
                      <a:ext cx="5795481" cy="2530982"/>
                    </a:xfrm>
                    <a:prstGeom prst="rect">
                      <a:avLst/>
                    </a:prstGeom>
                  </pic:spPr>
                </pic:pic>
              </a:graphicData>
            </a:graphic>
          </wp:anchor>
        </w:drawing>
      </w:r>
    </w:p>
    <w:p>
      <w:pPr>
        <w:pStyle w:val="BodyText"/>
        <w:spacing w:before="10"/>
        <w:rPr>
          <w:sz w:val="36"/>
        </w:rPr>
      </w:pPr>
    </w:p>
    <w:p>
      <w:pPr>
        <w:spacing w:before="0"/>
        <w:ind w:left="1019" w:right="0" w:firstLine="0"/>
        <w:jc w:val="left"/>
        <w:rPr>
          <w:sz w:val="20"/>
        </w:rPr>
      </w:pPr>
      <w:bookmarkStart w:name="_bookmark61" w:id="291"/>
      <w:bookmarkEnd w:id="291"/>
      <w:r>
        <w:rPr/>
      </w:r>
      <w:r>
        <w:rPr>
          <w:sz w:val="20"/>
        </w:rPr>
        <w:t>Figure 8.1: Calculated Risk Score of River Road @ Sam Orcutt Way with Excel Risk-Scoring Tool</w:t>
      </w:r>
    </w:p>
    <w:p>
      <w:pPr>
        <w:pStyle w:val="BodyText"/>
        <w:rPr>
          <w:sz w:val="22"/>
        </w:rPr>
      </w:pPr>
    </w:p>
    <w:p>
      <w:pPr>
        <w:pStyle w:val="BodyText"/>
        <w:spacing w:before="9"/>
        <w:rPr>
          <w:sz w:val="19"/>
        </w:rPr>
      </w:pPr>
    </w:p>
    <w:p>
      <w:pPr>
        <w:pStyle w:val="BodyText"/>
        <w:ind w:left="319" w:right="1610"/>
      </w:pPr>
      <w:r>
        <w:rPr/>
        <w:t>Following the same procedure, the risk scores of the remaining four intersections are calculated and listed in </w:t>
      </w:r>
      <w:hyperlink w:history="true" w:anchor="_bookmark62">
        <w:r>
          <w:rPr/>
          <w:t>Table 8.3</w:t>
        </w:r>
      </w:hyperlink>
      <w:r>
        <w:rPr/>
        <w:t>. The project order implied by the risk scores corresponds well to the project’s final B/C value. Referring to Table 7-6, the risk scores for the projects with the two highest B/C ratios are above the 75</w:t>
      </w:r>
      <w:r>
        <w:rPr>
          <w:vertAlign w:val="superscript"/>
        </w:rPr>
        <w:t>th</w:t>
      </w:r>
      <w:r>
        <w:rPr>
          <w:vertAlign w:val="baseline"/>
        </w:rPr>
        <w:t> percentile score (55). The lower-ranked B/C projects correspond to lower percentiles of the risk score. As ARTS projects go through a substantial evaluation process, higher risk scores might be expected.</w:t>
      </w:r>
    </w:p>
    <w:p>
      <w:pPr>
        <w:pStyle w:val="BodyText"/>
        <w:rPr>
          <w:sz w:val="26"/>
        </w:rPr>
      </w:pPr>
    </w:p>
    <w:p>
      <w:pPr>
        <w:pStyle w:val="BodyText"/>
        <w:spacing w:before="6"/>
        <w:rPr>
          <w:sz w:val="29"/>
        </w:rPr>
      </w:pPr>
    </w:p>
    <w:p>
      <w:pPr>
        <w:spacing w:before="0"/>
        <w:ind w:left="320" w:right="0" w:firstLine="0"/>
        <w:jc w:val="left"/>
        <w:rPr>
          <w:b/>
          <w:sz w:val="20"/>
        </w:rPr>
      </w:pPr>
      <w:bookmarkStart w:name="_bookmark62" w:id="292"/>
      <w:bookmarkEnd w:id="292"/>
      <w:r>
        <w:rPr/>
      </w:r>
      <w:r>
        <w:rPr>
          <w:b/>
          <w:sz w:val="20"/>
        </w:rPr>
        <w:t>Table 8.3: Risk Scores of Five Pedestrian Intersection Projects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24"/>
        <w:gridCol w:w="3902"/>
        <w:gridCol w:w="1197"/>
        <w:gridCol w:w="1259"/>
        <w:gridCol w:w="1757"/>
      </w:tblGrid>
      <w:tr>
        <w:trPr>
          <w:trHeight w:val="230" w:hRule="atLeast"/>
        </w:trPr>
        <w:tc>
          <w:tcPr>
            <w:tcW w:w="1124" w:type="dxa"/>
            <w:tcBorders>
              <w:left w:val="nil"/>
              <w:right w:val="single" w:sz="4" w:space="0" w:color="000000"/>
            </w:tcBorders>
          </w:tcPr>
          <w:p>
            <w:pPr>
              <w:pStyle w:val="TableParagraph"/>
              <w:spacing w:line="210" w:lineRule="exact"/>
              <w:ind w:left="137"/>
              <w:rPr>
                <w:b/>
                <w:sz w:val="20"/>
              </w:rPr>
            </w:pPr>
            <w:r>
              <w:rPr>
                <w:b/>
                <w:sz w:val="20"/>
              </w:rPr>
              <w:t>City</w:t>
            </w:r>
          </w:p>
        </w:tc>
        <w:tc>
          <w:tcPr>
            <w:tcW w:w="3902" w:type="dxa"/>
            <w:tcBorders>
              <w:left w:val="single" w:sz="4" w:space="0" w:color="000000"/>
              <w:right w:val="single" w:sz="4" w:space="0" w:color="000000"/>
            </w:tcBorders>
          </w:tcPr>
          <w:p>
            <w:pPr>
              <w:pStyle w:val="TableParagraph"/>
              <w:spacing w:line="210" w:lineRule="exact"/>
              <w:ind w:left="118"/>
              <w:rPr>
                <w:b/>
                <w:sz w:val="20"/>
              </w:rPr>
            </w:pPr>
            <w:r>
              <w:rPr>
                <w:b/>
                <w:sz w:val="20"/>
              </w:rPr>
              <w:t>Project Name</w:t>
            </w:r>
          </w:p>
        </w:tc>
        <w:tc>
          <w:tcPr>
            <w:tcW w:w="1197" w:type="dxa"/>
            <w:tcBorders>
              <w:left w:val="single" w:sz="4" w:space="0" w:color="000000"/>
              <w:right w:val="single" w:sz="4" w:space="0" w:color="000000"/>
            </w:tcBorders>
          </w:tcPr>
          <w:p>
            <w:pPr>
              <w:pStyle w:val="TableParagraph"/>
              <w:spacing w:line="210" w:lineRule="exact"/>
              <w:ind w:left="118"/>
              <w:rPr>
                <w:b/>
                <w:sz w:val="20"/>
              </w:rPr>
            </w:pPr>
            <w:r>
              <w:rPr>
                <w:b/>
                <w:sz w:val="20"/>
              </w:rPr>
              <w:t>B/C</w:t>
            </w:r>
          </w:p>
        </w:tc>
        <w:tc>
          <w:tcPr>
            <w:tcW w:w="1259" w:type="dxa"/>
            <w:tcBorders>
              <w:left w:val="single" w:sz="4" w:space="0" w:color="000000"/>
              <w:right w:val="single" w:sz="4" w:space="0" w:color="000000"/>
            </w:tcBorders>
          </w:tcPr>
          <w:p>
            <w:pPr>
              <w:pStyle w:val="TableParagraph"/>
              <w:spacing w:line="210" w:lineRule="exact"/>
              <w:ind w:left="119"/>
              <w:rPr>
                <w:b/>
                <w:sz w:val="20"/>
              </w:rPr>
            </w:pPr>
            <w:r>
              <w:rPr>
                <w:b/>
                <w:sz w:val="20"/>
              </w:rPr>
              <w:t>Risk Score</w:t>
            </w:r>
          </w:p>
        </w:tc>
        <w:tc>
          <w:tcPr>
            <w:tcW w:w="1757" w:type="dxa"/>
            <w:tcBorders>
              <w:left w:val="single" w:sz="4" w:space="0" w:color="000000"/>
              <w:right w:val="nil"/>
            </w:tcBorders>
          </w:tcPr>
          <w:p>
            <w:pPr>
              <w:pStyle w:val="TableParagraph"/>
              <w:spacing w:line="210" w:lineRule="exact"/>
              <w:ind w:left="120"/>
              <w:rPr>
                <w:b/>
                <w:sz w:val="20"/>
              </w:rPr>
            </w:pPr>
            <w:r>
              <w:rPr>
                <w:b/>
                <w:sz w:val="20"/>
              </w:rPr>
              <w:t>Risk Percentile</w:t>
            </w:r>
          </w:p>
        </w:tc>
      </w:tr>
      <w:tr>
        <w:trPr>
          <w:trHeight w:val="230" w:hRule="atLeast"/>
        </w:trPr>
        <w:tc>
          <w:tcPr>
            <w:tcW w:w="1124" w:type="dxa"/>
            <w:tcBorders>
              <w:left w:val="nil"/>
              <w:bottom w:val="single" w:sz="4" w:space="0" w:color="000000"/>
              <w:right w:val="single" w:sz="4" w:space="0" w:color="000000"/>
            </w:tcBorders>
          </w:tcPr>
          <w:p>
            <w:pPr>
              <w:pStyle w:val="TableParagraph"/>
              <w:spacing w:line="210" w:lineRule="exact"/>
              <w:ind w:left="137"/>
              <w:rPr>
                <w:sz w:val="20"/>
              </w:rPr>
            </w:pPr>
            <w:r>
              <w:rPr>
                <w:sz w:val="20"/>
              </w:rPr>
              <w:t>Keizer</w:t>
            </w:r>
          </w:p>
        </w:tc>
        <w:tc>
          <w:tcPr>
            <w:tcW w:w="3902" w:type="dxa"/>
            <w:tcBorders>
              <w:left w:val="single" w:sz="4" w:space="0" w:color="000000"/>
              <w:bottom w:val="single" w:sz="4" w:space="0" w:color="000000"/>
              <w:right w:val="single" w:sz="4" w:space="0" w:color="000000"/>
            </w:tcBorders>
          </w:tcPr>
          <w:p>
            <w:pPr>
              <w:pStyle w:val="TableParagraph"/>
              <w:spacing w:line="210" w:lineRule="exact"/>
              <w:ind w:left="118"/>
              <w:rPr>
                <w:sz w:val="20"/>
              </w:rPr>
            </w:pPr>
            <w:r>
              <w:rPr>
                <w:sz w:val="20"/>
              </w:rPr>
              <w:t>RIVER RD NE @ SAM ORCUTT WAY NE</w:t>
            </w:r>
          </w:p>
        </w:tc>
        <w:tc>
          <w:tcPr>
            <w:tcW w:w="1197" w:type="dxa"/>
            <w:tcBorders>
              <w:left w:val="single" w:sz="4" w:space="0" w:color="000000"/>
              <w:bottom w:val="single" w:sz="4" w:space="0" w:color="000000"/>
              <w:right w:val="single" w:sz="4" w:space="0" w:color="000000"/>
            </w:tcBorders>
          </w:tcPr>
          <w:p>
            <w:pPr>
              <w:pStyle w:val="TableParagraph"/>
              <w:spacing w:line="210" w:lineRule="exact"/>
              <w:ind w:left="118"/>
              <w:rPr>
                <w:sz w:val="20"/>
              </w:rPr>
            </w:pPr>
            <w:r>
              <w:rPr>
                <w:sz w:val="20"/>
              </w:rPr>
              <w:t>17.16</w:t>
            </w:r>
          </w:p>
        </w:tc>
        <w:tc>
          <w:tcPr>
            <w:tcW w:w="1259" w:type="dxa"/>
            <w:tcBorders>
              <w:left w:val="single" w:sz="4" w:space="0" w:color="000000"/>
              <w:bottom w:val="single" w:sz="4" w:space="0" w:color="000000"/>
              <w:right w:val="single" w:sz="4" w:space="0" w:color="000000"/>
            </w:tcBorders>
          </w:tcPr>
          <w:p>
            <w:pPr>
              <w:pStyle w:val="TableParagraph"/>
              <w:spacing w:line="210" w:lineRule="exact"/>
              <w:ind w:left="119"/>
              <w:rPr>
                <w:sz w:val="20"/>
              </w:rPr>
            </w:pPr>
            <w:r>
              <w:rPr>
                <w:sz w:val="20"/>
              </w:rPr>
              <w:t>67</w:t>
            </w:r>
          </w:p>
        </w:tc>
        <w:tc>
          <w:tcPr>
            <w:tcW w:w="1757" w:type="dxa"/>
            <w:tcBorders>
              <w:left w:val="single" w:sz="4" w:space="0" w:color="000000"/>
              <w:bottom w:val="single" w:sz="4" w:space="0" w:color="000000"/>
              <w:right w:val="nil"/>
            </w:tcBorders>
          </w:tcPr>
          <w:p>
            <w:pPr>
              <w:pStyle w:val="TableParagraph"/>
              <w:spacing w:line="210" w:lineRule="exact"/>
              <w:ind w:left="120"/>
              <w:rPr>
                <w:sz w:val="20"/>
              </w:rPr>
            </w:pPr>
            <w:r>
              <w:rPr>
                <w:sz w:val="20"/>
              </w:rPr>
              <w:t>&gt; 75</w:t>
            </w:r>
            <w:r>
              <w:rPr>
                <w:sz w:val="20"/>
                <w:vertAlign w:val="superscript"/>
              </w:rPr>
              <w:t>th</w:t>
            </w:r>
          </w:p>
        </w:tc>
      </w:tr>
      <w:tr>
        <w:trPr>
          <w:trHeight w:val="229" w:hRule="atLeast"/>
        </w:trPr>
        <w:tc>
          <w:tcPr>
            <w:tcW w:w="1124" w:type="dxa"/>
            <w:tcBorders>
              <w:top w:val="single" w:sz="4" w:space="0" w:color="000000"/>
              <w:left w:val="nil"/>
              <w:bottom w:val="single" w:sz="4" w:space="0" w:color="000000"/>
              <w:right w:val="single" w:sz="4" w:space="0" w:color="000000"/>
            </w:tcBorders>
          </w:tcPr>
          <w:p>
            <w:pPr>
              <w:pStyle w:val="TableParagraph"/>
              <w:spacing w:line="210" w:lineRule="exact"/>
              <w:ind w:left="137"/>
              <w:rPr>
                <w:sz w:val="20"/>
              </w:rPr>
            </w:pPr>
            <w:r>
              <w:rPr>
                <w:sz w:val="20"/>
              </w:rPr>
              <w:t>Beaverton</w:t>
            </w:r>
          </w:p>
        </w:tc>
        <w:tc>
          <w:tcPr>
            <w:tcW w:w="3902"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8"/>
              <w:rPr>
                <w:sz w:val="20"/>
              </w:rPr>
            </w:pPr>
            <w:r>
              <w:rPr>
                <w:sz w:val="20"/>
              </w:rPr>
              <w:t>SW Hall Blvd @ SW Nimbus Ave</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8"/>
              <w:rPr>
                <w:sz w:val="20"/>
              </w:rPr>
            </w:pPr>
            <w:r>
              <w:rPr>
                <w:sz w:val="20"/>
              </w:rPr>
              <w:t>17</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19"/>
              <w:rPr>
                <w:sz w:val="20"/>
              </w:rPr>
            </w:pPr>
            <w:r>
              <w:rPr>
                <w:sz w:val="20"/>
              </w:rPr>
              <w:t>63</w:t>
            </w:r>
          </w:p>
        </w:tc>
        <w:tc>
          <w:tcPr>
            <w:tcW w:w="1757" w:type="dxa"/>
            <w:tcBorders>
              <w:top w:val="single" w:sz="4" w:space="0" w:color="000000"/>
              <w:left w:val="single" w:sz="4" w:space="0" w:color="000000"/>
              <w:bottom w:val="single" w:sz="4" w:space="0" w:color="000000"/>
              <w:right w:val="nil"/>
            </w:tcBorders>
          </w:tcPr>
          <w:p>
            <w:pPr>
              <w:pStyle w:val="TableParagraph"/>
              <w:spacing w:line="210" w:lineRule="exact"/>
              <w:ind w:left="120"/>
              <w:rPr>
                <w:sz w:val="20"/>
              </w:rPr>
            </w:pPr>
            <w:r>
              <w:rPr>
                <w:sz w:val="20"/>
              </w:rPr>
              <w:t>&gt; 75</w:t>
            </w:r>
            <w:r>
              <w:rPr>
                <w:sz w:val="20"/>
                <w:vertAlign w:val="superscript"/>
              </w:rPr>
              <w:t>th</w:t>
            </w:r>
          </w:p>
        </w:tc>
      </w:tr>
      <w:tr>
        <w:trPr>
          <w:trHeight w:val="459" w:hRule="atLeast"/>
        </w:trPr>
        <w:tc>
          <w:tcPr>
            <w:tcW w:w="1124" w:type="dxa"/>
            <w:tcBorders>
              <w:top w:val="single" w:sz="4" w:space="0" w:color="000000"/>
              <w:left w:val="nil"/>
              <w:bottom w:val="single" w:sz="4" w:space="0" w:color="000000"/>
              <w:right w:val="single" w:sz="4" w:space="0" w:color="000000"/>
            </w:tcBorders>
          </w:tcPr>
          <w:p>
            <w:pPr>
              <w:pStyle w:val="TableParagraph"/>
              <w:spacing w:before="112"/>
              <w:ind w:left="137"/>
              <w:rPr>
                <w:sz w:val="20"/>
              </w:rPr>
            </w:pPr>
            <w:r>
              <w:rPr>
                <w:sz w:val="20"/>
              </w:rPr>
              <w:t>Eugene</w:t>
            </w:r>
          </w:p>
        </w:tc>
        <w:tc>
          <w:tcPr>
            <w:tcW w:w="3902"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8"/>
              <w:rPr>
                <w:sz w:val="20"/>
              </w:rPr>
            </w:pPr>
            <w:r>
              <w:rPr>
                <w:sz w:val="20"/>
              </w:rPr>
              <w:t>I 105 @ MP 1.8: COBURG RD @ MLK JR BLVD</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before="112"/>
              <w:ind w:left="118"/>
              <w:rPr>
                <w:sz w:val="20"/>
              </w:rPr>
            </w:pPr>
            <w:r>
              <w:rPr>
                <w:sz w:val="20"/>
              </w:rPr>
              <w:t>9.87</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before="112"/>
              <w:ind w:left="119"/>
              <w:rPr>
                <w:sz w:val="20"/>
              </w:rPr>
            </w:pPr>
            <w:r>
              <w:rPr>
                <w:sz w:val="20"/>
              </w:rPr>
              <w:t>58</w:t>
            </w:r>
          </w:p>
        </w:tc>
        <w:tc>
          <w:tcPr>
            <w:tcW w:w="1757" w:type="dxa"/>
            <w:tcBorders>
              <w:top w:val="single" w:sz="4" w:space="0" w:color="000000"/>
              <w:left w:val="single" w:sz="4" w:space="0" w:color="000000"/>
              <w:bottom w:val="single" w:sz="4" w:space="0" w:color="000000"/>
              <w:right w:val="nil"/>
            </w:tcBorders>
          </w:tcPr>
          <w:p>
            <w:pPr>
              <w:pStyle w:val="TableParagraph"/>
              <w:spacing w:before="112"/>
              <w:ind w:left="120"/>
              <w:rPr>
                <w:sz w:val="20"/>
              </w:rPr>
            </w:pPr>
            <w:r>
              <w:rPr>
                <w:sz w:val="20"/>
              </w:rPr>
              <w:t>&gt; 75</w:t>
            </w:r>
            <w:r>
              <w:rPr>
                <w:sz w:val="20"/>
                <w:vertAlign w:val="superscript"/>
              </w:rPr>
              <w:t>th</w:t>
            </w:r>
          </w:p>
        </w:tc>
      </w:tr>
      <w:tr>
        <w:trPr>
          <w:trHeight w:val="228" w:hRule="atLeast"/>
        </w:trPr>
        <w:tc>
          <w:tcPr>
            <w:tcW w:w="1124" w:type="dxa"/>
            <w:tcBorders>
              <w:top w:val="single" w:sz="4" w:space="0" w:color="000000"/>
              <w:left w:val="nil"/>
              <w:bottom w:val="single" w:sz="4" w:space="0" w:color="000000"/>
              <w:right w:val="single" w:sz="4" w:space="0" w:color="000000"/>
            </w:tcBorders>
          </w:tcPr>
          <w:p>
            <w:pPr>
              <w:pStyle w:val="TableParagraph"/>
              <w:spacing w:line="209" w:lineRule="exact"/>
              <w:ind w:left="137"/>
              <w:rPr>
                <w:sz w:val="20"/>
              </w:rPr>
            </w:pPr>
            <w:r>
              <w:rPr>
                <w:sz w:val="20"/>
              </w:rPr>
              <w:t>Albany</w:t>
            </w:r>
          </w:p>
        </w:tc>
        <w:tc>
          <w:tcPr>
            <w:tcW w:w="3902"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18"/>
              <w:rPr>
                <w:sz w:val="20"/>
              </w:rPr>
            </w:pPr>
            <w:r>
              <w:rPr>
                <w:sz w:val="20"/>
              </w:rPr>
              <w:t>GEARY ST @ QUEEN AVE</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18"/>
              <w:rPr>
                <w:sz w:val="20"/>
              </w:rPr>
            </w:pPr>
            <w:r>
              <w:rPr>
                <w:sz w:val="20"/>
              </w:rPr>
              <w:t>7.13</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09" w:lineRule="exact"/>
              <w:ind w:left="119"/>
              <w:rPr>
                <w:sz w:val="20"/>
              </w:rPr>
            </w:pPr>
            <w:r>
              <w:rPr>
                <w:sz w:val="20"/>
              </w:rPr>
              <w:t>46</w:t>
            </w:r>
          </w:p>
        </w:tc>
        <w:tc>
          <w:tcPr>
            <w:tcW w:w="1757" w:type="dxa"/>
            <w:tcBorders>
              <w:top w:val="single" w:sz="4" w:space="0" w:color="000000"/>
              <w:left w:val="single" w:sz="4" w:space="0" w:color="000000"/>
              <w:bottom w:val="single" w:sz="4" w:space="0" w:color="000000"/>
              <w:right w:val="nil"/>
            </w:tcBorders>
          </w:tcPr>
          <w:p>
            <w:pPr>
              <w:pStyle w:val="TableParagraph"/>
              <w:spacing w:line="209" w:lineRule="exact"/>
              <w:ind w:left="120"/>
              <w:rPr>
                <w:sz w:val="20"/>
              </w:rPr>
            </w:pPr>
            <w:r>
              <w:rPr>
                <w:sz w:val="20"/>
              </w:rPr>
              <w:t>= 50</w:t>
            </w:r>
            <w:r>
              <w:rPr>
                <w:sz w:val="20"/>
                <w:vertAlign w:val="superscript"/>
              </w:rPr>
              <w:t>th</w:t>
            </w:r>
          </w:p>
        </w:tc>
      </w:tr>
      <w:tr>
        <w:trPr>
          <w:trHeight w:val="233" w:hRule="atLeast"/>
        </w:trPr>
        <w:tc>
          <w:tcPr>
            <w:tcW w:w="1124" w:type="dxa"/>
            <w:tcBorders>
              <w:top w:val="single" w:sz="4" w:space="0" w:color="000000"/>
              <w:left w:val="nil"/>
              <w:right w:val="single" w:sz="4" w:space="0" w:color="000000"/>
            </w:tcBorders>
          </w:tcPr>
          <w:p>
            <w:pPr>
              <w:pStyle w:val="TableParagraph"/>
              <w:spacing w:line="214" w:lineRule="exact"/>
              <w:ind w:left="137"/>
              <w:rPr>
                <w:sz w:val="20"/>
              </w:rPr>
            </w:pPr>
            <w:r>
              <w:rPr>
                <w:sz w:val="20"/>
              </w:rPr>
              <w:t>Salem</w:t>
            </w:r>
          </w:p>
        </w:tc>
        <w:tc>
          <w:tcPr>
            <w:tcW w:w="3902" w:type="dxa"/>
            <w:tcBorders>
              <w:top w:val="single" w:sz="4" w:space="0" w:color="000000"/>
              <w:left w:val="single" w:sz="4" w:space="0" w:color="000000"/>
              <w:right w:val="single" w:sz="4" w:space="0" w:color="000000"/>
            </w:tcBorders>
          </w:tcPr>
          <w:p>
            <w:pPr>
              <w:pStyle w:val="TableParagraph"/>
              <w:spacing w:line="214" w:lineRule="exact"/>
              <w:ind w:left="118"/>
              <w:rPr>
                <w:sz w:val="20"/>
              </w:rPr>
            </w:pPr>
            <w:r>
              <w:rPr>
                <w:sz w:val="20"/>
              </w:rPr>
              <w:t>BROADWAY ST NE @ PINE ST NE</w:t>
            </w:r>
          </w:p>
        </w:tc>
        <w:tc>
          <w:tcPr>
            <w:tcW w:w="1197" w:type="dxa"/>
            <w:tcBorders>
              <w:top w:val="single" w:sz="4" w:space="0" w:color="000000"/>
              <w:left w:val="single" w:sz="4" w:space="0" w:color="000000"/>
              <w:right w:val="single" w:sz="4" w:space="0" w:color="000000"/>
            </w:tcBorders>
          </w:tcPr>
          <w:p>
            <w:pPr>
              <w:pStyle w:val="TableParagraph"/>
              <w:spacing w:line="214" w:lineRule="exact"/>
              <w:ind w:left="118"/>
              <w:rPr>
                <w:sz w:val="20"/>
              </w:rPr>
            </w:pPr>
            <w:r>
              <w:rPr>
                <w:sz w:val="20"/>
              </w:rPr>
              <w:t>2.45</w:t>
            </w:r>
          </w:p>
        </w:tc>
        <w:tc>
          <w:tcPr>
            <w:tcW w:w="1259" w:type="dxa"/>
            <w:tcBorders>
              <w:top w:val="single" w:sz="4" w:space="0" w:color="000000"/>
              <w:left w:val="single" w:sz="4" w:space="0" w:color="000000"/>
              <w:right w:val="single" w:sz="4" w:space="0" w:color="000000"/>
            </w:tcBorders>
          </w:tcPr>
          <w:p>
            <w:pPr>
              <w:pStyle w:val="TableParagraph"/>
              <w:spacing w:line="214" w:lineRule="exact"/>
              <w:ind w:left="119"/>
              <w:rPr>
                <w:sz w:val="20"/>
              </w:rPr>
            </w:pPr>
            <w:r>
              <w:rPr>
                <w:sz w:val="20"/>
              </w:rPr>
              <w:t>53</w:t>
            </w:r>
          </w:p>
        </w:tc>
        <w:tc>
          <w:tcPr>
            <w:tcW w:w="1757" w:type="dxa"/>
            <w:tcBorders>
              <w:top w:val="single" w:sz="4" w:space="0" w:color="000000"/>
              <w:left w:val="single" w:sz="4" w:space="0" w:color="000000"/>
              <w:right w:val="nil"/>
            </w:tcBorders>
          </w:tcPr>
          <w:p>
            <w:pPr>
              <w:pStyle w:val="TableParagraph"/>
              <w:spacing w:line="214" w:lineRule="exact"/>
              <w:ind w:left="120"/>
              <w:rPr>
                <w:sz w:val="20"/>
              </w:rPr>
            </w:pPr>
            <w:r>
              <w:rPr>
                <w:sz w:val="20"/>
              </w:rPr>
              <w:t>= 75</w:t>
            </w:r>
            <w:r>
              <w:rPr>
                <w:sz w:val="20"/>
                <w:vertAlign w:val="superscript"/>
              </w:rPr>
              <w:t>th</w:t>
            </w:r>
          </w:p>
        </w:tc>
      </w:tr>
    </w:tbl>
    <w:p>
      <w:pPr>
        <w:spacing w:after="0" w:line="214" w:lineRule="exact"/>
        <w:rPr>
          <w:sz w:val="20"/>
        </w:rPr>
        <w:sectPr>
          <w:pgSz w:w="12240" w:h="15840"/>
          <w:pgMar w:header="0" w:footer="709" w:top="920" w:bottom="980" w:left="1120" w:right="0"/>
        </w:sectPr>
      </w:pPr>
    </w:p>
    <w:p>
      <w:pPr>
        <w:pStyle w:val="BodyText"/>
        <w:spacing w:before="72"/>
        <w:ind w:left="320" w:right="1541"/>
      </w:pPr>
      <w:r>
        <w:rPr/>
        <w:t>A similar exercise was conducted for another five intersection projects that relate to bicycles. Following the same steps described above in data gathering and evaluation, the risk scores are list</w:t>
      </w:r>
      <w:hyperlink w:history="true" w:anchor="_bookmark63">
        <w:r>
          <w:rPr/>
          <w:t>ed in Table 8.4</w:t>
        </w:r>
      </w:hyperlink>
      <w:r>
        <w:rPr/>
        <w:t>. As shown, the higher risk scores align with the higher B/C ratios with the exception of the Albany project. The 75</w:t>
      </w:r>
      <w:r>
        <w:rPr>
          <w:vertAlign w:val="superscript"/>
        </w:rPr>
        <w:t>th</w:t>
      </w:r>
      <w:r>
        <w:rPr>
          <w:vertAlign w:val="baseline"/>
        </w:rPr>
        <w:t> percentile risk score is 42.75 from Table 7.6; all of the projects are below this value.</w:t>
      </w:r>
    </w:p>
    <w:p>
      <w:pPr>
        <w:pStyle w:val="BodyText"/>
        <w:spacing w:before="1"/>
        <w:rPr>
          <w:sz w:val="21"/>
        </w:rPr>
      </w:pPr>
    </w:p>
    <w:p>
      <w:pPr>
        <w:spacing w:before="1"/>
        <w:ind w:left="320" w:right="0" w:firstLine="0"/>
        <w:jc w:val="left"/>
        <w:rPr>
          <w:b/>
          <w:sz w:val="20"/>
        </w:rPr>
      </w:pPr>
      <w:bookmarkStart w:name="_bookmark63" w:id="293"/>
      <w:bookmarkEnd w:id="293"/>
      <w:r>
        <w:rPr/>
      </w:r>
      <w:r>
        <w:rPr>
          <w:b/>
          <w:sz w:val="20"/>
        </w:rPr>
        <w:t>Table 8.4: Risk Scores of Five Intersection Projects for Bicycles</w:t>
      </w:r>
    </w:p>
    <w:tbl>
      <w:tblPr>
        <w:tblW w:w="0" w:type="auto"/>
        <w:jc w:val="left"/>
        <w:tblInd w:w="3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838"/>
        <w:gridCol w:w="2396"/>
        <w:gridCol w:w="3532"/>
        <w:gridCol w:w="720"/>
        <w:gridCol w:w="870"/>
        <w:gridCol w:w="870"/>
      </w:tblGrid>
      <w:tr>
        <w:trPr>
          <w:trHeight w:val="688" w:hRule="atLeast"/>
        </w:trPr>
        <w:tc>
          <w:tcPr>
            <w:tcW w:w="838" w:type="dxa"/>
            <w:tcBorders>
              <w:left w:val="nil"/>
              <w:right w:val="single" w:sz="4" w:space="0" w:color="000000"/>
            </w:tcBorders>
          </w:tcPr>
          <w:p>
            <w:pPr>
              <w:pStyle w:val="TableParagraph"/>
              <w:spacing w:before="9"/>
              <w:rPr>
                <w:b/>
                <w:sz w:val="19"/>
              </w:rPr>
            </w:pPr>
          </w:p>
          <w:p>
            <w:pPr>
              <w:pStyle w:val="TableParagraph"/>
              <w:spacing w:before="1"/>
              <w:ind w:left="136"/>
              <w:rPr>
                <w:b/>
                <w:sz w:val="20"/>
              </w:rPr>
            </w:pPr>
            <w:r>
              <w:rPr>
                <w:b/>
                <w:sz w:val="20"/>
              </w:rPr>
              <w:t>City</w:t>
            </w:r>
          </w:p>
        </w:tc>
        <w:tc>
          <w:tcPr>
            <w:tcW w:w="2396" w:type="dxa"/>
            <w:tcBorders>
              <w:left w:val="single" w:sz="4" w:space="0" w:color="000000"/>
              <w:right w:val="single" w:sz="4" w:space="0" w:color="000000"/>
            </w:tcBorders>
          </w:tcPr>
          <w:p>
            <w:pPr>
              <w:pStyle w:val="TableParagraph"/>
              <w:spacing w:before="9"/>
              <w:rPr>
                <w:b/>
                <w:sz w:val="19"/>
              </w:rPr>
            </w:pPr>
          </w:p>
          <w:p>
            <w:pPr>
              <w:pStyle w:val="TableParagraph"/>
              <w:spacing w:before="1"/>
              <w:ind w:left="117"/>
              <w:rPr>
                <w:b/>
                <w:sz w:val="20"/>
              </w:rPr>
            </w:pPr>
            <w:r>
              <w:rPr>
                <w:b/>
                <w:sz w:val="20"/>
              </w:rPr>
              <w:t>Project Name</w:t>
            </w:r>
          </w:p>
        </w:tc>
        <w:tc>
          <w:tcPr>
            <w:tcW w:w="3532" w:type="dxa"/>
            <w:tcBorders>
              <w:left w:val="single" w:sz="4" w:space="0" w:color="000000"/>
              <w:right w:val="single" w:sz="4" w:space="0" w:color="000000"/>
            </w:tcBorders>
          </w:tcPr>
          <w:p>
            <w:pPr>
              <w:pStyle w:val="TableParagraph"/>
              <w:spacing w:before="9"/>
              <w:rPr>
                <w:b/>
                <w:sz w:val="19"/>
              </w:rPr>
            </w:pPr>
          </w:p>
          <w:p>
            <w:pPr>
              <w:pStyle w:val="TableParagraph"/>
              <w:spacing w:before="1"/>
              <w:ind w:left="116"/>
              <w:rPr>
                <w:b/>
                <w:sz w:val="20"/>
              </w:rPr>
            </w:pPr>
            <w:r>
              <w:rPr>
                <w:b/>
                <w:sz w:val="20"/>
              </w:rPr>
              <w:t>Countermeasures</w:t>
            </w:r>
          </w:p>
        </w:tc>
        <w:tc>
          <w:tcPr>
            <w:tcW w:w="720" w:type="dxa"/>
            <w:tcBorders>
              <w:left w:val="single" w:sz="4" w:space="0" w:color="000000"/>
              <w:right w:val="single" w:sz="4" w:space="0" w:color="000000"/>
            </w:tcBorders>
          </w:tcPr>
          <w:p>
            <w:pPr>
              <w:pStyle w:val="TableParagraph"/>
              <w:spacing w:before="9"/>
              <w:rPr>
                <w:b/>
                <w:sz w:val="19"/>
              </w:rPr>
            </w:pPr>
          </w:p>
          <w:p>
            <w:pPr>
              <w:pStyle w:val="TableParagraph"/>
              <w:spacing w:before="1"/>
              <w:ind w:left="115"/>
              <w:rPr>
                <w:b/>
                <w:sz w:val="20"/>
              </w:rPr>
            </w:pPr>
            <w:r>
              <w:rPr>
                <w:b/>
                <w:sz w:val="20"/>
              </w:rPr>
              <w:t>BC</w:t>
            </w:r>
          </w:p>
        </w:tc>
        <w:tc>
          <w:tcPr>
            <w:tcW w:w="870" w:type="dxa"/>
            <w:tcBorders>
              <w:left w:val="single" w:sz="4" w:space="0" w:color="000000"/>
              <w:right w:val="single" w:sz="4" w:space="0" w:color="000000"/>
            </w:tcBorders>
          </w:tcPr>
          <w:p>
            <w:pPr>
              <w:pStyle w:val="TableParagraph"/>
              <w:spacing w:before="113"/>
              <w:ind w:left="115" w:right="247"/>
              <w:rPr>
                <w:b/>
                <w:sz w:val="20"/>
              </w:rPr>
            </w:pPr>
            <w:r>
              <w:rPr>
                <w:b/>
                <w:sz w:val="20"/>
              </w:rPr>
              <w:t>Risk Score</w:t>
            </w:r>
          </w:p>
        </w:tc>
        <w:tc>
          <w:tcPr>
            <w:tcW w:w="870" w:type="dxa"/>
            <w:tcBorders>
              <w:left w:val="single" w:sz="4" w:space="0" w:color="000000"/>
              <w:right w:val="nil"/>
            </w:tcBorders>
          </w:tcPr>
          <w:p>
            <w:pPr>
              <w:pStyle w:val="TableParagraph"/>
              <w:ind w:left="115" w:right="141"/>
              <w:rPr>
                <w:b/>
                <w:sz w:val="20"/>
              </w:rPr>
            </w:pPr>
            <w:r>
              <w:rPr>
                <w:b/>
                <w:sz w:val="20"/>
              </w:rPr>
              <w:t>Risk Percen</w:t>
            </w:r>
          </w:p>
          <w:p>
            <w:pPr>
              <w:pStyle w:val="TableParagraph"/>
              <w:spacing w:line="210" w:lineRule="exact"/>
              <w:ind w:left="115"/>
              <w:rPr>
                <w:b/>
                <w:sz w:val="20"/>
              </w:rPr>
            </w:pPr>
            <w:r>
              <w:rPr>
                <w:b/>
                <w:sz w:val="20"/>
              </w:rPr>
              <w:t>tile</w:t>
            </w:r>
          </w:p>
        </w:tc>
      </w:tr>
      <w:tr>
        <w:trPr>
          <w:trHeight w:val="1150" w:hRule="atLeast"/>
        </w:trPr>
        <w:tc>
          <w:tcPr>
            <w:tcW w:w="838" w:type="dxa"/>
            <w:tcBorders>
              <w:left w:val="nil"/>
              <w:bottom w:val="single" w:sz="4" w:space="0" w:color="000000"/>
              <w:right w:val="single" w:sz="4" w:space="0" w:color="000000"/>
            </w:tcBorders>
          </w:tcPr>
          <w:p>
            <w:pPr>
              <w:pStyle w:val="TableParagraph"/>
              <w:rPr>
                <w:b/>
                <w:sz w:val="22"/>
              </w:rPr>
            </w:pPr>
          </w:p>
          <w:p>
            <w:pPr>
              <w:pStyle w:val="TableParagraph"/>
              <w:spacing w:before="9"/>
              <w:rPr>
                <w:b/>
                <w:sz w:val="17"/>
              </w:rPr>
            </w:pPr>
          </w:p>
          <w:p>
            <w:pPr>
              <w:pStyle w:val="TableParagraph"/>
              <w:ind w:left="136"/>
              <w:rPr>
                <w:sz w:val="20"/>
              </w:rPr>
            </w:pPr>
            <w:r>
              <w:rPr>
                <w:sz w:val="20"/>
              </w:rPr>
              <w:t>Salem</w:t>
            </w:r>
          </w:p>
        </w:tc>
        <w:tc>
          <w:tcPr>
            <w:tcW w:w="2396" w:type="dxa"/>
            <w:tcBorders>
              <w:left w:val="single" w:sz="4" w:space="0" w:color="000000"/>
              <w:bottom w:val="single" w:sz="4" w:space="0" w:color="000000"/>
              <w:right w:val="single" w:sz="4" w:space="0" w:color="000000"/>
            </w:tcBorders>
          </w:tcPr>
          <w:p>
            <w:pPr>
              <w:pStyle w:val="TableParagraph"/>
              <w:spacing w:before="9"/>
              <w:rPr>
                <w:b/>
                <w:sz w:val="29"/>
              </w:rPr>
            </w:pPr>
          </w:p>
          <w:p>
            <w:pPr>
              <w:pStyle w:val="TableParagraph"/>
              <w:tabs>
                <w:tab w:pos="712" w:val="left" w:leader="none"/>
                <w:tab w:pos="1395" w:val="left" w:leader="none"/>
                <w:tab w:pos="2111" w:val="left" w:leader="none"/>
              </w:tabs>
              <w:ind w:left="117" w:right="87"/>
              <w:rPr>
                <w:sz w:val="20"/>
              </w:rPr>
            </w:pPr>
            <w:r>
              <w:rPr>
                <w:sz w:val="20"/>
              </w:rPr>
              <w:t>D</w:t>
              <w:tab/>
              <w:t>ST</w:t>
              <w:tab/>
              <w:t>NE</w:t>
              <w:tab/>
            </w:r>
            <w:r>
              <w:rPr>
                <w:spacing w:val="-17"/>
                <w:sz w:val="20"/>
              </w:rPr>
              <w:t>@ </w:t>
            </w:r>
            <w:r>
              <w:rPr>
                <w:sz w:val="20"/>
              </w:rPr>
              <w:t>LANCASTER DR</w:t>
            </w:r>
            <w:r>
              <w:rPr>
                <w:spacing w:val="-4"/>
                <w:sz w:val="20"/>
              </w:rPr>
              <w:t> </w:t>
            </w:r>
            <w:r>
              <w:rPr>
                <w:sz w:val="20"/>
              </w:rPr>
              <w:t>NE</w:t>
            </w:r>
          </w:p>
        </w:tc>
        <w:tc>
          <w:tcPr>
            <w:tcW w:w="3532" w:type="dxa"/>
            <w:tcBorders>
              <w:left w:val="single" w:sz="4" w:space="0" w:color="000000"/>
              <w:bottom w:val="single" w:sz="4" w:space="0" w:color="000000"/>
              <w:right w:val="single" w:sz="4" w:space="0" w:color="000000"/>
            </w:tcBorders>
          </w:tcPr>
          <w:p>
            <w:pPr>
              <w:pStyle w:val="TableParagraph"/>
              <w:ind w:left="116"/>
              <w:rPr>
                <w:sz w:val="20"/>
              </w:rPr>
            </w:pPr>
            <w:r>
              <w:rPr>
                <w:sz w:val="20"/>
              </w:rPr>
              <w:t>BP5 - Install Urban Green Bike Lanes at Conflict Points</w:t>
            </w:r>
          </w:p>
          <w:p>
            <w:pPr>
              <w:pStyle w:val="TableParagraph"/>
              <w:spacing w:line="230" w:lineRule="exact"/>
              <w:ind w:left="116"/>
              <w:rPr>
                <w:sz w:val="20"/>
              </w:rPr>
            </w:pPr>
            <w:r>
              <w:rPr>
                <w:sz w:val="20"/>
              </w:rPr>
              <w:t>Protected/Permissive</w:t>
            </w:r>
          </w:p>
          <w:p>
            <w:pPr>
              <w:pStyle w:val="TableParagraph"/>
              <w:spacing w:line="230" w:lineRule="exact"/>
              <w:ind w:left="116" w:right="101"/>
              <w:rPr>
                <w:sz w:val="20"/>
              </w:rPr>
            </w:pPr>
            <w:r>
              <w:rPr>
                <w:sz w:val="20"/>
              </w:rPr>
              <w:t>BP4 - Install No Pedestrian Phase Feature with Flashing Yellow</w:t>
            </w:r>
            <w:r>
              <w:rPr>
                <w:spacing w:val="-8"/>
                <w:sz w:val="20"/>
              </w:rPr>
              <w:t> </w:t>
            </w:r>
            <w:r>
              <w:rPr>
                <w:sz w:val="20"/>
              </w:rPr>
              <w:t>Arrow</w:t>
            </w:r>
          </w:p>
        </w:tc>
        <w:tc>
          <w:tcPr>
            <w:tcW w:w="720" w:type="dxa"/>
            <w:tcBorders>
              <w:left w:val="single" w:sz="4" w:space="0" w:color="000000"/>
              <w:bottom w:val="single" w:sz="4" w:space="0" w:color="000000"/>
              <w:right w:val="single" w:sz="4" w:space="0" w:color="000000"/>
            </w:tcBorders>
          </w:tcPr>
          <w:p>
            <w:pPr>
              <w:pStyle w:val="TableParagraph"/>
              <w:rPr>
                <w:b/>
                <w:sz w:val="22"/>
              </w:rPr>
            </w:pPr>
          </w:p>
          <w:p>
            <w:pPr>
              <w:pStyle w:val="TableParagraph"/>
              <w:spacing w:before="9"/>
              <w:rPr>
                <w:b/>
                <w:sz w:val="17"/>
              </w:rPr>
            </w:pPr>
          </w:p>
          <w:p>
            <w:pPr>
              <w:pStyle w:val="TableParagraph"/>
              <w:ind w:left="115"/>
              <w:rPr>
                <w:sz w:val="20"/>
              </w:rPr>
            </w:pPr>
            <w:r>
              <w:rPr>
                <w:sz w:val="20"/>
              </w:rPr>
              <w:t>20.66</w:t>
            </w:r>
          </w:p>
        </w:tc>
        <w:tc>
          <w:tcPr>
            <w:tcW w:w="870" w:type="dxa"/>
            <w:tcBorders>
              <w:left w:val="single" w:sz="4" w:space="0" w:color="000000"/>
              <w:bottom w:val="single" w:sz="4" w:space="0" w:color="000000"/>
              <w:right w:val="single" w:sz="4" w:space="0" w:color="000000"/>
            </w:tcBorders>
          </w:tcPr>
          <w:p>
            <w:pPr>
              <w:pStyle w:val="TableParagraph"/>
              <w:rPr>
                <w:b/>
                <w:sz w:val="22"/>
              </w:rPr>
            </w:pPr>
          </w:p>
          <w:p>
            <w:pPr>
              <w:pStyle w:val="TableParagraph"/>
              <w:spacing w:before="9"/>
              <w:rPr>
                <w:b/>
                <w:sz w:val="17"/>
              </w:rPr>
            </w:pPr>
          </w:p>
          <w:p>
            <w:pPr>
              <w:pStyle w:val="TableParagraph"/>
              <w:ind w:left="115"/>
              <w:rPr>
                <w:sz w:val="20"/>
              </w:rPr>
            </w:pPr>
            <w:r>
              <w:rPr>
                <w:sz w:val="20"/>
              </w:rPr>
              <w:t>40</w:t>
            </w:r>
          </w:p>
        </w:tc>
        <w:tc>
          <w:tcPr>
            <w:tcW w:w="870" w:type="dxa"/>
            <w:tcBorders>
              <w:left w:val="single" w:sz="4" w:space="0" w:color="000000"/>
              <w:bottom w:val="single" w:sz="4" w:space="0" w:color="000000"/>
              <w:right w:val="nil"/>
            </w:tcBorders>
          </w:tcPr>
          <w:p>
            <w:pPr>
              <w:pStyle w:val="TableParagraph"/>
              <w:rPr>
                <w:b/>
                <w:sz w:val="24"/>
              </w:rPr>
            </w:pPr>
          </w:p>
          <w:p>
            <w:pPr>
              <w:pStyle w:val="TableParagraph"/>
              <w:spacing w:before="181"/>
              <w:ind w:left="115"/>
              <w:rPr>
                <w:sz w:val="20"/>
              </w:rPr>
            </w:pPr>
            <w:r>
              <w:rPr>
                <w:sz w:val="20"/>
              </w:rPr>
              <w:t>&lt; 50</w:t>
            </w:r>
            <w:r>
              <w:rPr>
                <w:sz w:val="20"/>
                <w:vertAlign w:val="superscript"/>
              </w:rPr>
              <w:t>th</w:t>
            </w:r>
          </w:p>
        </w:tc>
      </w:tr>
      <w:tr>
        <w:trPr>
          <w:trHeight w:val="459" w:hRule="atLeast"/>
        </w:trPr>
        <w:tc>
          <w:tcPr>
            <w:tcW w:w="838" w:type="dxa"/>
            <w:tcBorders>
              <w:top w:val="single" w:sz="4" w:space="0" w:color="000000"/>
              <w:left w:val="nil"/>
              <w:bottom w:val="single" w:sz="4" w:space="0" w:color="000000"/>
              <w:right w:val="single" w:sz="4" w:space="0" w:color="000000"/>
            </w:tcBorders>
          </w:tcPr>
          <w:p>
            <w:pPr>
              <w:pStyle w:val="TableParagraph"/>
              <w:spacing w:before="112"/>
              <w:ind w:left="136"/>
              <w:rPr>
                <w:sz w:val="20"/>
              </w:rPr>
            </w:pPr>
            <w:r>
              <w:rPr>
                <w:sz w:val="20"/>
              </w:rPr>
              <w:t>Salem</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7"/>
              <w:rPr>
                <w:sz w:val="20"/>
              </w:rPr>
            </w:pPr>
            <w:r>
              <w:rPr>
                <w:sz w:val="20"/>
              </w:rPr>
              <w:t>FAIRVIEW AVE SE @</w:t>
            </w:r>
          </w:p>
          <w:p>
            <w:pPr>
              <w:pStyle w:val="TableParagraph"/>
              <w:spacing w:line="212" w:lineRule="exact"/>
              <w:ind w:left="117"/>
              <w:rPr>
                <w:sz w:val="20"/>
              </w:rPr>
            </w:pPr>
            <w:r>
              <w:rPr>
                <w:sz w:val="20"/>
              </w:rPr>
              <w:t>12TH ST SE</w:t>
            </w:r>
          </w:p>
        </w:tc>
        <w:tc>
          <w:tcPr>
            <w:tcW w:w="353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16"/>
              <w:rPr>
                <w:sz w:val="20"/>
              </w:rPr>
            </w:pPr>
            <w:r>
              <w:rPr>
                <w:sz w:val="20"/>
              </w:rPr>
              <w:t>BP5 - Install Urban Green Bike Lanes at</w:t>
            </w:r>
          </w:p>
          <w:p>
            <w:pPr>
              <w:pStyle w:val="TableParagraph"/>
              <w:spacing w:line="212" w:lineRule="exact"/>
              <w:ind w:left="116"/>
              <w:rPr>
                <w:sz w:val="20"/>
              </w:rPr>
            </w:pPr>
            <w:r>
              <w:rPr>
                <w:sz w:val="20"/>
              </w:rPr>
              <w:t>Conflict Points</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before="112"/>
              <w:ind w:left="115"/>
              <w:rPr>
                <w:sz w:val="20"/>
              </w:rPr>
            </w:pPr>
            <w:r>
              <w:rPr>
                <w:sz w:val="20"/>
              </w:rPr>
              <w:t>20.06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before="112"/>
              <w:ind w:left="115"/>
              <w:rPr>
                <w:sz w:val="20"/>
              </w:rPr>
            </w:pPr>
            <w:r>
              <w:rPr>
                <w:sz w:val="20"/>
              </w:rPr>
              <w:t>18</w:t>
            </w:r>
          </w:p>
        </w:tc>
        <w:tc>
          <w:tcPr>
            <w:tcW w:w="870" w:type="dxa"/>
            <w:tcBorders>
              <w:top w:val="single" w:sz="4" w:space="0" w:color="000000"/>
              <w:left w:val="single" w:sz="4" w:space="0" w:color="000000"/>
              <w:bottom w:val="single" w:sz="4" w:space="0" w:color="000000"/>
              <w:right w:val="nil"/>
            </w:tcBorders>
          </w:tcPr>
          <w:p>
            <w:pPr>
              <w:pStyle w:val="TableParagraph"/>
              <w:spacing w:before="112"/>
              <w:ind w:left="115"/>
              <w:rPr>
                <w:sz w:val="20"/>
              </w:rPr>
            </w:pPr>
            <w:r>
              <w:rPr>
                <w:sz w:val="20"/>
              </w:rPr>
              <w:t>&lt; 25</w:t>
            </w:r>
            <w:r>
              <w:rPr>
                <w:sz w:val="20"/>
                <w:vertAlign w:val="superscript"/>
              </w:rPr>
              <w:t>th</w:t>
            </w:r>
          </w:p>
        </w:tc>
      </w:tr>
      <w:tr>
        <w:trPr>
          <w:trHeight w:val="460" w:hRule="atLeast"/>
        </w:trPr>
        <w:tc>
          <w:tcPr>
            <w:tcW w:w="838" w:type="dxa"/>
            <w:tcBorders>
              <w:top w:val="single" w:sz="4" w:space="0" w:color="000000"/>
              <w:left w:val="nil"/>
              <w:bottom w:val="single" w:sz="4" w:space="0" w:color="000000"/>
              <w:right w:val="single" w:sz="4" w:space="0" w:color="000000"/>
            </w:tcBorders>
          </w:tcPr>
          <w:p>
            <w:pPr>
              <w:pStyle w:val="TableParagraph"/>
              <w:spacing w:line="230" w:lineRule="exact"/>
              <w:ind w:left="136" w:right="99"/>
              <w:rPr>
                <w:sz w:val="20"/>
              </w:rPr>
            </w:pPr>
            <w:r>
              <w:rPr>
                <w:sz w:val="20"/>
              </w:rPr>
              <w:t>Portlan d</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17" w:right="76"/>
              <w:rPr>
                <w:sz w:val="20"/>
              </w:rPr>
            </w:pPr>
            <w:r>
              <w:rPr>
                <w:sz w:val="20"/>
              </w:rPr>
              <w:t>Lombard St @ N Interstate Ave (US 30B)</w:t>
            </w:r>
          </w:p>
        </w:tc>
        <w:tc>
          <w:tcPr>
            <w:tcW w:w="3532" w:type="dxa"/>
            <w:tcBorders>
              <w:top w:val="single" w:sz="4" w:space="0" w:color="000000"/>
              <w:left w:val="single" w:sz="4" w:space="0" w:color="000000"/>
              <w:bottom w:val="single" w:sz="4" w:space="0" w:color="000000"/>
              <w:right w:val="single" w:sz="4" w:space="0" w:color="000000"/>
            </w:tcBorders>
          </w:tcPr>
          <w:p>
            <w:pPr>
              <w:pStyle w:val="TableParagraph"/>
              <w:tabs>
                <w:tab w:pos="1441" w:val="left" w:leader="none"/>
                <w:tab w:pos="2498" w:val="left" w:leader="none"/>
              </w:tabs>
              <w:spacing w:line="230" w:lineRule="exact"/>
              <w:ind w:left="116" w:right="87"/>
              <w:rPr>
                <w:sz w:val="20"/>
              </w:rPr>
            </w:pPr>
            <w:r>
              <w:rPr>
                <w:sz w:val="20"/>
              </w:rPr>
              <w:t>BP1</w:t>
            </w:r>
            <w:r>
              <w:rPr>
                <w:spacing w:val="-2"/>
                <w:sz w:val="20"/>
              </w:rPr>
              <w:t> </w:t>
            </w:r>
            <w:r>
              <w:rPr>
                <w:rFonts w:ascii="MS PGothic" w:hAnsi="MS PGothic"/>
                <w:sz w:val="20"/>
              </w:rPr>
              <w:t>‐</w:t>
            </w:r>
            <w:r>
              <w:rPr>
                <w:rFonts w:ascii="MS PGothic" w:hAnsi="MS PGothic"/>
                <w:spacing w:val="44"/>
                <w:sz w:val="20"/>
              </w:rPr>
              <w:t> </w:t>
            </w:r>
            <w:r>
              <w:rPr>
                <w:sz w:val="20"/>
              </w:rPr>
              <w:t>Install</w:t>
              <w:tab/>
              <w:t>Pedestrian</w:t>
              <w:tab/>
            </w:r>
            <w:r>
              <w:rPr>
                <w:spacing w:val="-3"/>
                <w:sz w:val="20"/>
              </w:rPr>
              <w:t>Countdown </w:t>
            </w:r>
            <w:r>
              <w:rPr>
                <w:sz w:val="20"/>
              </w:rPr>
              <w:t>Timer(s)</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before="113"/>
              <w:ind w:left="115"/>
              <w:rPr>
                <w:sz w:val="20"/>
              </w:rPr>
            </w:pPr>
            <w:r>
              <w:rPr>
                <w:sz w:val="20"/>
              </w:rPr>
              <w:t>16.80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before="113"/>
              <w:ind w:left="115"/>
              <w:rPr>
                <w:sz w:val="20"/>
              </w:rPr>
            </w:pPr>
            <w:r>
              <w:rPr>
                <w:sz w:val="20"/>
              </w:rPr>
              <w:t>28</w:t>
            </w:r>
          </w:p>
        </w:tc>
        <w:tc>
          <w:tcPr>
            <w:tcW w:w="870" w:type="dxa"/>
            <w:tcBorders>
              <w:top w:val="single" w:sz="4" w:space="0" w:color="000000"/>
              <w:left w:val="single" w:sz="4" w:space="0" w:color="000000"/>
              <w:bottom w:val="single" w:sz="4" w:space="0" w:color="000000"/>
              <w:right w:val="nil"/>
            </w:tcBorders>
          </w:tcPr>
          <w:p>
            <w:pPr>
              <w:pStyle w:val="TableParagraph"/>
              <w:spacing w:before="113"/>
              <w:ind w:left="115"/>
              <w:rPr>
                <w:sz w:val="20"/>
              </w:rPr>
            </w:pPr>
            <w:r>
              <w:rPr>
                <w:sz w:val="20"/>
              </w:rPr>
              <w:t>&lt; 50</w:t>
            </w:r>
            <w:r>
              <w:rPr>
                <w:sz w:val="20"/>
                <w:vertAlign w:val="superscript"/>
              </w:rPr>
              <w:t>th</w:t>
            </w:r>
          </w:p>
        </w:tc>
      </w:tr>
      <w:tr>
        <w:trPr>
          <w:trHeight w:val="919" w:hRule="atLeast"/>
        </w:trPr>
        <w:tc>
          <w:tcPr>
            <w:tcW w:w="838" w:type="dxa"/>
            <w:tcBorders>
              <w:top w:val="single" w:sz="4" w:space="0" w:color="000000"/>
              <w:left w:val="nil"/>
              <w:bottom w:val="single" w:sz="4" w:space="0" w:color="000000"/>
              <w:right w:val="single" w:sz="4" w:space="0" w:color="000000"/>
            </w:tcBorders>
          </w:tcPr>
          <w:p>
            <w:pPr>
              <w:pStyle w:val="TableParagraph"/>
              <w:spacing w:before="8"/>
              <w:rPr>
                <w:b/>
                <w:sz w:val="29"/>
              </w:rPr>
            </w:pPr>
          </w:p>
          <w:p>
            <w:pPr>
              <w:pStyle w:val="TableParagraph"/>
              <w:spacing w:before="1"/>
              <w:ind w:left="136"/>
              <w:rPr>
                <w:sz w:val="20"/>
              </w:rPr>
            </w:pPr>
            <w:r>
              <w:rPr>
                <w:sz w:val="20"/>
              </w:rPr>
              <w:t>Albany</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17"/>
              <w:rPr>
                <w:sz w:val="20"/>
              </w:rPr>
            </w:pPr>
            <w:r>
              <w:rPr>
                <w:sz w:val="20"/>
              </w:rPr>
              <w:t>GEARY ST @ QUEEN AVE</w:t>
            </w:r>
          </w:p>
        </w:tc>
        <w:tc>
          <w:tcPr>
            <w:tcW w:w="3532" w:type="dxa"/>
            <w:tcBorders>
              <w:top w:val="single" w:sz="4" w:space="0" w:color="000000"/>
              <w:left w:val="single" w:sz="4" w:space="0" w:color="000000"/>
              <w:bottom w:val="single" w:sz="4" w:space="0" w:color="000000"/>
              <w:right w:val="single" w:sz="4" w:space="0" w:color="000000"/>
            </w:tcBorders>
          </w:tcPr>
          <w:p>
            <w:pPr>
              <w:pStyle w:val="TableParagraph"/>
              <w:ind w:left="116" w:right="101"/>
              <w:rPr>
                <w:sz w:val="20"/>
              </w:rPr>
            </w:pPr>
            <w:r>
              <w:rPr>
                <w:sz w:val="20"/>
              </w:rPr>
              <w:t>BP4 - Install No Pedestrian Phase Feature with Flashing Yellow</w:t>
            </w:r>
            <w:r>
              <w:rPr>
                <w:spacing w:val="-8"/>
                <w:sz w:val="20"/>
              </w:rPr>
              <w:t> </w:t>
            </w:r>
            <w:r>
              <w:rPr>
                <w:sz w:val="20"/>
              </w:rPr>
              <w:t>Arrow</w:t>
            </w:r>
          </w:p>
          <w:p>
            <w:pPr>
              <w:pStyle w:val="TableParagraph"/>
              <w:spacing w:line="230" w:lineRule="exact"/>
              <w:ind w:left="116"/>
              <w:rPr>
                <w:sz w:val="20"/>
              </w:rPr>
            </w:pPr>
            <w:r>
              <w:rPr>
                <w:sz w:val="20"/>
              </w:rPr>
              <w:t>BP5 - Install Urban Green Bike Lanes at Conflict Points</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29"/>
              </w:rPr>
            </w:pPr>
          </w:p>
          <w:p>
            <w:pPr>
              <w:pStyle w:val="TableParagraph"/>
              <w:spacing w:before="1"/>
              <w:ind w:left="115"/>
              <w:rPr>
                <w:sz w:val="20"/>
              </w:rPr>
            </w:pPr>
            <w:r>
              <w:rPr>
                <w:sz w:val="20"/>
              </w:rPr>
              <w:t>7.13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29"/>
              </w:rPr>
            </w:pPr>
          </w:p>
          <w:p>
            <w:pPr>
              <w:pStyle w:val="TableParagraph"/>
              <w:spacing w:before="1"/>
              <w:ind w:left="115"/>
              <w:rPr>
                <w:sz w:val="20"/>
              </w:rPr>
            </w:pPr>
            <w:r>
              <w:rPr>
                <w:sz w:val="20"/>
              </w:rPr>
              <w:t>34</w:t>
            </w:r>
          </w:p>
        </w:tc>
        <w:tc>
          <w:tcPr>
            <w:tcW w:w="870" w:type="dxa"/>
            <w:tcBorders>
              <w:top w:val="single" w:sz="4" w:space="0" w:color="000000"/>
              <w:left w:val="single" w:sz="4" w:space="0" w:color="000000"/>
              <w:bottom w:val="single" w:sz="4" w:space="0" w:color="000000"/>
              <w:right w:val="nil"/>
            </w:tcBorders>
          </w:tcPr>
          <w:p>
            <w:pPr>
              <w:pStyle w:val="TableParagraph"/>
              <w:spacing w:before="8"/>
              <w:rPr>
                <w:b/>
                <w:sz w:val="29"/>
              </w:rPr>
            </w:pPr>
          </w:p>
          <w:p>
            <w:pPr>
              <w:pStyle w:val="TableParagraph"/>
              <w:spacing w:before="1"/>
              <w:ind w:left="114"/>
              <w:rPr>
                <w:sz w:val="20"/>
              </w:rPr>
            </w:pPr>
            <w:r>
              <w:rPr>
                <w:sz w:val="20"/>
              </w:rPr>
              <w:t>&gt; 50</w:t>
            </w:r>
            <w:r>
              <w:rPr>
                <w:sz w:val="20"/>
                <w:vertAlign w:val="superscript"/>
              </w:rPr>
              <w:t>th</w:t>
            </w:r>
          </w:p>
        </w:tc>
      </w:tr>
      <w:tr>
        <w:trPr>
          <w:trHeight w:val="460" w:hRule="atLeast"/>
        </w:trPr>
        <w:tc>
          <w:tcPr>
            <w:tcW w:w="838" w:type="dxa"/>
            <w:tcBorders>
              <w:top w:val="single" w:sz="4" w:space="0" w:color="000000"/>
              <w:left w:val="nil"/>
              <w:right w:val="single" w:sz="4" w:space="0" w:color="000000"/>
            </w:tcBorders>
          </w:tcPr>
          <w:p>
            <w:pPr>
              <w:pStyle w:val="TableParagraph"/>
              <w:spacing w:before="112"/>
              <w:ind w:left="136"/>
              <w:rPr>
                <w:sz w:val="20"/>
              </w:rPr>
            </w:pPr>
            <w:r>
              <w:rPr>
                <w:sz w:val="20"/>
              </w:rPr>
              <w:t>Eugene</w:t>
            </w:r>
          </w:p>
        </w:tc>
        <w:tc>
          <w:tcPr>
            <w:tcW w:w="2396" w:type="dxa"/>
            <w:tcBorders>
              <w:top w:val="single" w:sz="4" w:space="0" w:color="000000"/>
              <w:left w:val="single" w:sz="4" w:space="0" w:color="000000"/>
              <w:right w:val="single" w:sz="4" w:space="0" w:color="000000"/>
            </w:tcBorders>
          </w:tcPr>
          <w:p>
            <w:pPr>
              <w:pStyle w:val="TableParagraph"/>
              <w:spacing w:line="227" w:lineRule="exact"/>
              <w:ind w:left="117"/>
              <w:rPr>
                <w:sz w:val="20"/>
              </w:rPr>
            </w:pPr>
            <w:r>
              <w:rPr>
                <w:sz w:val="20"/>
              </w:rPr>
              <w:t>RIVER RD @ IRVING</w:t>
            </w:r>
          </w:p>
          <w:p>
            <w:pPr>
              <w:pStyle w:val="TableParagraph"/>
              <w:spacing w:line="214" w:lineRule="exact"/>
              <w:ind w:left="117"/>
              <w:rPr>
                <w:sz w:val="20"/>
              </w:rPr>
            </w:pPr>
            <w:r>
              <w:rPr>
                <w:sz w:val="20"/>
              </w:rPr>
              <w:t>RD</w:t>
            </w:r>
          </w:p>
        </w:tc>
        <w:tc>
          <w:tcPr>
            <w:tcW w:w="3532" w:type="dxa"/>
            <w:tcBorders>
              <w:top w:val="single" w:sz="4" w:space="0" w:color="000000"/>
              <w:left w:val="single" w:sz="4" w:space="0" w:color="000000"/>
              <w:right w:val="single" w:sz="4" w:space="0" w:color="000000"/>
            </w:tcBorders>
          </w:tcPr>
          <w:p>
            <w:pPr>
              <w:pStyle w:val="TableParagraph"/>
              <w:spacing w:line="227" w:lineRule="exact"/>
              <w:ind w:left="116"/>
              <w:rPr>
                <w:sz w:val="20"/>
              </w:rPr>
            </w:pPr>
            <w:r>
              <w:rPr>
                <w:sz w:val="20"/>
              </w:rPr>
              <w:t>BP5 - Install Urban Green Bike Lanes at</w:t>
            </w:r>
          </w:p>
          <w:p>
            <w:pPr>
              <w:pStyle w:val="TableParagraph"/>
              <w:spacing w:line="214" w:lineRule="exact"/>
              <w:ind w:left="116"/>
              <w:rPr>
                <w:sz w:val="20"/>
              </w:rPr>
            </w:pPr>
            <w:r>
              <w:rPr>
                <w:sz w:val="20"/>
              </w:rPr>
              <w:t>Conflict Points</w:t>
            </w:r>
          </w:p>
        </w:tc>
        <w:tc>
          <w:tcPr>
            <w:tcW w:w="720" w:type="dxa"/>
            <w:tcBorders>
              <w:top w:val="single" w:sz="4" w:space="0" w:color="000000"/>
              <w:left w:val="single" w:sz="4" w:space="0" w:color="000000"/>
              <w:right w:val="single" w:sz="4" w:space="0" w:color="000000"/>
            </w:tcBorders>
          </w:tcPr>
          <w:p>
            <w:pPr>
              <w:pStyle w:val="TableParagraph"/>
              <w:spacing w:before="112"/>
              <w:ind w:left="115"/>
              <w:rPr>
                <w:sz w:val="20"/>
              </w:rPr>
            </w:pPr>
            <w:r>
              <w:rPr>
                <w:sz w:val="20"/>
              </w:rPr>
              <w:t>2.45</w:t>
            </w:r>
          </w:p>
        </w:tc>
        <w:tc>
          <w:tcPr>
            <w:tcW w:w="870" w:type="dxa"/>
            <w:tcBorders>
              <w:top w:val="single" w:sz="4" w:space="0" w:color="000000"/>
              <w:left w:val="single" w:sz="4" w:space="0" w:color="000000"/>
              <w:right w:val="single" w:sz="4" w:space="0" w:color="000000"/>
            </w:tcBorders>
          </w:tcPr>
          <w:p>
            <w:pPr>
              <w:pStyle w:val="TableParagraph"/>
              <w:spacing w:before="112"/>
              <w:ind w:left="115"/>
              <w:rPr>
                <w:sz w:val="20"/>
              </w:rPr>
            </w:pPr>
            <w:r>
              <w:rPr>
                <w:sz w:val="20"/>
              </w:rPr>
              <w:t>18</w:t>
            </w:r>
          </w:p>
        </w:tc>
        <w:tc>
          <w:tcPr>
            <w:tcW w:w="870" w:type="dxa"/>
            <w:tcBorders>
              <w:top w:val="single" w:sz="4" w:space="0" w:color="000000"/>
              <w:left w:val="single" w:sz="4" w:space="0" w:color="000000"/>
              <w:right w:val="nil"/>
            </w:tcBorders>
          </w:tcPr>
          <w:p>
            <w:pPr>
              <w:pStyle w:val="TableParagraph"/>
              <w:spacing w:before="112"/>
              <w:ind w:left="114"/>
              <w:rPr>
                <w:sz w:val="20"/>
              </w:rPr>
            </w:pPr>
            <w:r>
              <w:rPr>
                <w:sz w:val="20"/>
              </w:rPr>
              <w:t>&lt; 25</w:t>
            </w:r>
            <w:r>
              <w:rPr>
                <w:sz w:val="20"/>
                <w:vertAlign w:val="superscript"/>
              </w:rPr>
              <w:t>th</w:t>
            </w:r>
          </w:p>
        </w:tc>
      </w:tr>
    </w:tbl>
    <w:p>
      <w:pPr>
        <w:pStyle w:val="BodyText"/>
        <w:rPr>
          <w:b/>
        </w:rPr>
      </w:pPr>
    </w:p>
    <w:p>
      <w:pPr>
        <w:pStyle w:val="Heading3"/>
        <w:numPr>
          <w:ilvl w:val="1"/>
          <w:numId w:val="32"/>
        </w:numPr>
        <w:tabs>
          <w:tab w:pos="1039" w:val="left" w:leader="none"/>
          <w:tab w:pos="1040" w:val="left" w:leader="none"/>
        </w:tabs>
        <w:spacing w:line="240" w:lineRule="auto" w:before="0" w:after="0"/>
        <w:ind w:left="1039" w:right="0" w:hanging="719"/>
        <w:jc w:val="left"/>
      </w:pPr>
      <w:bookmarkStart w:name="_TOC_250004" w:id="294"/>
      <w:bookmarkStart w:name="8.2 SEGMENT PROJECTS" w:id="295"/>
      <w:r>
        <w:rPr>
          <w:b w:val="0"/>
        </w:rPr>
      </w:r>
      <w:bookmarkEnd w:id="295"/>
      <w:bookmarkStart w:name="8.2 SEGMENT PROJECTS" w:id="296"/>
      <w:r>
        <w:rPr/>
        <w:t>S</w:t>
      </w:r>
      <w:r>
        <w:rPr/>
        <w:t>EGMENT</w:t>
      </w:r>
      <w:r>
        <w:rPr>
          <w:spacing w:val="-2"/>
        </w:rPr>
        <w:t> </w:t>
      </w:r>
      <w:bookmarkEnd w:id="294"/>
      <w:r>
        <w:rPr/>
        <w:t>PROJECTS</w:t>
      </w:r>
    </w:p>
    <w:p>
      <w:pPr>
        <w:pStyle w:val="BodyText"/>
        <w:spacing w:before="236"/>
        <w:ind w:left="319" w:right="1453"/>
      </w:pPr>
      <w:r>
        <w:rPr/>
        <w:t>Projects were selected from the same ARTS final project lists in Region 1 and Region 2 to demonstrate the use of the segment analysis tool. There are not as many segment-based pedestrian or bicycle projects to select from in the ARTS project list. In addition, the length of projects in the lists cover long distances. To use the risk tool, the segment projects are broken into smaller segments defined by breaks for major street traffic control. As an example, the project on Oatfield Road in Clackamas County was selected as a validation sample for pedestrian crashes. Two shorter segments, show</w:t>
      </w:r>
      <w:hyperlink w:history="true" w:anchor="_bookmark64">
        <w:r>
          <w:rPr/>
          <w:t>n in Table 8.5</w:t>
        </w:r>
      </w:hyperlink>
      <w:r>
        <w:rPr/>
        <w:t>, were created and risk scores were calculated using the</w:t>
      </w:r>
      <w:r>
        <w:rPr>
          <w:spacing w:val="-2"/>
        </w:rPr>
        <w:t> </w:t>
      </w:r>
      <w:r>
        <w:rPr/>
        <w:t>tool.</w:t>
      </w:r>
    </w:p>
    <w:p>
      <w:pPr>
        <w:pStyle w:val="BodyText"/>
        <w:spacing w:before="1"/>
        <w:rPr>
          <w:sz w:val="21"/>
        </w:rPr>
      </w:pPr>
    </w:p>
    <w:p>
      <w:pPr>
        <w:spacing w:before="0"/>
        <w:ind w:left="320" w:right="0" w:firstLine="0"/>
        <w:jc w:val="left"/>
        <w:rPr>
          <w:b/>
          <w:sz w:val="20"/>
        </w:rPr>
      </w:pPr>
      <w:bookmarkStart w:name="_bookmark64" w:id="297"/>
      <w:bookmarkEnd w:id="297"/>
      <w:r>
        <w:rPr/>
      </w:r>
      <w:r>
        <w:rPr>
          <w:b/>
          <w:sz w:val="20"/>
        </w:rPr>
        <w:t>Table 8.5: Segment Project for Pedestrian Segment Risk-Score Validation</w:t>
      </w:r>
    </w:p>
    <w:tbl>
      <w:tblPr>
        <w:tblW w:w="0" w:type="auto"/>
        <w:jc w:val="left"/>
        <w:tblInd w:w="2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633"/>
        <w:gridCol w:w="3543"/>
        <w:gridCol w:w="817"/>
        <w:gridCol w:w="587"/>
        <w:gridCol w:w="987"/>
        <w:gridCol w:w="1120"/>
        <w:gridCol w:w="666"/>
      </w:tblGrid>
      <w:tr>
        <w:trPr>
          <w:trHeight w:val="230" w:hRule="atLeast"/>
        </w:trPr>
        <w:tc>
          <w:tcPr>
            <w:tcW w:w="1633" w:type="dxa"/>
            <w:tcBorders>
              <w:left w:val="nil"/>
              <w:right w:val="single" w:sz="4" w:space="0" w:color="000000"/>
            </w:tcBorders>
          </w:tcPr>
          <w:p>
            <w:pPr>
              <w:pStyle w:val="TableParagraph"/>
              <w:spacing w:line="210" w:lineRule="exact"/>
              <w:ind w:left="107"/>
              <w:rPr>
                <w:b/>
                <w:sz w:val="20"/>
              </w:rPr>
            </w:pPr>
            <w:r>
              <w:rPr>
                <w:b/>
                <w:sz w:val="20"/>
              </w:rPr>
              <w:t>Agency</w:t>
            </w:r>
          </w:p>
        </w:tc>
        <w:tc>
          <w:tcPr>
            <w:tcW w:w="3543" w:type="dxa"/>
            <w:tcBorders>
              <w:left w:val="single" w:sz="4" w:space="0" w:color="000000"/>
              <w:right w:val="single" w:sz="4" w:space="0" w:color="000000"/>
            </w:tcBorders>
          </w:tcPr>
          <w:p>
            <w:pPr>
              <w:pStyle w:val="TableParagraph"/>
              <w:spacing w:line="210" w:lineRule="exact"/>
              <w:ind w:left="103"/>
              <w:rPr>
                <w:b/>
                <w:sz w:val="20"/>
              </w:rPr>
            </w:pPr>
            <w:r>
              <w:rPr>
                <w:b/>
                <w:sz w:val="20"/>
              </w:rPr>
              <w:t>Name</w:t>
            </w:r>
          </w:p>
        </w:tc>
        <w:tc>
          <w:tcPr>
            <w:tcW w:w="3511" w:type="dxa"/>
            <w:gridSpan w:val="4"/>
            <w:tcBorders>
              <w:left w:val="single" w:sz="4" w:space="0" w:color="000000"/>
              <w:right w:val="single" w:sz="4" w:space="0" w:color="000000"/>
            </w:tcBorders>
          </w:tcPr>
          <w:p>
            <w:pPr>
              <w:pStyle w:val="TableParagraph"/>
              <w:spacing w:line="210" w:lineRule="exact"/>
              <w:ind w:left="102"/>
              <w:rPr>
                <w:b/>
                <w:sz w:val="20"/>
              </w:rPr>
            </w:pPr>
            <w:r>
              <w:rPr>
                <w:b/>
                <w:sz w:val="20"/>
              </w:rPr>
              <w:t>Countermeasures</w:t>
            </w:r>
          </w:p>
        </w:tc>
        <w:tc>
          <w:tcPr>
            <w:tcW w:w="666" w:type="dxa"/>
            <w:tcBorders>
              <w:left w:val="single" w:sz="4" w:space="0" w:color="000000"/>
              <w:right w:val="nil"/>
            </w:tcBorders>
          </w:tcPr>
          <w:p>
            <w:pPr>
              <w:pStyle w:val="TableParagraph"/>
              <w:spacing w:line="210" w:lineRule="exact"/>
              <w:ind w:left="85" w:right="200"/>
              <w:jc w:val="center"/>
              <w:rPr>
                <w:b/>
                <w:sz w:val="20"/>
              </w:rPr>
            </w:pPr>
            <w:r>
              <w:rPr>
                <w:b/>
                <w:sz w:val="20"/>
              </w:rPr>
              <w:t>B/C</w:t>
            </w:r>
          </w:p>
        </w:tc>
      </w:tr>
      <w:tr>
        <w:trPr>
          <w:trHeight w:val="459" w:hRule="atLeast"/>
        </w:trPr>
        <w:tc>
          <w:tcPr>
            <w:tcW w:w="1633" w:type="dxa"/>
            <w:tcBorders>
              <w:left w:val="nil"/>
              <w:bottom w:val="single" w:sz="4" w:space="0" w:color="000000"/>
              <w:right w:val="single" w:sz="4" w:space="0" w:color="000000"/>
            </w:tcBorders>
          </w:tcPr>
          <w:p>
            <w:pPr>
              <w:pStyle w:val="TableParagraph"/>
              <w:spacing w:line="227" w:lineRule="exact"/>
              <w:ind w:left="107"/>
              <w:rPr>
                <w:sz w:val="20"/>
              </w:rPr>
            </w:pPr>
            <w:r>
              <w:rPr>
                <w:sz w:val="20"/>
              </w:rPr>
              <w:t>Clackamas</w:t>
            </w:r>
          </w:p>
          <w:p>
            <w:pPr>
              <w:pStyle w:val="TableParagraph"/>
              <w:spacing w:line="212" w:lineRule="exact"/>
              <w:ind w:left="107"/>
              <w:rPr>
                <w:sz w:val="20"/>
              </w:rPr>
            </w:pPr>
            <w:r>
              <w:rPr>
                <w:sz w:val="20"/>
              </w:rPr>
              <w:t>County</w:t>
            </w:r>
          </w:p>
        </w:tc>
        <w:tc>
          <w:tcPr>
            <w:tcW w:w="3543" w:type="dxa"/>
            <w:tcBorders>
              <w:left w:val="single" w:sz="4" w:space="0" w:color="000000"/>
              <w:bottom w:val="single" w:sz="4" w:space="0" w:color="000000"/>
              <w:right w:val="single" w:sz="4" w:space="0" w:color="000000"/>
            </w:tcBorders>
          </w:tcPr>
          <w:p>
            <w:pPr>
              <w:pStyle w:val="TableParagraph"/>
              <w:spacing w:before="112"/>
              <w:ind w:left="103"/>
              <w:rPr>
                <w:sz w:val="20"/>
              </w:rPr>
            </w:pPr>
            <w:r>
              <w:rPr>
                <w:sz w:val="20"/>
              </w:rPr>
              <w:t>Oatfield Rd</w:t>
            </w:r>
          </w:p>
        </w:tc>
        <w:tc>
          <w:tcPr>
            <w:tcW w:w="817" w:type="dxa"/>
            <w:tcBorders>
              <w:left w:val="single" w:sz="4" w:space="0" w:color="000000"/>
              <w:bottom w:val="single" w:sz="4" w:space="0" w:color="000000"/>
              <w:right w:val="nil"/>
            </w:tcBorders>
          </w:tcPr>
          <w:p>
            <w:pPr>
              <w:pStyle w:val="TableParagraph"/>
              <w:spacing w:line="227" w:lineRule="exact"/>
              <w:ind w:left="102"/>
              <w:rPr>
                <w:sz w:val="20"/>
              </w:rPr>
            </w:pPr>
            <w:r>
              <w:rPr>
                <w:sz w:val="20"/>
              </w:rPr>
              <w:t>BP1 -</w:t>
            </w:r>
          </w:p>
          <w:p>
            <w:pPr>
              <w:pStyle w:val="TableParagraph"/>
              <w:spacing w:line="212" w:lineRule="exact"/>
              <w:ind w:left="102"/>
              <w:rPr>
                <w:sz w:val="20"/>
              </w:rPr>
            </w:pPr>
            <w:r>
              <w:rPr>
                <w:sz w:val="20"/>
              </w:rPr>
              <w:t>Timer(s)</w:t>
            </w:r>
          </w:p>
        </w:tc>
        <w:tc>
          <w:tcPr>
            <w:tcW w:w="587" w:type="dxa"/>
            <w:tcBorders>
              <w:left w:val="nil"/>
              <w:bottom w:val="single" w:sz="4" w:space="0" w:color="000000"/>
              <w:right w:val="nil"/>
            </w:tcBorders>
          </w:tcPr>
          <w:p>
            <w:pPr>
              <w:pStyle w:val="TableParagraph"/>
              <w:spacing w:line="227" w:lineRule="exact"/>
              <w:ind w:left="11"/>
              <w:rPr>
                <w:sz w:val="20"/>
              </w:rPr>
            </w:pPr>
            <w:r>
              <w:rPr>
                <w:sz w:val="20"/>
              </w:rPr>
              <w:t>Install</w:t>
            </w:r>
          </w:p>
        </w:tc>
        <w:tc>
          <w:tcPr>
            <w:tcW w:w="987" w:type="dxa"/>
            <w:tcBorders>
              <w:left w:val="nil"/>
              <w:bottom w:val="single" w:sz="4" w:space="0" w:color="000000"/>
              <w:right w:val="nil"/>
            </w:tcBorders>
          </w:tcPr>
          <w:p>
            <w:pPr>
              <w:pStyle w:val="TableParagraph"/>
              <w:spacing w:line="227" w:lineRule="exact"/>
              <w:ind w:left="78"/>
              <w:rPr>
                <w:sz w:val="20"/>
              </w:rPr>
            </w:pPr>
            <w:r>
              <w:rPr>
                <w:sz w:val="20"/>
              </w:rPr>
              <w:t>Pedestrian</w:t>
            </w:r>
          </w:p>
        </w:tc>
        <w:tc>
          <w:tcPr>
            <w:tcW w:w="1120" w:type="dxa"/>
            <w:tcBorders>
              <w:left w:val="nil"/>
              <w:bottom w:val="single" w:sz="4" w:space="0" w:color="000000"/>
              <w:right w:val="single" w:sz="4" w:space="0" w:color="000000"/>
            </w:tcBorders>
          </w:tcPr>
          <w:p>
            <w:pPr>
              <w:pStyle w:val="TableParagraph"/>
              <w:spacing w:line="227" w:lineRule="exact"/>
              <w:ind w:left="79"/>
              <w:rPr>
                <w:sz w:val="20"/>
              </w:rPr>
            </w:pPr>
            <w:r>
              <w:rPr>
                <w:sz w:val="20"/>
              </w:rPr>
              <w:t>Countdown</w:t>
            </w:r>
          </w:p>
        </w:tc>
        <w:tc>
          <w:tcPr>
            <w:tcW w:w="666" w:type="dxa"/>
            <w:tcBorders>
              <w:left w:val="single" w:sz="4" w:space="0" w:color="000000"/>
              <w:bottom w:val="single" w:sz="4" w:space="0" w:color="000000"/>
              <w:right w:val="nil"/>
            </w:tcBorders>
          </w:tcPr>
          <w:p>
            <w:pPr>
              <w:pStyle w:val="TableParagraph"/>
              <w:spacing w:before="112"/>
              <w:ind w:left="85" w:right="85"/>
              <w:jc w:val="center"/>
              <w:rPr>
                <w:sz w:val="20"/>
              </w:rPr>
            </w:pPr>
            <w:r>
              <w:rPr>
                <w:sz w:val="20"/>
              </w:rPr>
              <w:t>13.04</w:t>
            </w:r>
          </w:p>
        </w:tc>
      </w:tr>
    </w:tbl>
    <w:p>
      <w:pPr>
        <w:spacing w:before="0"/>
        <w:ind w:left="324" w:right="0" w:firstLine="0"/>
        <w:jc w:val="left"/>
        <w:rPr>
          <w:b/>
          <w:sz w:val="20"/>
        </w:rPr>
      </w:pPr>
      <w:r>
        <w:rPr>
          <w:b/>
          <w:sz w:val="20"/>
        </w:rPr>
        <w:t>Segment for Validation</w:t>
      </w:r>
    </w:p>
    <w:tbl>
      <w:tblPr>
        <w:tblW w:w="0" w:type="auto"/>
        <w:jc w:val="left"/>
        <w:tblInd w:w="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8"/>
        <w:gridCol w:w="3544"/>
        <w:gridCol w:w="818"/>
        <w:gridCol w:w="588"/>
        <w:gridCol w:w="988"/>
        <w:gridCol w:w="1121"/>
        <w:gridCol w:w="667"/>
      </w:tblGrid>
      <w:tr>
        <w:trPr>
          <w:trHeight w:val="460" w:hRule="atLeast"/>
        </w:trPr>
        <w:tc>
          <w:tcPr>
            <w:tcW w:w="1648" w:type="dxa"/>
            <w:tcBorders>
              <w:left w:val="nil"/>
            </w:tcBorders>
          </w:tcPr>
          <w:p>
            <w:pPr>
              <w:pStyle w:val="TableParagraph"/>
              <w:spacing w:line="230" w:lineRule="exact"/>
              <w:ind w:left="122" w:right="85"/>
              <w:rPr>
                <w:sz w:val="20"/>
              </w:rPr>
            </w:pPr>
            <w:r>
              <w:rPr>
                <w:sz w:val="20"/>
              </w:rPr>
              <w:t>Clackamas County</w:t>
            </w:r>
          </w:p>
        </w:tc>
        <w:tc>
          <w:tcPr>
            <w:tcW w:w="3544" w:type="dxa"/>
          </w:tcPr>
          <w:p>
            <w:pPr>
              <w:pStyle w:val="TableParagraph"/>
              <w:spacing w:line="230" w:lineRule="exact"/>
              <w:ind w:left="102"/>
              <w:rPr>
                <w:sz w:val="20"/>
              </w:rPr>
            </w:pPr>
            <w:r>
              <w:rPr>
                <w:sz w:val="20"/>
              </w:rPr>
              <w:t>Oatfield Rd from Roethe Rd to Jennings Ave</w:t>
            </w:r>
          </w:p>
        </w:tc>
        <w:tc>
          <w:tcPr>
            <w:tcW w:w="818" w:type="dxa"/>
            <w:tcBorders>
              <w:right w:val="nil"/>
            </w:tcBorders>
          </w:tcPr>
          <w:p>
            <w:pPr>
              <w:pStyle w:val="TableParagraph"/>
              <w:spacing w:line="227" w:lineRule="exact"/>
              <w:ind w:left="100"/>
              <w:rPr>
                <w:sz w:val="20"/>
              </w:rPr>
            </w:pPr>
            <w:r>
              <w:rPr>
                <w:sz w:val="20"/>
              </w:rPr>
              <w:t>BP1 -</w:t>
            </w:r>
          </w:p>
          <w:p>
            <w:pPr>
              <w:pStyle w:val="TableParagraph"/>
              <w:spacing w:line="213" w:lineRule="exact"/>
              <w:ind w:left="100"/>
              <w:rPr>
                <w:sz w:val="20"/>
              </w:rPr>
            </w:pPr>
            <w:r>
              <w:rPr>
                <w:sz w:val="20"/>
              </w:rPr>
              <w:t>Timer(s)</w:t>
            </w:r>
          </w:p>
        </w:tc>
        <w:tc>
          <w:tcPr>
            <w:tcW w:w="588" w:type="dxa"/>
            <w:tcBorders>
              <w:left w:val="nil"/>
              <w:right w:val="nil"/>
            </w:tcBorders>
          </w:tcPr>
          <w:p>
            <w:pPr>
              <w:pStyle w:val="TableParagraph"/>
              <w:spacing w:line="228" w:lineRule="exact"/>
              <w:ind w:left="9"/>
              <w:rPr>
                <w:sz w:val="20"/>
              </w:rPr>
            </w:pPr>
            <w:r>
              <w:rPr>
                <w:sz w:val="20"/>
              </w:rPr>
              <w:t>Install</w:t>
            </w:r>
          </w:p>
        </w:tc>
        <w:tc>
          <w:tcPr>
            <w:tcW w:w="988" w:type="dxa"/>
            <w:tcBorders>
              <w:left w:val="nil"/>
              <w:right w:val="nil"/>
            </w:tcBorders>
          </w:tcPr>
          <w:p>
            <w:pPr>
              <w:pStyle w:val="TableParagraph"/>
              <w:spacing w:line="228" w:lineRule="exact"/>
              <w:ind w:left="56" w:right="58"/>
              <w:jc w:val="center"/>
              <w:rPr>
                <w:sz w:val="20"/>
              </w:rPr>
            </w:pPr>
            <w:r>
              <w:rPr>
                <w:sz w:val="20"/>
              </w:rPr>
              <w:t>Pedestrian</w:t>
            </w:r>
          </w:p>
        </w:tc>
        <w:tc>
          <w:tcPr>
            <w:tcW w:w="1121" w:type="dxa"/>
            <w:tcBorders>
              <w:left w:val="nil"/>
            </w:tcBorders>
          </w:tcPr>
          <w:p>
            <w:pPr>
              <w:pStyle w:val="TableParagraph"/>
              <w:spacing w:line="228" w:lineRule="exact"/>
              <w:ind w:left="56" w:right="86"/>
              <w:jc w:val="center"/>
              <w:rPr>
                <w:sz w:val="20"/>
              </w:rPr>
            </w:pPr>
            <w:r>
              <w:rPr>
                <w:sz w:val="20"/>
              </w:rPr>
              <w:t>Countdown</w:t>
            </w:r>
          </w:p>
        </w:tc>
        <w:tc>
          <w:tcPr>
            <w:tcW w:w="667" w:type="dxa"/>
            <w:tcBorders>
              <w:right w:val="nil"/>
            </w:tcBorders>
          </w:tcPr>
          <w:p>
            <w:pPr>
              <w:pStyle w:val="TableParagraph"/>
              <w:rPr>
                <w:sz w:val="22"/>
              </w:rPr>
            </w:pPr>
          </w:p>
        </w:tc>
      </w:tr>
      <w:tr>
        <w:trPr>
          <w:trHeight w:val="460" w:hRule="atLeast"/>
        </w:trPr>
        <w:tc>
          <w:tcPr>
            <w:tcW w:w="1648" w:type="dxa"/>
            <w:tcBorders>
              <w:left w:val="nil"/>
              <w:bottom w:val="single" w:sz="12" w:space="0" w:color="000000"/>
            </w:tcBorders>
          </w:tcPr>
          <w:p>
            <w:pPr>
              <w:pStyle w:val="TableParagraph"/>
              <w:spacing w:line="227" w:lineRule="exact"/>
              <w:ind w:left="122"/>
              <w:rPr>
                <w:sz w:val="20"/>
              </w:rPr>
            </w:pPr>
            <w:r>
              <w:rPr>
                <w:sz w:val="20"/>
              </w:rPr>
              <w:t>Clackamas</w:t>
            </w:r>
          </w:p>
          <w:p>
            <w:pPr>
              <w:pStyle w:val="TableParagraph"/>
              <w:spacing w:line="214" w:lineRule="exact"/>
              <w:ind w:left="122"/>
              <w:rPr>
                <w:sz w:val="20"/>
              </w:rPr>
            </w:pPr>
            <w:r>
              <w:rPr>
                <w:sz w:val="20"/>
              </w:rPr>
              <w:t>County</w:t>
            </w:r>
          </w:p>
        </w:tc>
        <w:tc>
          <w:tcPr>
            <w:tcW w:w="3544" w:type="dxa"/>
            <w:tcBorders>
              <w:bottom w:val="single" w:sz="12" w:space="0" w:color="000000"/>
            </w:tcBorders>
          </w:tcPr>
          <w:p>
            <w:pPr>
              <w:pStyle w:val="TableParagraph"/>
              <w:spacing w:line="227" w:lineRule="exact"/>
              <w:ind w:left="102"/>
              <w:rPr>
                <w:sz w:val="20"/>
              </w:rPr>
            </w:pPr>
            <w:r>
              <w:rPr>
                <w:sz w:val="20"/>
              </w:rPr>
              <w:t>Oatfield Rd from Roethe Rd to SE</w:t>
            </w:r>
          </w:p>
          <w:p>
            <w:pPr>
              <w:pStyle w:val="TableParagraph"/>
              <w:spacing w:line="214" w:lineRule="exact"/>
              <w:ind w:left="102"/>
              <w:rPr>
                <w:sz w:val="20"/>
              </w:rPr>
            </w:pPr>
            <w:r>
              <w:rPr>
                <w:sz w:val="20"/>
              </w:rPr>
              <w:t>Thiessen Rd</w:t>
            </w:r>
          </w:p>
        </w:tc>
        <w:tc>
          <w:tcPr>
            <w:tcW w:w="818" w:type="dxa"/>
            <w:tcBorders>
              <w:bottom w:val="single" w:sz="12" w:space="0" w:color="000000"/>
              <w:right w:val="nil"/>
            </w:tcBorders>
          </w:tcPr>
          <w:p>
            <w:pPr>
              <w:pStyle w:val="TableParagraph"/>
              <w:spacing w:line="227" w:lineRule="exact"/>
              <w:ind w:left="100"/>
              <w:rPr>
                <w:sz w:val="20"/>
              </w:rPr>
            </w:pPr>
            <w:r>
              <w:rPr>
                <w:sz w:val="20"/>
              </w:rPr>
              <w:t>BP1 -</w:t>
            </w:r>
          </w:p>
          <w:p>
            <w:pPr>
              <w:pStyle w:val="TableParagraph"/>
              <w:spacing w:line="214" w:lineRule="exact"/>
              <w:ind w:left="100"/>
              <w:rPr>
                <w:sz w:val="20"/>
              </w:rPr>
            </w:pPr>
            <w:r>
              <w:rPr>
                <w:sz w:val="20"/>
              </w:rPr>
              <w:t>Timer(s)</w:t>
            </w:r>
          </w:p>
        </w:tc>
        <w:tc>
          <w:tcPr>
            <w:tcW w:w="588" w:type="dxa"/>
            <w:tcBorders>
              <w:left w:val="nil"/>
              <w:bottom w:val="single" w:sz="12" w:space="0" w:color="000000"/>
              <w:right w:val="nil"/>
            </w:tcBorders>
          </w:tcPr>
          <w:p>
            <w:pPr>
              <w:pStyle w:val="TableParagraph"/>
              <w:spacing w:line="227" w:lineRule="exact"/>
              <w:ind w:left="9"/>
              <w:rPr>
                <w:sz w:val="20"/>
              </w:rPr>
            </w:pPr>
            <w:r>
              <w:rPr>
                <w:sz w:val="20"/>
              </w:rPr>
              <w:t>Install</w:t>
            </w:r>
          </w:p>
        </w:tc>
        <w:tc>
          <w:tcPr>
            <w:tcW w:w="988" w:type="dxa"/>
            <w:tcBorders>
              <w:left w:val="nil"/>
              <w:bottom w:val="single" w:sz="12" w:space="0" w:color="000000"/>
              <w:right w:val="nil"/>
            </w:tcBorders>
          </w:tcPr>
          <w:p>
            <w:pPr>
              <w:pStyle w:val="TableParagraph"/>
              <w:spacing w:line="227" w:lineRule="exact"/>
              <w:ind w:left="56" w:right="58"/>
              <w:jc w:val="center"/>
              <w:rPr>
                <w:sz w:val="20"/>
              </w:rPr>
            </w:pPr>
            <w:r>
              <w:rPr>
                <w:sz w:val="20"/>
              </w:rPr>
              <w:t>Pedestrian</w:t>
            </w:r>
          </w:p>
        </w:tc>
        <w:tc>
          <w:tcPr>
            <w:tcW w:w="1121" w:type="dxa"/>
            <w:tcBorders>
              <w:left w:val="nil"/>
              <w:bottom w:val="single" w:sz="12" w:space="0" w:color="000000"/>
            </w:tcBorders>
          </w:tcPr>
          <w:p>
            <w:pPr>
              <w:pStyle w:val="TableParagraph"/>
              <w:spacing w:line="227" w:lineRule="exact"/>
              <w:ind w:left="56" w:right="86"/>
              <w:jc w:val="center"/>
              <w:rPr>
                <w:sz w:val="20"/>
              </w:rPr>
            </w:pPr>
            <w:r>
              <w:rPr>
                <w:sz w:val="20"/>
              </w:rPr>
              <w:t>Countdown</w:t>
            </w:r>
          </w:p>
        </w:tc>
        <w:tc>
          <w:tcPr>
            <w:tcW w:w="667" w:type="dxa"/>
            <w:tcBorders>
              <w:bottom w:val="single" w:sz="12" w:space="0" w:color="000000"/>
              <w:right w:val="nil"/>
            </w:tcBorders>
          </w:tcPr>
          <w:p>
            <w:pPr>
              <w:pStyle w:val="TableParagraph"/>
              <w:rPr>
                <w:sz w:val="22"/>
              </w:rPr>
            </w:pPr>
          </w:p>
        </w:tc>
      </w:tr>
    </w:tbl>
    <w:p>
      <w:pPr>
        <w:pStyle w:val="BodyText"/>
        <w:rPr>
          <w:b/>
          <w:sz w:val="22"/>
        </w:rPr>
      </w:pPr>
    </w:p>
    <w:p>
      <w:pPr>
        <w:pStyle w:val="BodyText"/>
        <w:spacing w:before="6"/>
        <w:rPr>
          <w:b/>
          <w:sz w:val="22"/>
        </w:rPr>
      </w:pPr>
    </w:p>
    <w:p>
      <w:pPr>
        <w:pStyle w:val="BodyText"/>
        <w:ind w:left="319" w:right="1503"/>
      </w:pPr>
      <w:r>
        <w:rPr/>
        <w:t>Following the same procedure for intersection validation in the previous section, risk scores could be easily calculated by the tool after collecting all the necessary information. </w:t>
      </w:r>
      <w:hyperlink w:history="true" w:anchor="_bookmark65">
        <w:r>
          <w:rPr/>
          <w:t>Figure 8.2</w:t>
        </w:r>
      </w:hyperlink>
      <w:r>
        <w:rPr/>
        <w:t> shows how the risk-scoring tool works for the segment Oatfield Road from Roethe Road to Jennings Avenue, and </w:t>
      </w:r>
      <w:hyperlink w:history="true" w:anchor="_bookmark66">
        <w:r>
          <w:rPr/>
          <w:t>Table 8.6</w:t>
        </w:r>
      </w:hyperlink>
      <w:r>
        <w:rPr/>
        <w:t> shows more details on the risk scores of two segment samples. The calculated risk scores of 16 and 14 for the project are low (near the 25</w:t>
      </w:r>
      <w:r>
        <w:rPr>
          <w:vertAlign w:val="superscript"/>
        </w:rPr>
        <w:t>th</w:t>
      </w:r>
      <w:r>
        <w:rPr>
          <w:vertAlign w:val="baseline"/>
        </w:rPr>
        <w:t> percentile of scores) while the B/C for the project is 13.04 (high).</w:t>
      </w:r>
    </w:p>
    <w:p>
      <w:pPr>
        <w:spacing w:after="0"/>
        <w:sectPr>
          <w:pgSz w:w="12240" w:h="15840"/>
          <w:pgMar w:header="0" w:footer="709" w:top="920" w:bottom="980" w:left="1120" w:right="0"/>
        </w:sectPr>
      </w:pPr>
    </w:p>
    <w:p>
      <w:pPr>
        <w:pStyle w:val="BodyText"/>
        <w:ind w:left="383"/>
        <w:rPr>
          <w:sz w:val="20"/>
        </w:rPr>
      </w:pPr>
      <w:r>
        <w:rPr>
          <w:sz w:val="20"/>
        </w:rPr>
        <w:drawing>
          <wp:inline distT="0" distB="0" distL="0" distR="0">
            <wp:extent cx="5774676" cy="2569559"/>
            <wp:effectExtent l="0" t="0" r="0" b="0"/>
            <wp:docPr id="61" name="image42.png" descr=""/>
            <wp:cNvGraphicFramePr>
              <a:graphicFrameLocks noChangeAspect="1"/>
            </wp:cNvGraphicFramePr>
            <a:graphic>
              <a:graphicData uri="http://schemas.openxmlformats.org/drawingml/2006/picture">
                <pic:pic>
                  <pic:nvPicPr>
                    <pic:cNvPr id="62" name="image42.png"/>
                    <pic:cNvPicPr/>
                  </pic:nvPicPr>
                  <pic:blipFill>
                    <a:blip r:embed="rId51" cstate="print"/>
                    <a:stretch>
                      <a:fillRect/>
                    </a:stretch>
                  </pic:blipFill>
                  <pic:spPr>
                    <a:xfrm>
                      <a:off x="0" y="0"/>
                      <a:ext cx="5774676" cy="2569559"/>
                    </a:xfrm>
                    <a:prstGeom prst="rect">
                      <a:avLst/>
                    </a:prstGeom>
                  </pic:spPr>
                </pic:pic>
              </a:graphicData>
            </a:graphic>
          </wp:inline>
        </w:drawing>
      </w:r>
      <w:r>
        <w:rPr>
          <w:sz w:val="20"/>
        </w:rPr>
      </w:r>
    </w:p>
    <w:p>
      <w:pPr>
        <w:pStyle w:val="BodyText"/>
        <w:spacing w:before="6"/>
        <w:rPr>
          <w:sz w:val="25"/>
        </w:rPr>
      </w:pPr>
    </w:p>
    <w:p>
      <w:pPr>
        <w:spacing w:before="92"/>
        <w:ind w:left="414" w:right="0" w:firstLine="0"/>
        <w:jc w:val="left"/>
        <w:rPr>
          <w:sz w:val="20"/>
        </w:rPr>
      </w:pPr>
      <w:bookmarkStart w:name="_bookmark65" w:id="298"/>
      <w:bookmarkEnd w:id="298"/>
      <w:r>
        <w:rPr/>
      </w:r>
      <w:r>
        <w:rPr>
          <w:sz w:val="20"/>
        </w:rPr>
        <w:t>Figure 8.2: Calculated Risk Score for Oatfield Road from Roethe Road to SE Thiessen Road with Excel Risk Tool</w:t>
      </w:r>
    </w:p>
    <w:p>
      <w:pPr>
        <w:spacing w:after="0"/>
        <w:jc w:val="left"/>
        <w:rPr>
          <w:sz w:val="20"/>
        </w:rPr>
        <w:sectPr>
          <w:pgSz w:w="12240" w:h="15840"/>
          <w:pgMar w:header="0" w:footer="709" w:top="1060" w:bottom="980" w:left="1120" w:right="0"/>
        </w:sectPr>
      </w:pPr>
    </w:p>
    <w:p>
      <w:pPr>
        <w:spacing w:before="75"/>
        <w:ind w:left="320" w:right="0" w:firstLine="0"/>
        <w:jc w:val="left"/>
        <w:rPr>
          <w:b/>
          <w:sz w:val="20"/>
        </w:rPr>
      </w:pPr>
      <w:bookmarkStart w:name="_bookmark66" w:id="299"/>
      <w:bookmarkEnd w:id="299"/>
      <w:r>
        <w:rPr/>
      </w:r>
      <w:r>
        <w:rPr>
          <w:b/>
          <w:sz w:val="20"/>
        </w:rPr>
        <w:t>Table 8.6: Risk Scores of Validation Pedestrian Segment Projects</w:t>
      </w:r>
    </w:p>
    <w:tbl>
      <w:tblPr>
        <w:tblW w:w="0" w:type="auto"/>
        <w:jc w:val="left"/>
        <w:tblInd w:w="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3008"/>
        <w:gridCol w:w="1666"/>
        <w:gridCol w:w="1638"/>
        <w:gridCol w:w="1638"/>
        <w:gridCol w:w="1636"/>
      </w:tblGrid>
      <w:tr>
        <w:trPr>
          <w:trHeight w:val="459" w:hRule="atLeast"/>
        </w:trPr>
        <w:tc>
          <w:tcPr>
            <w:tcW w:w="3008" w:type="dxa"/>
            <w:vMerge w:val="restart"/>
            <w:tcBorders>
              <w:left w:val="nil"/>
              <w:right w:val="single" w:sz="4" w:space="0" w:color="000000"/>
            </w:tcBorders>
          </w:tcPr>
          <w:p>
            <w:pPr>
              <w:pStyle w:val="TableParagraph"/>
              <w:spacing w:before="5"/>
              <w:rPr>
                <w:b/>
                <w:sz w:val="27"/>
              </w:rPr>
            </w:pPr>
          </w:p>
          <w:p>
            <w:pPr>
              <w:pStyle w:val="TableParagraph"/>
              <w:ind w:left="137"/>
              <w:rPr>
                <w:b/>
                <w:sz w:val="20"/>
              </w:rPr>
            </w:pPr>
            <w:r>
              <w:rPr>
                <w:b/>
                <w:sz w:val="20"/>
              </w:rPr>
              <w:t>Variable</w:t>
            </w:r>
          </w:p>
        </w:tc>
        <w:tc>
          <w:tcPr>
            <w:tcW w:w="3304" w:type="dxa"/>
            <w:gridSpan w:val="2"/>
            <w:tcBorders>
              <w:left w:val="single" w:sz="4" w:space="0" w:color="000000"/>
              <w:right w:val="single" w:sz="4" w:space="0" w:color="000000"/>
            </w:tcBorders>
          </w:tcPr>
          <w:p>
            <w:pPr>
              <w:pStyle w:val="TableParagraph"/>
              <w:spacing w:line="230" w:lineRule="exact" w:before="2"/>
              <w:ind w:left="118"/>
              <w:rPr>
                <w:b/>
                <w:sz w:val="20"/>
              </w:rPr>
            </w:pPr>
            <w:r>
              <w:rPr>
                <w:b/>
                <w:sz w:val="20"/>
              </w:rPr>
              <w:t>Oatfield Rd from Roethe Rd to Jennings Ave</w:t>
            </w:r>
          </w:p>
        </w:tc>
        <w:tc>
          <w:tcPr>
            <w:tcW w:w="3274" w:type="dxa"/>
            <w:gridSpan w:val="2"/>
            <w:tcBorders>
              <w:left w:val="single" w:sz="4" w:space="0" w:color="000000"/>
              <w:right w:val="nil"/>
            </w:tcBorders>
          </w:tcPr>
          <w:p>
            <w:pPr>
              <w:pStyle w:val="TableParagraph"/>
              <w:spacing w:line="230" w:lineRule="exact" w:before="2"/>
              <w:ind w:left="1124" w:right="127" w:hanging="947"/>
              <w:rPr>
                <w:b/>
                <w:sz w:val="20"/>
              </w:rPr>
            </w:pPr>
            <w:r>
              <w:rPr>
                <w:b/>
                <w:sz w:val="20"/>
              </w:rPr>
              <w:t>Oatfield Rd from Roethe Rd to SE Thiessen Rd</w:t>
            </w:r>
          </w:p>
        </w:tc>
      </w:tr>
      <w:tr>
        <w:trPr>
          <w:trHeight w:val="372" w:hRule="atLeast"/>
        </w:trPr>
        <w:tc>
          <w:tcPr>
            <w:tcW w:w="3008" w:type="dxa"/>
            <w:vMerge/>
            <w:tcBorders>
              <w:top w:val="nil"/>
              <w:left w:val="nil"/>
              <w:right w:val="single" w:sz="4" w:space="0" w:color="000000"/>
            </w:tcBorders>
          </w:tcPr>
          <w:p>
            <w:pPr>
              <w:rPr>
                <w:sz w:val="2"/>
                <w:szCs w:val="2"/>
              </w:rPr>
            </w:pPr>
          </w:p>
        </w:tc>
        <w:tc>
          <w:tcPr>
            <w:tcW w:w="1666" w:type="dxa"/>
            <w:tcBorders>
              <w:left w:val="single" w:sz="4" w:space="0" w:color="000000"/>
              <w:right w:val="single" w:sz="4" w:space="0" w:color="000000"/>
            </w:tcBorders>
          </w:tcPr>
          <w:p>
            <w:pPr>
              <w:pStyle w:val="TableParagraph"/>
              <w:spacing w:before="69"/>
              <w:ind w:left="118"/>
              <w:rPr>
                <w:b/>
                <w:sz w:val="20"/>
              </w:rPr>
            </w:pPr>
            <w:r>
              <w:rPr>
                <w:b/>
                <w:sz w:val="20"/>
              </w:rPr>
              <w:t>Data</w:t>
            </w:r>
          </w:p>
        </w:tc>
        <w:tc>
          <w:tcPr>
            <w:tcW w:w="1638" w:type="dxa"/>
            <w:tcBorders>
              <w:left w:val="single" w:sz="4" w:space="0" w:color="000000"/>
              <w:right w:val="single" w:sz="4" w:space="0" w:color="000000"/>
            </w:tcBorders>
          </w:tcPr>
          <w:p>
            <w:pPr>
              <w:pStyle w:val="TableParagraph"/>
              <w:spacing w:before="69"/>
              <w:ind w:right="588"/>
              <w:jc w:val="right"/>
              <w:rPr>
                <w:b/>
                <w:sz w:val="20"/>
              </w:rPr>
            </w:pPr>
            <w:r>
              <w:rPr>
                <w:b/>
                <w:sz w:val="20"/>
              </w:rPr>
              <w:t>Risk Score</w:t>
            </w:r>
          </w:p>
        </w:tc>
        <w:tc>
          <w:tcPr>
            <w:tcW w:w="1638" w:type="dxa"/>
            <w:tcBorders>
              <w:left w:val="single" w:sz="4" w:space="0" w:color="000000"/>
              <w:right w:val="single" w:sz="4" w:space="0" w:color="000000"/>
            </w:tcBorders>
          </w:tcPr>
          <w:p>
            <w:pPr>
              <w:pStyle w:val="TableParagraph"/>
              <w:spacing w:before="69"/>
              <w:ind w:left="120"/>
              <w:rPr>
                <w:b/>
                <w:sz w:val="20"/>
              </w:rPr>
            </w:pPr>
            <w:r>
              <w:rPr>
                <w:b/>
                <w:sz w:val="20"/>
              </w:rPr>
              <w:t>Data</w:t>
            </w:r>
          </w:p>
        </w:tc>
        <w:tc>
          <w:tcPr>
            <w:tcW w:w="1636" w:type="dxa"/>
            <w:tcBorders>
              <w:left w:val="single" w:sz="4" w:space="0" w:color="000000"/>
              <w:right w:val="nil"/>
            </w:tcBorders>
          </w:tcPr>
          <w:p>
            <w:pPr>
              <w:pStyle w:val="TableParagraph"/>
              <w:spacing w:before="69"/>
              <w:ind w:right="589"/>
              <w:jc w:val="right"/>
              <w:rPr>
                <w:b/>
                <w:sz w:val="20"/>
              </w:rPr>
            </w:pPr>
            <w:r>
              <w:rPr>
                <w:b/>
                <w:sz w:val="20"/>
              </w:rPr>
              <w:t>Risk Score</w:t>
            </w:r>
          </w:p>
        </w:tc>
      </w:tr>
      <w:tr>
        <w:trPr>
          <w:trHeight w:val="375" w:hRule="atLeast"/>
        </w:trPr>
        <w:tc>
          <w:tcPr>
            <w:tcW w:w="3008" w:type="dxa"/>
            <w:tcBorders>
              <w:left w:val="nil"/>
              <w:bottom w:val="single" w:sz="4" w:space="0" w:color="000000"/>
              <w:right w:val="single" w:sz="4" w:space="0" w:color="000000"/>
            </w:tcBorders>
          </w:tcPr>
          <w:p>
            <w:pPr>
              <w:pStyle w:val="TableParagraph"/>
              <w:spacing w:before="70"/>
              <w:ind w:left="137"/>
              <w:rPr>
                <w:sz w:val="20"/>
              </w:rPr>
            </w:pPr>
            <w:r>
              <w:rPr>
                <w:sz w:val="20"/>
              </w:rPr>
              <w:t>Presence of on-street parking</w:t>
            </w:r>
          </w:p>
        </w:tc>
        <w:tc>
          <w:tcPr>
            <w:tcW w:w="1666" w:type="dxa"/>
            <w:tcBorders>
              <w:left w:val="single" w:sz="4" w:space="0" w:color="000000"/>
              <w:bottom w:val="single" w:sz="4" w:space="0" w:color="000000"/>
              <w:right w:val="single" w:sz="4" w:space="0" w:color="000000"/>
            </w:tcBorders>
          </w:tcPr>
          <w:p>
            <w:pPr>
              <w:pStyle w:val="TableParagraph"/>
              <w:spacing w:before="70"/>
              <w:ind w:left="700" w:right="670"/>
              <w:jc w:val="center"/>
              <w:rPr>
                <w:sz w:val="20"/>
              </w:rPr>
            </w:pPr>
            <w:r>
              <w:rPr>
                <w:sz w:val="20"/>
              </w:rPr>
              <w:t>No</w:t>
            </w:r>
          </w:p>
        </w:tc>
        <w:tc>
          <w:tcPr>
            <w:tcW w:w="1638" w:type="dxa"/>
            <w:tcBorders>
              <w:left w:val="single" w:sz="4" w:space="0" w:color="000000"/>
              <w:bottom w:val="single" w:sz="4" w:space="0" w:color="000000"/>
              <w:right w:val="single" w:sz="4" w:space="0" w:color="000000"/>
            </w:tcBorders>
          </w:tcPr>
          <w:p>
            <w:pPr>
              <w:pStyle w:val="TableParagraph"/>
              <w:spacing w:before="70"/>
              <w:ind w:left="32"/>
              <w:jc w:val="center"/>
              <w:rPr>
                <w:sz w:val="20"/>
              </w:rPr>
            </w:pPr>
            <w:r>
              <w:rPr>
                <w:w w:val="100"/>
                <w:sz w:val="20"/>
              </w:rPr>
              <w:t>0</w:t>
            </w:r>
          </w:p>
        </w:tc>
        <w:tc>
          <w:tcPr>
            <w:tcW w:w="1638" w:type="dxa"/>
            <w:tcBorders>
              <w:left w:val="single" w:sz="4" w:space="0" w:color="000000"/>
              <w:bottom w:val="single" w:sz="4" w:space="0" w:color="000000"/>
              <w:right w:val="single" w:sz="4" w:space="0" w:color="000000"/>
            </w:tcBorders>
          </w:tcPr>
          <w:p>
            <w:pPr>
              <w:pStyle w:val="TableParagraph"/>
              <w:spacing w:before="70"/>
              <w:ind w:left="611" w:right="575"/>
              <w:jc w:val="center"/>
              <w:rPr>
                <w:sz w:val="20"/>
              </w:rPr>
            </w:pPr>
            <w:r>
              <w:rPr>
                <w:sz w:val="20"/>
              </w:rPr>
              <w:t>No</w:t>
            </w:r>
          </w:p>
        </w:tc>
        <w:tc>
          <w:tcPr>
            <w:tcW w:w="1636" w:type="dxa"/>
            <w:tcBorders>
              <w:left w:val="single" w:sz="4" w:space="0" w:color="000000"/>
              <w:bottom w:val="single" w:sz="4" w:space="0" w:color="000000"/>
              <w:right w:val="nil"/>
            </w:tcBorders>
          </w:tcPr>
          <w:p>
            <w:pPr>
              <w:pStyle w:val="TableParagraph"/>
              <w:spacing w:before="70"/>
              <w:ind w:left="31"/>
              <w:jc w:val="center"/>
              <w:rPr>
                <w:sz w:val="20"/>
              </w:rPr>
            </w:pPr>
            <w:r>
              <w:rPr>
                <w:w w:val="100"/>
                <w:sz w:val="20"/>
              </w:rPr>
              <w:t>0</w:t>
            </w:r>
          </w:p>
        </w:tc>
      </w:tr>
      <w:tr>
        <w:trPr>
          <w:trHeight w:val="689" w:hRule="atLeast"/>
        </w:trPr>
        <w:tc>
          <w:tcPr>
            <w:tcW w:w="3008" w:type="dxa"/>
            <w:tcBorders>
              <w:top w:val="single" w:sz="4" w:space="0" w:color="000000"/>
              <w:left w:val="nil"/>
              <w:bottom w:val="single" w:sz="4" w:space="0" w:color="000000"/>
              <w:right w:val="single" w:sz="4" w:space="0" w:color="000000"/>
            </w:tcBorders>
          </w:tcPr>
          <w:p>
            <w:pPr>
              <w:pStyle w:val="TableParagraph"/>
              <w:tabs>
                <w:tab w:pos="790" w:val="left" w:leader="none"/>
                <w:tab w:pos="1441" w:val="left" w:leader="none"/>
                <w:tab w:pos="2125" w:val="left" w:leader="none"/>
              </w:tabs>
              <w:ind w:left="137" w:right="84"/>
              <w:rPr>
                <w:sz w:val="20"/>
              </w:rPr>
            </w:pPr>
            <w:r>
              <w:rPr>
                <w:sz w:val="20"/>
              </w:rPr>
              <w:t>Total population density in census block</w:t>
              <w:tab/>
              <w:t>(EPA</w:t>
              <w:tab/>
              <w:t>Smart</w:t>
              <w:tab/>
            </w:r>
            <w:r>
              <w:rPr>
                <w:spacing w:val="-3"/>
                <w:sz w:val="20"/>
              </w:rPr>
              <w:t>Locations</w:t>
            </w:r>
          </w:p>
          <w:p>
            <w:pPr>
              <w:pStyle w:val="TableParagraph"/>
              <w:spacing w:line="212" w:lineRule="exact"/>
              <w:ind w:left="137"/>
              <w:rPr>
                <w:sz w:val="20"/>
              </w:rPr>
            </w:pPr>
            <w:r>
              <w:rPr>
                <w:sz w:val="20"/>
              </w:rPr>
              <w:t>Database), people per mile</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568"/>
              <w:rPr>
                <w:sz w:val="20"/>
              </w:rPr>
            </w:pPr>
            <w:r>
              <w:rPr>
                <w:sz w:val="20"/>
              </w:rPr>
              <w:t>3873.6</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32"/>
              <w:jc w:val="center"/>
              <w:rPr>
                <w:sz w:val="20"/>
              </w:rPr>
            </w:pPr>
            <w:r>
              <w:rPr>
                <w:w w:val="100"/>
                <w:sz w:val="20"/>
              </w:rPr>
              <w:t>8</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611" w:right="577"/>
              <w:jc w:val="center"/>
              <w:rPr>
                <w:sz w:val="20"/>
              </w:rPr>
            </w:pPr>
            <w:r>
              <w:rPr>
                <w:sz w:val="20"/>
              </w:rPr>
              <w:t>2075</w:t>
            </w:r>
          </w:p>
        </w:tc>
        <w:tc>
          <w:tcPr>
            <w:tcW w:w="1636" w:type="dxa"/>
            <w:tcBorders>
              <w:top w:val="single" w:sz="4" w:space="0" w:color="000000"/>
              <w:left w:val="single" w:sz="4" w:space="0" w:color="000000"/>
              <w:bottom w:val="single" w:sz="4" w:space="0" w:color="000000"/>
              <w:right w:val="nil"/>
            </w:tcBorders>
          </w:tcPr>
          <w:p>
            <w:pPr>
              <w:pStyle w:val="TableParagraph"/>
              <w:spacing w:before="8"/>
              <w:rPr>
                <w:b/>
                <w:sz w:val="19"/>
              </w:rPr>
            </w:pPr>
          </w:p>
          <w:p>
            <w:pPr>
              <w:pStyle w:val="TableParagraph"/>
              <w:ind w:left="32"/>
              <w:jc w:val="center"/>
              <w:rPr>
                <w:sz w:val="20"/>
              </w:rPr>
            </w:pPr>
            <w:r>
              <w:rPr>
                <w:w w:val="100"/>
                <w:sz w:val="20"/>
              </w:rPr>
              <w:t>6</w:t>
            </w:r>
          </w:p>
        </w:tc>
      </w:tr>
      <w:tr>
        <w:trPr>
          <w:trHeight w:val="375" w:hRule="atLeast"/>
        </w:trPr>
        <w:tc>
          <w:tcPr>
            <w:tcW w:w="3008" w:type="dxa"/>
            <w:tcBorders>
              <w:top w:val="single" w:sz="4" w:space="0" w:color="000000"/>
              <w:left w:val="nil"/>
              <w:bottom w:val="single" w:sz="4" w:space="0" w:color="000000"/>
              <w:right w:val="single" w:sz="4" w:space="0" w:color="000000"/>
            </w:tcBorders>
          </w:tcPr>
          <w:p>
            <w:pPr>
              <w:pStyle w:val="TableParagraph"/>
              <w:spacing w:before="70"/>
              <w:ind w:left="137"/>
              <w:rPr>
                <w:sz w:val="20"/>
              </w:rPr>
            </w:pPr>
            <w:r>
              <w:rPr>
                <w:sz w:val="20"/>
              </w:rPr>
              <w:t>Traffic direction</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before="70"/>
              <w:ind w:left="32"/>
              <w:jc w:val="center"/>
              <w:rPr>
                <w:sz w:val="20"/>
              </w:rPr>
            </w:pPr>
            <w:r>
              <w:rPr>
                <w:w w:val="100"/>
                <w:sz w:val="20"/>
              </w:rPr>
              <w:t>2</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33"/>
              <w:jc w:val="center"/>
              <w:rPr>
                <w:sz w:val="20"/>
              </w:rPr>
            </w:pPr>
            <w:r>
              <w:rPr>
                <w:w w:val="100"/>
                <w:sz w:val="20"/>
              </w:rPr>
              <w:t>0</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35"/>
              <w:jc w:val="center"/>
              <w:rPr>
                <w:sz w:val="20"/>
              </w:rPr>
            </w:pPr>
            <w:r>
              <w:rPr>
                <w:w w:val="100"/>
                <w:sz w:val="20"/>
              </w:rPr>
              <w:t>2</w:t>
            </w:r>
          </w:p>
        </w:tc>
        <w:tc>
          <w:tcPr>
            <w:tcW w:w="1636" w:type="dxa"/>
            <w:tcBorders>
              <w:top w:val="single" w:sz="4" w:space="0" w:color="000000"/>
              <w:left w:val="single" w:sz="4" w:space="0" w:color="000000"/>
              <w:bottom w:val="single" w:sz="4" w:space="0" w:color="000000"/>
              <w:right w:val="nil"/>
            </w:tcBorders>
          </w:tcPr>
          <w:p>
            <w:pPr>
              <w:pStyle w:val="TableParagraph"/>
              <w:spacing w:before="70"/>
              <w:ind w:left="33"/>
              <w:jc w:val="center"/>
              <w:rPr>
                <w:sz w:val="20"/>
              </w:rPr>
            </w:pPr>
            <w:r>
              <w:rPr>
                <w:w w:val="100"/>
                <w:sz w:val="20"/>
              </w:rPr>
              <w:t>0</w:t>
            </w:r>
          </w:p>
        </w:tc>
      </w:tr>
      <w:tr>
        <w:trPr>
          <w:trHeight w:val="375" w:hRule="atLeast"/>
        </w:trPr>
        <w:tc>
          <w:tcPr>
            <w:tcW w:w="3008" w:type="dxa"/>
            <w:tcBorders>
              <w:top w:val="single" w:sz="4" w:space="0" w:color="000000"/>
              <w:left w:val="nil"/>
              <w:bottom w:val="single" w:sz="4" w:space="0" w:color="000000"/>
              <w:right w:val="single" w:sz="4" w:space="0" w:color="000000"/>
            </w:tcBorders>
          </w:tcPr>
          <w:p>
            <w:pPr>
              <w:pStyle w:val="TableParagraph"/>
              <w:spacing w:before="70"/>
              <w:ind w:left="137"/>
              <w:rPr>
                <w:sz w:val="20"/>
              </w:rPr>
            </w:pPr>
            <w:r>
              <w:rPr>
                <w:sz w:val="20"/>
              </w:rPr>
              <w:t>Posted speed limit (MPH)</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before="70"/>
              <w:ind w:left="700" w:right="668"/>
              <w:jc w:val="center"/>
              <w:rPr>
                <w:sz w:val="20"/>
              </w:rPr>
            </w:pPr>
            <w:r>
              <w:rPr>
                <w:sz w:val="20"/>
              </w:rPr>
              <w:t>35</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33"/>
              <w:jc w:val="center"/>
              <w:rPr>
                <w:sz w:val="20"/>
              </w:rPr>
            </w:pPr>
            <w:r>
              <w:rPr>
                <w:w w:val="100"/>
                <w:sz w:val="20"/>
              </w:rPr>
              <w:t>8</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611" w:right="576"/>
              <w:jc w:val="center"/>
              <w:rPr>
                <w:sz w:val="20"/>
              </w:rPr>
            </w:pPr>
            <w:r>
              <w:rPr>
                <w:sz w:val="20"/>
              </w:rPr>
              <w:t>35</w:t>
            </w:r>
          </w:p>
        </w:tc>
        <w:tc>
          <w:tcPr>
            <w:tcW w:w="1636" w:type="dxa"/>
            <w:tcBorders>
              <w:top w:val="single" w:sz="4" w:space="0" w:color="000000"/>
              <w:left w:val="single" w:sz="4" w:space="0" w:color="000000"/>
              <w:bottom w:val="single" w:sz="4" w:space="0" w:color="000000"/>
              <w:right w:val="nil"/>
            </w:tcBorders>
          </w:tcPr>
          <w:p>
            <w:pPr>
              <w:pStyle w:val="TableParagraph"/>
              <w:spacing w:before="70"/>
              <w:ind w:left="32"/>
              <w:jc w:val="center"/>
              <w:rPr>
                <w:sz w:val="20"/>
              </w:rPr>
            </w:pPr>
            <w:r>
              <w:rPr>
                <w:w w:val="100"/>
                <w:sz w:val="20"/>
              </w:rPr>
              <w:t>8</w:t>
            </w:r>
          </w:p>
        </w:tc>
      </w:tr>
      <w:tr>
        <w:trPr>
          <w:trHeight w:val="375" w:hRule="atLeast"/>
        </w:trPr>
        <w:tc>
          <w:tcPr>
            <w:tcW w:w="3008" w:type="dxa"/>
            <w:tcBorders>
              <w:top w:val="single" w:sz="4" w:space="0" w:color="000000"/>
              <w:left w:val="nil"/>
              <w:bottom w:val="single" w:sz="4" w:space="0" w:color="000000"/>
              <w:right w:val="single" w:sz="4" w:space="0" w:color="000000"/>
            </w:tcBorders>
          </w:tcPr>
          <w:p>
            <w:pPr>
              <w:pStyle w:val="TableParagraph"/>
              <w:spacing w:before="70"/>
              <w:ind w:left="137"/>
              <w:rPr>
                <w:sz w:val="20"/>
              </w:rPr>
            </w:pPr>
            <w:r>
              <w:rPr>
                <w:sz w:val="20"/>
              </w:rPr>
              <w:t>Two-way left-turn lane presence</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before="70"/>
              <w:ind w:left="700" w:right="670"/>
              <w:jc w:val="center"/>
              <w:rPr>
                <w:sz w:val="20"/>
              </w:rPr>
            </w:pPr>
            <w:r>
              <w:rPr>
                <w:sz w:val="20"/>
              </w:rPr>
              <w:t>No</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32"/>
              <w:jc w:val="center"/>
              <w:rPr>
                <w:sz w:val="20"/>
              </w:rPr>
            </w:pPr>
            <w:r>
              <w:rPr>
                <w:w w:val="100"/>
                <w:sz w:val="20"/>
              </w:rPr>
              <w:t>0</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before="70"/>
              <w:ind w:left="611" w:right="576"/>
              <w:jc w:val="center"/>
              <w:rPr>
                <w:sz w:val="20"/>
              </w:rPr>
            </w:pPr>
            <w:r>
              <w:rPr>
                <w:sz w:val="20"/>
              </w:rPr>
              <w:t>No</w:t>
            </w:r>
          </w:p>
        </w:tc>
        <w:tc>
          <w:tcPr>
            <w:tcW w:w="1636" w:type="dxa"/>
            <w:tcBorders>
              <w:top w:val="single" w:sz="4" w:space="0" w:color="000000"/>
              <w:left w:val="single" w:sz="4" w:space="0" w:color="000000"/>
              <w:bottom w:val="single" w:sz="4" w:space="0" w:color="000000"/>
              <w:right w:val="nil"/>
            </w:tcBorders>
          </w:tcPr>
          <w:p>
            <w:pPr>
              <w:pStyle w:val="TableParagraph"/>
              <w:spacing w:before="70"/>
              <w:ind w:left="31"/>
              <w:jc w:val="center"/>
              <w:rPr>
                <w:sz w:val="20"/>
              </w:rPr>
            </w:pPr>
            <w:r>
              <w:rPr>
                <w:w w:val="100"/>
                <w:sz w:val="20"/>
              </w:rPr>
              <w:t>0</w:t>
            </w:r>
          </w:p>
        </w:tc>
      </w:tr>
      <w:tr>
        <w:trPr>
          <w:trHeight w:val="375" w:hRule="atLeast"/>
        </w:trPr>
        <w:tc>
          <w:tcPr>
            <w:tcW w:w="3008" w:type="dxa"/>
            <w:tcBorders>
              <w:top w:val="single" w:sz="4" w:space="0" w:color="000000"/>
              <w:left w:val="nil"/>
              <w:right w:val="single" w:sz="4" w:space="0" w:color="000000"/>
            </w:tcBorders>
          </w:tcPr>
          <w:p>
            <w:pPr>
              <w:pStyle w:val="TableParagraph"/>
              <w:spacing w:before="68"/>
              <w:ind w:left="137"/>
              <w:rPr>
                <w:sz w:val="20"/>
              </w:rPr>
            </w:pPr>
            <w:r>
              <w:rPr>
                <w:sz w:val="20"/>
              </w:rPr>
              <w:t>Total traffic lanes</w:t>
            </w:r>
          </w:p>
        </w:tc>
        <w:tc>
          <w:tcPr>
            <w:tcW w:w="1666" w:type="dxa"/>
            <w:tcBorders>
              <w:top w:val="single" w:sz="4" w:space="0" w:color="000000"/>
              <w:left w:val="single" w:sz="4" w:space="0" w:color="000000"/>
              <w:right w:val="single" w:sz="4" w:space="0" w:color="000000"/>
            </w:tcBorders>
          </w:tcPr>
          <w:p>
            <w:pPr>
              <w:pStyle w:val="TableParagraph"/>
              <w:spacing w:before="68"/>
              <w:ind w:left="31"/>
              <w:jc w:val="center"/>
              <w:rPr>
                <w:sz w:val="20"/>
              </w:rPr>
            </w:pPr>
            <w:r>
              <w:rPr>
                <w:w w:val="100"/>
                <w:sz w:val="20"/>
              </w:rPr>
              <w:t>2</w:t>
            </w:r>
          </w:p>
        </w:tc>
        <w:tc>
          <w:tcPr>
            <w:tcW w:w="1638" w:type="dxa"/>
            <w:tcBorders>
              <w:top w:val="single" w:sz="4" w:space="0" w:color="000000"/>
              <w:left w:val="single" w:sz="4" w:space="0" w:color="000000"/>
              <w:right w:val="single" w:sz="4" w:space="0" w:color="000000"/>
            </w:tcBorders>
          </w:tcPr>
          <w:p>
            <w:pPr>
              <w:pStyle w:val="TableParagraph"/>
              <w:spacing w:before="68"/>
              <w:ind w:left="32"/>
              <w:jc w:val="center"/>
              <w:rPr>
                <w:sz w:val="20"/>
              </w:rPr>
            </w:pPr>
            <w:r>
              <w:rPr>
                <w:w w:val="100"/>
                <w:sz w:val="20"/>
              </w:rPr>
              <w:t>0</w:t>
            </w:r>
          </w:p>
        </w:tc>
        <w:tc>
          <w:tcPr>
            <w:tcW w:w="1638" w:type="dxa"/>
            <w:tcBorders>
              <w:top w:val="single" w:sz="4" w:space="0" w:color="000000"/>
              <w:left w:val="single" w:sz="4" w:space="0" w:color="000000"/>
              <w:right w:val="single" w:sz="4" w:space="0" w:color="000000"/>
            </w:tcBorders>
          </w:tcPr>
          <w:p>
            <w:pPr>
              <w:pStyle w:val="TableParagraph"/>
              <w:spacing w:before="68"/>
              <w:ind w:left="35"/>
              <w:jc w:val="center"/>
              <w:rPr>
                <w:sz w:val="20"/>
              </w:rPr>
            </w:pPr>
            <w:r>
              <w:rPr>
                <w:w w:val="100"/>
                <w:sz w:val="20"/>
              </w:rPr>
              <w:t>2</w:t>
            </w:r>
          </w:p>
        </w:tc>
        <w:tc>
          <w:tcPr>
            <w:tcW w:w="1636" w:type="dxa"/>
            <w:tcBorders>
              <w:top w:val="single" w:sz="4" w:space="0" w:color="000000"/>
              <w:left w:val="single" w:sz="4" w:space="0" w:color="000000"/>
              <w:right w:val="nil"/>
            </w:tcBorders>
          </w:tcPr>
          <w:p>
            <w:pPr>
              <w:pStyle w:val="TableParagraph"/>
              <w:spacing w:before="68"/>
              <w:ind w:left="32"/>
              <w:jc w:val="center"/>
              <w:rPr>
                <w:sz w:val="20"/>
              </w:rPr>
            </w:pPr>
            <w:r>
              <w:rPr>
                <w:w w:val="100"/>
                <w:sz w:val="20"/>
              </w:rPr>
              <w:t>0</w:t>
            </w:r>
          </w:p>
        </w:tc>
      </w:tr>
      <w:tr>
        <w:trPr>
          <w:trHeight w:val="374" w:hRule="atLeast"/>
        </w:trPr>
        <w:tc>
          <w:tcPr>
            <w:tcW w:w="3008" w:type="dxa"/>
            <w:tcBorders>
              <w:left w:val="nil"/>
              <w:right w:val="single" w:sz="4" w:space="0" w:color="000000"/>
            </w:tcBorders>
          </w:tcPr>
          <w:p>
            <w:pPr>
              <w:pStyle w:val="TableParagraph"/>
              <w:spacing w:before="71"/>
              <w:ind w:left="137"/>
              <w:rPr>
                <w:b/>
                <w:sz w:val="20"/>
              </w:rPr>
            </w:pPr>
            <w:r>
              <w:rPr>
                <w:b/>
                <w:sz w:val="20"/>
              </w:rPr>
              <w:t>Total</w:t>
            </w:r>
          </w:p>
        </w:tc>
        <w:tc>
          <w:tcPr>
            <w:tcW w:w="1666" w:type="dxa"/>
            <w:tcBorders>
              <w:left w:val="single" w:sz="4" w:space="0" w:color="000000"/>
              <w:right w:val="single" w:sz="4" w:space="0" w:color="000000"/>
            </w:tcBorders>
          </w:tcPr>
          <w:p>
            <w:pPr>
              <w:pStyle w:val="TableParagraph"/>
              <w:rPr>
                <w:sz w:val="20"/>
              </w:rPr>
            </w:pPr>
          </w:p>
        </w:tc>
        <w:tc>
          <w:tcPr>
            <w:tcW w:w="1638" w:type="dxa"/>
            <w:tcBorders>
              <w:left w:val="single" w:sz="4" w:space="0" w:color="000000"/>
              <w:right w:val="single" w:sz="4" w:space="0" w:color="000000"/>
            </w:tcBorders>
          </w:tcPr>
          <w:p>
            <w:pPr>
              <w:pStyle w:val="TableParagraph"/>
              <w:spacing w:before="71"/>
              <w:ind w:left="610" w:right="577"/>
              <w:jc w:val="center"/>
              <w:rPr>
                <w:b/>
                <w:sz w:val="20"/>
              </w:rPr>
            </w:pPr>
            <w:r>
              <w:rPr>
                <w:b/>
                <w:sz w:val="20"/>
              </w:rPr>
              <w:t>16</w:t>
            </w:r>
          </w:p>
        </w:tc>
        <w:tc>
          <w:tcPr>
            <w:tcW w:w="1638" w:type="dxa"/>
            <w:tcBorders>
              <w:left w:val="single" w:sz="4" w:space="0" w:color="000000"/>
              <w:right w:val="single" w:sz="4" w:space="0" w:color="000000"/>
            </w:tcBorders>
          </w:tcPr>
          <w:p>
            <w:pPr>
              <w:pStyle w:val="TableParagraph"/>
              <w:rPr>
                <w:sz w:val="20"/>
              </w:rPr>
            </w:pPr>
          </w:p>
        </w:tc>
        <w:tc>
          <w:tcPr>
            <w:tcW w:w="1636" w:type="dxa"/>
            <w:tcBorders>
              <w:left w:val="single" w:sz="4" w:space="0" w:color="000000"/>
              <w:right w:val="nil"/>
            </w:tcBorders>
          </w:tcPr>
          <w:p>
            <w:pPr>
              <w:pStyle w:val="TableParagraph"/>
              <w:spacing w:before="71"/>
              <w:ind w:left="711" w:right="679"/>
              <w:jc w:val="center"/>
              <w:rPr>
                <w:b/>
                <w:sz w:val="20"/>
              </w:rPr>
            </w:pPr>
            <w:r>
              <w:rPr>
                <w:b/>
                <w:sz w:val="20"/>
              </w:rPr>
              <w:t>14</w:t>
            </w:r>
          </w:p>
        </w:tc>
      </w:tr>
      <w:tr>
        <w:trPr>
          <w:trHeight w:val="375" w:hRule="atLeast"/>
        </w:trPr>
        <w:tc>
          <w:tcPr>
            <w:tcW w:w="3008" w:type="dxa"/>
            <w:tcBorders>
              <w:left w:val="nil"/>
              <w:right w:val="single" w:sz="4" w:space="0" w:color="000000"/>
            </w:tcBorders>
          </w:tcPr>
          <w:p>
            <w:pPr>
              <w:pStyle w:val="TableParagraph"/>
              <w:spacing w:before="71"/>
              <w:ind w:left="137"/>
              <w:rPr>
                <w:b/>
                <w:sz w:val="20"/>
              </w:rPr>
            </w:pPr>
            <w:r>
              <w:rPr>
                <w:b/>
                <w:sz w:val="20"/>
              </w:rPr>
              <w:t>Risk Score Percentile</w:t>
            </w:r>
          </w:p>
        </w:tc>
        <w:tc>
          <w:tcPr>
            <w:tcW w:w="1666" w:type="dxa"/>
            <w:tcBorders>
              <w:left w:val="single" w:sz="4" w:space="0" w:color="000000"/>
              <w:right w:val="single" w:sz="4" w:space="0" w:color="000000"/>
            </w:tcBorders>
          </w:tcPr>
          <w:p>
            <w:pPr>
              <w:pStyle w:val="TableParagraph"/>
              <w:rPr>
                <w:sz w:val="20"/>
              </w:rPr>
            </w:pPr>
          </w:p>
        </w:tc>
        <w:tc>
          <w:tcPr>
            <w:tcW w:w="1638" w:type="dxa"/>
            <w:tcBorders>
              <w:left w:val="single" w:sz="4" w:space="0" w:color="000000"/>
              <w:right w:val="single" w:sz="4" w:space="0" w:color="000000"/>
            </w:tcBorders>
          </w:tcPr>
          <w:p>
            <w:pPr>
              <w:pStyle w:val="TableParagraph"/>
              <w:spacing w:before="69"/>
              <w:ind w:right="587"/>
              <w:jc w:val="right"/>
              <w:rPr>
                <w:sz w:val="20"/>
              </w:rPr>
            </w:pPr>
            <w:r>
              <w:rPr>
                <w:sz w:val="20"/>
              </w:rPr>
              <w:t>=25</w:t>
            </w:r>
            <w:r>
              <w:rPr>
                <w:sz w:val="20"/>
                <w:vertAlign w:val="superscript"/>
              </w:rPr>
              <w:t>th</w:t>
            </w:r>
          </w:p>
        </w:tc>
        <w:tc>
          <w:tcPr>
            <w:tcW w:w="1638" w:type="dxa"/>
            <w:tcBorders>
              <w:left w:val="single" w:sz="4" w:space="0" w:color="000000"/>
              <w:right w:val="single" w:sz="4" w:space="0" w:color="000000"/>
            </w:tcBorders>
          </w:tcPr>
          <w:p>
            <w:pPr>
              <w:pStyle w:val="TableParagraph"/>
              <w:rPr>
                <w:sz w:val="20"/>
              </w:rPr>
            </w:pPr>
          </w:p>
        </w:tc>
        <w:tc>
          <w:tcPr>
            <w:tcW w:w="1636" w:type="dxa"/>
            <w:tcBorders>
              <w:left w:val="single" w:sz="4" w:space="0" w:color="000000"/>
              <w:right w:val="nil"/>
            </w:tcBorders>
          </w:tcPr>
          <w:p>
            <w:pPr>
              <w:pStyle w:val="TableParagraph"/>
              <w:spacing w:before="69"/>
              <w:ind w:right="565"/>
              <w:jc w:val="right"/>
              <w:rPr>
                <w:sz w:val="20"/>
              </w:rPr>
            </w:pPr>
            <w:r>
              <w:rPr>
                <w:sz w:val="20"/>
              </w:rPr>
              <w:t>&lt; 25</w:t>
            </w:r>
            <w:r>
              <w:rPr>
                <w:sz w:val="20"/>
                <w:vertAlign w:val="superscript"/>
              </w:rPr>
              <w:t>th</w:t>
            </w:r>
          </w:p>
        </w:tc>
      </w:tr>
    </w:tbl>
    <w:p>
      <w:pPr>
        <w:pStyle w:val="BodyText"/>
        <w:rPr>
          <w:b/>
          <w:sz w:val="22"/>
        </w:rPr>
      </w:pPr>
    </w:p>
    <w:p>
      <w:pPr>
        <w:pStyle w:val="BodyText"/>
        <w:spacing w:before="6"/>
        <w:rPr>
          <w:b/>
          <w:sz w:val="22"/>
        </w:rPr>
      </w:pPr>
    </w:p>
    <w:p>
      <w:pPr>
        <w:pStyle w:val="BodyText"/>
        <w:ind w:left="320" w:right="1496"/>
      </w:pPr>
      <w:r>
        <w:rPr/>
        <w:t>For bicycles, a project in Salem on Commercial Street was selected for testing of risk score calculations for bicycle crashes. The whole segment was cut off to three smaller segments at signalized intersections and the risk scores are calculated by t</w:t>
      </w:r>
      <w:hyperlink w:history="true" w:anchor="_bookmark67">
        <w:r>
          <w:rPr/>
          <w:t>he tool. Table 8.7</w:t>
        </w:r>
      </w:hyperlink>
      <w:r>
        <w:rPr/>
        <w:t> shows the results of the risk scores. The calculated risk scores are well above the 75</w:t>
      </w:r>
      <w:r>
        <w:rPr>
          <w:vertAlign w:val="superscript"/>
        </w:rPr>
        <w:t>th</w:t>
      </w:r>
      <w:r>
        <w:rPr>
          <w:vertAlign w:val="baseline"/>
        </w:rPr>
        <w:t> percentile score of 61.</w:t>
      </w:r>
    </w:p>
    <w:p>
      <w:pPr>
        <w:spacing w:before="242"/>
        <w:ind w:left="320" w:right="0" w:firstLine="0"/>
        <w:jc w:val="left"/>
        <w:rPr>
          <w:b/>
          <w:sz w:val="20"/>
        </w:rPr>
      </w:pPr>
      <w:bookmarkStart w:name="_bookmark67" w:id="300"/>
      <w:bookmarkEnd w:id="300"/>
      <w:r>
        <w:rPr/>
      </w:r>
      <w:r>
        <w:rPr>
          <w:b/>
          <w:sz w:val="20"/>
        </w:rPr>
        <w:t>Table 8.7: Risk Scores for Validation Segment for Bicycles</w:t>
      </w: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953"/>
        <w:gridCol w:w="1473"/>
        <w:gridCol w:w="6241"/>
        <w:gridCol w:w="696"/>
      </w:tblGrid>
      <w:tr>
        <w:trPr>
          <w:trHeight w:val="230" w:hRule="atLeast"/>
        </w:trPr>
        <w:tc>
          <w:tcPr>
            <w:tcW w:w="953" w:type="dxa"/>
            <w:tcBorders>
              <w:left w:val="nil"/>
              <w:right w:val="single" w:sz="4" w:space="0" w:color="000000"/>
            </w:tcBorders>
          </w:tcPr>
          <w:p>
            <w:pPr>
              <w:pStyle w:val="TableParagraph"/>
              <w:spacing w:line="210" w:lineRule="exact"/>
              <w:ind w:left="108"/>
              <w:rPr>
                <w:b/>
                <w:sz w:val="20"/>
              </w:rPr>
            </w:pPr>
            <w:r>
              <w:rPr>
                <w:b/>
                <w:sz w:val="20"/>
              </w:rPr>
              <w:t>Agency</w:t>
            </w:r>
          </w:p>
        </w:tc>
        <w:tc>
          <w:tcPr>
            <w:tcW w:w="1473" w:type="dxa"/>
            <w:tcBorders>
              <w:left w:val="single" w:sz="4" w:space="0" w:color="000000"/>
              <w:right w:val="single" w:sz="4" w:space="0" w:color="000000"/>
            </w:tcBorders>
          </w:tcPr>
          <w:p>
            <w:pPr>
              <w:pStyle w:val="TableParagraph"/>
              <w:spacing w:line="210" w:lineRule="exact"/>
              <w:ind w:left="102"/>
              <w:rPr>
                <w:b/>
                <w:sz w:val="20"/>
              </w:rPr>
            </w:pPr>
            <w:r>
              <w:rPr>
                <w:b/>
                <w:sz w:val="20"/>
              </w:rPr>
              <w:t>Name</w:t>
            </w:r>
          </w:p>
        </w:tc>
        <w:tc>
          <w:tcPr>
            <w:tcW w:w="6241" w:type="dxa"/>
            <w:tcBorders>
              <w:left w:val="single" w:sz="4" w:space="0" w:color="000000"/>
              <w:right w:val="single" w:sz="4" w:space="0" w:color="000000"/>
            </w:tcBorders>
          </w:tcPr>
          <w:p>
            <w:pPr>
              <w:pStyle w:val="TableParagraph"/>
              <w:spacing w:line="210" w:lineRule="exact"/>
              <w:ind w:left="102"/>
              <w:rPr>
                <w:b/>
                <w:sz w:val="20"/>
              </w:rPr>
            </w:pPr>
            <w:r>
              <w:rPr>
                <w:b/>
                <w:sz w:val="20"/>
              </w:rPr>
              <w:t>Countermeasures</w:t>
            </w:r>
          </w:p>
        </w:tc>
        <w:tc>
          <w:tcPr>
            <w:tcW w:w="696" w:type="dxa"/>
            <w:tcBorders>
              <w:left w:val="single" w:sz="4" w:space="0" w:color="000000"/>
              <w:right w:val="nil"/>
            </w:tcBorders>
          </w:tcPr>
          <w:p>
            <w:pPr>
              <w:pStyle w:val="TableParagraph"/>
              <w:spacing w:line="210" w:lineRule="exact"/>
              <w:ind w:left="101"/>
              <w:rPr>
                <w:b/>
                <w:sz w:val="20"/>
              </w:rPr>
            </w:pPr>
            <w:r>
              <w:rPr>
                <w:b/>
                <w:sz w:val="20"/>
              </w:rPr>
              <w:t>B/C</w:t>
            </w:r>
          </w:p>
        </w:tc>
      </w:tr>
      <w:tr>
        <w:trPr>
          <w:trHeight w:val="919" w:hRule="atLeast"/>
        </w:trPr>
        <w:tc>
          <w:tcPr>
            <w:tcW w:w="953" w:type="dxa"/>
            <w:tcBorders>
              <w:left w:val="nil"/>
              <w:right w:val="single" w:sz="4" w:space="0" w:color="000000"/>
            </w:tcBorders>
          </w:tcPr>
          <w:p>
            <w:pPr>
              <w:pStyle w:val="TableParagraph"/>
              <w:spacing w:before="7"/>
              <w:rPr>
                <w:b/>
                <w:sz w:val="29"/>
              </w:rPr>
            </w:pPr>
          </w:p>
          <w:p>
            <w:pPr>
              <w:pStyle w:val="TableParagraph"/>
              <w:spacing w:before="1"/>
              <w:ind w:left="108"/>
              <w:rPr>
                <w:sz w:val="20"/>
              </w:rPr>
            </w:pPr>
            <w:r>
              <w:rPr>
                <w:sz w:val="20"/>
              </w:rPr>
              <w:t>Salem</w:t>
            </w:r>
          </w:p>
        </w:tc>
        <w:tc>
          <w:tcPr>
            <w:tcW w:w="1473" w:type="dxa"/>
            <w:tcBorders>
              <w:left w:val="single" w:sz="4" w:space="0" w:color="000000"/>
              <w:right w:val="single" w:sz="4" w:space="0" w:color="000000"/>
            </w:tcBorders>
          </w:tcPr>
          <w:p>
            <w:pPr>
              <w:pStyle w:val="TableParagraph"/>
              <w:spacing w:before="7"/>
              <w:rPr>
                <w:b/>
                <w:sz w:val="29"/>
              </w:rPr>
            </w:pPr>
          </w:p>
          <w:p>
            <w:pPr>
              <w:pStyle w:val="TableParagraph"/>
              <w:spacing w:before="1"/>
              <w:ind w:left="102"/>
              <w:rPr>
                <w:sz w:val="20"/>
              </w:rPr>
            </w:pPr>
            <w:r>
              <w:rPr>
                <w:sz w:val="20"/>
              </w:rPr>
              <w:t>Commercial St</w:t>
            </w:r>
          </w:p>
        </w:tc>
        <w:tc>
          <w:tcPr>
            <w:tcW w:w="6241" w:type="dxa"/>
            <w:tcBorders>
              <w:left w:val="single" w:sz="4" w:space="0" w:color="000000"/>
              <w:right w:val="single" w:sz="4" w:space="0" w:color="000000"/>
            </w:tcBorders>
          </w:tcPr>
          <w:p>
            <w:pPr>
              <w:pStyle w:val="TableParagraph"/>
              <w:tabs>
                <w:tab w:pos="1245" w:val="left" w:leader="none"/>
                <w:tab w:pos="1999" w:val="left" w:leader="none"/>
                <w:tab w:pos="3186" w:val="left" w:leader="none"/>
                <w:tab w:pos="4585" w:val="left" w:leader="none"/>
                <w:tab w:pos="5649" w:val="left" w:leader="none"/>
              </w:tabs>
              <w:ind w:left="101" w:right="101"/>
              <w:jc w:val="both"/>
              <w:rPr>
                <w:sz w:val="20"/>
              </w:rPr>
            </w:pPr>
            <w:r>
              <w:rPr>
                <w:b/>
                <w:sz w:val="20"/>
              </w:rPr>
              <w:t>BP20</w:t>
              <w:tab/>
            </w:r>
            <w:r>
              <w:rPr>
                <w:sz w:val="20"/>
              </w:rPr>
              <w:t>-</w:t>
              <w:tab/>
              <w:t>Install</w:t>
              <w:tab/>
              <w:t>Buffered</w:t>
              <w:tab/>
              <w:t>Bike</w:t>
              <w:tab/>
            </w:r>
            <w:r>
              <w:rPr>
                <w:spacing w:val="-5"/>
                <w:sz w:val="20"/>
              </w:rPr>
              <w:t>Lanes </w:t>
            </w:r>
            <w:r>
              <w:rPr>
                <w:b/>
                <w:sz w:val="20"/>
              </w:rPr>
              <w:t>BP2    </w:t>
            </w:r>
            <w:r>
              <w:rPr>
                <w:sz w:val="20"/>
              </w:rPr>
              <w:t>-    Provide    Intersection    Illumination    (Bike     &amp;     Ped)   </w:t>
            </w:r>
            <w:r>
              <w:rPr>
                <w:b/>
                <w:sz w:val="20"/>
              </w:rPr>
              <w:t>BP10 </w:t>
            </w:r>
            <w:r>
              <w:rPr>
                <w:sz w:val="20"/>
              </w:rPr>
              <w:t>- Install Rectangular Rapid Flashing Beacon with Median (3-Lane</w:t>
            </w:r>
            <w:r>
              <w:rPr>
                <w:spacing w:val="-31"/>
                <w:sz w:val="20"/>
              </w:rPr>
              <w:t> </w:t>
            </w:r>
            <w:r>
              <w:rPr>
                <w:sz w:val="20"/>
              </w:rPr>
              <w:t>or</w:t>
            </w:r>
          </w:p>
          <w:p>
            <w:pPr>
              <w:pStyle w:val="TableParagraph"/>
              <w:spacing w:line="212" w:lineRule="exact"/>
              <w:ind w:left="102"/>
              <w:jc w:val="both"/>
              <w:rPr>
                <w:sz w:val="20"/>
              </w:rPr>
            </w:pPr>
            <w:r>
              <w:rPr>
                <w:sz w:val="20"/>
              </w:rPr>
              <w:t>More Roadway)</w:t>
            </w:r>
          </w:p>
        </w:tc>
        <w:tc>
          <w:tcPr>
            <w:tcW w:w="696" w:type="dxa"/>
            <w:tcBorders>
              <w:left w:val="single" w:sz="4" w:space="0" w:color="000000"/>
              <w:right w:val="nil"/>
            </w:tcBorders>
          </w:tcPr>
          <w:p>
            <w:pPr>
              <w:pStyle w:val="TableParagraph"/>
              <w:spacing w:before="7"/>
              <w:rPr>
                <w:b/>
                <w:sz w:val="29"/>
              </w:rPr>
            </w:pPr>
          </w:p>
          <w:p>
            <w:pPr>
              <w:pStyle w:val="TableParagraph"/>
              <w:spacing w:before="1"/>
              <w:ind w:left="101"/>
              <w:rPr>
                <w:sz w:val="20"/>
              </w:rPr>
            </w:pPr>
            <w:r>
              <w:rPr>
                <w:sz w:val="20"/>
              </w:rPr>
              <w:t>0.32</w:t>
            </w:r>
          </w:p>
        </w:tc>
      </w:tr>
    </w:tbl>
    <w:p>
      <w:pPr>
        <w:spacing w:after="0"/>
        <w:rPr>
          <w:sz w:val="20"/>
        </w:rPr>
        <w:sectPr>
          <w:pgSz w:w="12240" w:h="15840"/>
          <w:pgMar w:header="0" w:footer="709" w:top="920" w:bottom="980" w:left="1120" w:right="0"/>
        </w:sectPr>
      </w:pPr>
    </w:p>
    <w:p>
      <w:pPr>
        <w:pStyle w:val="BodyText"/>
        <w:spacing w:before="11"/>
        <w:rPr>
          <w:b/>
          <w:sz w:val="19"/>
        </w:rPr>
      </w:pPr>
    </w:p>
    <w:p>
      <w:pPr>
        <w:spacing w:before="0"/>
        <w:ind w:left="320" w:right="0" w:firstLine="0"/>
        <w:jc w:val="left"/>
        <w:rPr>
          <w:b/>
          <w:sz w:val="20"/>
        </w:rPr>
      </w:pPr>
      <w:r>
        <w:rPr>
          <w:b/>
          <w:sz w:val="20"/>
        </w:rPr>
        <w:t>Variable</w:t>
      </w:r>
    </w:p>
    <w:p>
      <w:pPr>
        <w:spacing w:before="0"/>
        <w:ind w:left="320" w:right="0" w:firstLine="0"/>
        <w:jc w:val="both"/>
        <w:rPr>
          <w:b/>
          <w:sz w:val="20"/>
        </w:rPr>
      </w:pPr>
      <w:r>
        <w:rPr/>
        <w:br w:type="column"/>
      </w:r>
      <w:r>
        <w:rPr>
          <w:b/>
          <w:sz w:val="20"/>
        </w:rPr>
        <w:t>Commercial St From Alice Ave to Boice St</w:t>
      </w:r>
    </w:p>
    <w:p>
      <w:pPr>
        <w:spacing w:before="0"/>
        <w:ind w:left="175" w:right="0" w:firstLine="0"/>
        <w:jc w:val="both"/>
        <w:rPr>
          <w:b/>
          <w:sz w:val="20"/>
        </w:rPr>
      </w:pPr>
      <w:r>
        <w:rPr/>
        <w:br w:type="column"/>
      </w:r>
      <w:r>
        <w:rPr>
          <w:b/>
          <w:sz w:val="20"/>
        </w:rPr>
        <w:t>Commercial </w:t>
      </w:r>
      <w:r>
        <w:rPr>
          <w:b/>
          <w:spacing w:val="-11"/>
          <w:sz w:val="20"/>
        </w:rPr>
        <w:t>St </w:t>
      </w:r>
      <w:r>
        <w:rPr>
          <w:b/>
          <w:sz w:val="20"/>
        </w:rPr>
        <w:t>Vista Ave </w:t>
      </w:r>
      <w:r>
        <w:rPr>
          <w:b/>
          <w:spacing w:val="-8"/>
          <w:sz w:val="20"/>
        </w:rPr>
        <w:t>to </w:t>
      </w:r>
      <w:r>
        <w:rPr>
          <w:b/>
          <w:sz w:val="20"/>
        </w:rPr>
        <w:t>Alice</w:t>
      </w:r>
      <w:r>
        <w:rPr>
          <w:b/>
          <w:spacing w:val="-1"/>
          <w:sz w:val="20"/>
        </w:rPr>
        <w:t> </w:t>
      </w:r>
      <w:r>
        <w:rPr>
          <w:b/>
          <w:sz w:val="20"/>
        </w:rPr>
        <w:t>Ave</w:t>
      </w:r>
    </w:p>
    <w:p>
      <w:pPr>
        <w:spacing w:before="0"/>
        <w:ind w:left="175" w:right="0" w:firstLine="0"/>
        <w:jc w:val="both"/>
        <w:rPr>
          <w:b/>
          <w:sz w:val="20"/>
        </w:rPr>
      </w:pPr>
      <w:r>
        <w:rPr/>
        <w:br w:type="column"/>
      </w:r>
      <w:r>
        <w:rPr>
          <w:b/>
          <w:sz w:val="20"/>
        </w:rPr>
        <w:t>Commercial St Boice  St to Hoyt St</w:t>
      </w:r>
    </w:p>
    <w:p>
      <w:pPr>
        <w:spacing w:before="114"/>
        <w:ind w:left="175" w:right="-19" w:firstLine="0"/>
        <w:jc w:val="left"/>
        <w:rPr>
          <w:b/>
          <w:sz w:val="20"/>
        </w:rPr>
      </w:pPr>
      <w:r>
        <w:rPr/>
        <w:br w:type="column"/>
      </w:r>
      <w:r>
        <w:rPr>
          <w:b/>
          <w:sz w:val="20"/>
        </w:rPr>
        <w:t>Risk Score</w:t>
      </w:r>
    </w:p>
    <w:p>
      <w:pPr>
        <w:spacing w:before="114"/>
        <w:ind w:left="201" w:right="-18" w:firstLine="0"/>
        <w:jc w:val="left"/>
        <w:rPr>
          <w:b/>
          <w:sz w:val="20"/>
        </w:rPr>
      </w:pPr>
      <w:r>
        <w:rPr/>
        <w:br w:type="column"/>
      </w:r>
      <w:r>
        <w:rPr>
          <w:b/>
          <w:sz w:val="20"/>
        </w:rPr>
        <w:t>Risk Score</w:t>
      </w:r>
    </w:p>
    <w:p>
      <w:pPr>
        <w:spacing w:before="114"/>
        <w:ind w:left="200" w:right="1636" w:firstLine="0"/>
        <w:jc w:val="left"/>
        <w:rPr>
          <w:b/>
          <w:sz w:val="20"/>
        </w:rPr>
      </w:pPr>
      <w:r>
        <w:rPr/>
        <w:br w:type="column"/>
      </w:r>
      <w:r>
        <w:rPr>
          <w:b/>
          <w:sz w:val="20"/>
        </w:rPr>
        <w:t>Risk Score</w:t>
      </w:r>
    </w:p>
    <w:p>
      <w:pPr>
        <w:spacing w:after="0"/>
        <w:jc w:val="left"/>
        <w:rPr>
          <w:sz w:val="20"/>
        </w:rPr>
        <w:sectPr>
          <w:type w:val="continuous"/>
          <w:pgSz w:w="12240" w:h="15840"/>
          <w:pgMar w:top="1500" w:bottom="280" w:left="1120" w:right="0"/>
          <w:cols w:num="7" w:equalWidth="0">
            <w:col w:w="1106" w:space="1319"/>
            <w:col w:w="1897" w:space="40"/>
            <w:col w:w="1648" w:space="39"/>
            <w:col w:w="1283" w:space="39"/>
            <w:col w:w="654" w:space="40"/>
            <w:col w:w="681" w:space="40"/>
            <w:col w:w="2334"/>
          </w:cols>
        </w:sectPr>
      </w:pPr>
    </w:p>
    <w:tbl>
      <w:tblPr>
        <w:tblW w:w="0" w:type="auto"/>
        <w:jc w:val="left"/>
        <w:tblInd w:w="21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2425"/>
        <w:gridCol w:w="1791"/>
        <w:gridCol w:w="1687"/>
        <w:gridCol w:w="1323"/>
        <w:gridCol w:w="718"/>
        <w:gridCol w:w="718"/>
        <w:gridCol w:w="694"/>
      </w:tblGrid>
      <w:tr>
        <w:trPr>
          <w:trHeight w:val="460" w:hRule="atLeast"/>
        </w:trPr>
        <w:tc>
          <w:tcPr>
            <w:tcW w:w="2425" w:type="dxa"/>
            <w:tcBorders>
              <w:left w:val="nil"/>
              <w:bottom w:val="single" w:sz="4" w:space="0" w:color="000000"/>
              <w:right w:val="single" w:sz="4" w:space="0" w:color="000000"/>
            </w:tcBorders>
          </w:tcPr>
          <w:p>
            <w:pPr>
              <w:pStyle w:val="TableParagraph"/>
              <w:tabs>
                <w:tab w:pos="1063" w:val="left" w:leader="none"/>
                <w:tab w:pos="1738" w:val="left" w:leader="none"/>
              </w:tabs>
              <w:spacing w:line="227" w:lineRule="exact"/>
              <w:ind w:left="108"/>
              <w:rPr>
                <w:sz w:val="20"/>
              </w:rPr>
            </w:pPr>
            <w:r>
              <w:rPr>
                <w:sz w:val="20"/>
              </w:rPr>
              <w:t>Average</w:t>
              <w:tab/>
              <w:t>daily</w:t>
              <w:tab/>
              <w:t>bicycle</w:t>
            </w:r>
          </w:p>
          <w:p>
            <w:pPr>
              <w:pStyle w:val="TableParagraph"/>
              <w:spacing w:line="213" w:lineRule="exact"/>
              <w:ind w:left="108"/>
              <w:rPr>
                <w:sz w:val="20"/>
              </w:rPr>
            </w:pPr>
            <w:r>
              <w:rPr>
                <w:sz w:val="20"/>
              </w:rPr>
              <w:t>volume per day</w:t>
            </w:r>
          </w:p>
        </w:tc>
        <w:tc>
          <w:tcPr>
            <w:tcW w:w="1791" w:type="dxa"/>
            <w:tcBorders>
              <w:left w:val="single" w:sz="4" w:space="0" w:color="000000"/>
              <w:bottom w:val="single" w:sz="4" w:space="0" w:color="000000"/>
              <w:right w:val="single" w:sz="4" w:space="0" w:color="000000"/>
            </w:tcBorders>
          </w:tcPr>
          <w:p>
            <w:pPr>
              <w:pStyle w:val="TableParagraph"/>
              <w:spacing w:before="112"/>
              <w:ind w:left="103"/>
              <w:rPr>
                <w:sz w:val="20"/>
              </w:rPr>
            </w:pPr>
            <w:r>
              <w:rPr>
                <w:sz w:val="20"/>
              </w:rPr>
              <w:t>653</w:t>
            </w:r>
          </w:p>
        </w:tc>
        <w:tc>
          <w:tcPr>
            <w:tcW w:w="1687" w:type="dxa"/>
            <w:tcBorders>
              <w:left w:val="single" w:sz="4" w:space="0" w:color="000000"/>
              <w:bottom w:val="single" w:sz="4" w:space="0" w:color="000000"/>
              <w:right w:val="single" w:sz="4" w:space="0" w:color="000000"/>
            </w:tcBorders>
          </w:tcPr>
          <w:p>
            <w:pPr>
              <w:pStyle w:val="TableParagraph"/>
              <w:spacing w:before="112"/>
              <w:ind w:left="103"/>
              <w:rPr>
                <w:sz w:val="20"/>
              </w:rPr>
            </w:pPr>
            <w:r>
              <w:rPr>
                <w:sz w:val="20"/>
              </w:rPr>
              <w:t>529</w:t>
            </w:r>
          </w:p>
        </w:tc>
        <w:tc>
          <w:tcPr>
            <w:tcW w:w="1323" w:type="dxa"/>
            <w:tcBorders>
              <w:left w:val="single" w:sz="4" w:space="0" w:color="000000"/>
              <w:bottom w:val="single" w:sz="4" w:space="0" w:color="000000"/>
              <w:right w:val="single" w:sz="4" w:space="0" w:color="000000"/>
            </w:tcBorders>
          </w:tcPr>
          <w:p>
            <w:pPr>
              <w:pStyle w:val="TableParagraph"/>
              <w:spacing w:before="112"/>
              <w:ind w:left="103"/>
              <w:rPr>
                <w:sz w:val="20"/>
              </w:rPr>
            </w:pPr>
            <w:r>
              <w:rPr>
                <w:sz w:val="20"/>
              </w:rPr>
              <w:t>789</w:t>
            </w:r>
          </w:p>
        </w:tc>
        <w:tc>
          <w:tcPr>
            <w:tcW w:w="718" w:type="dxa"/>
            <w:tcBorders>
              <w:left w:val="single" w:sz="4" w:space="0" w:color="000000"/>
              <w:bottom w:val="single" w:sz="4" w:space="0" w:color="000000"/>
              <w:right w:val="single" w:sz="4" w:space="0" w:color="000000"/>
            </w:tcBorders>
          </w:tcPr>
          <w:p>
            <w:pPr>
              <w:pStyle w:val="TableParagraph"/>
              <w:spacing w:before="112"/>
              <w:ind w:left="103"/>
              <w:rPr>
                <w:sz w:val="20"/>
              </w:rPr>
            </w:pPr>
            <w:r>
              <w:rPr>
                <w:sz w:val="20"/>
              </w:rPr>
              <w:t>15</w:t>
            </w:r>
          </w:p>
        </w:tc>
        <w:tc>
          <w:tcPr>
            <w:tcW w:w="718" w:type="dxa"/>
            <w:tcBorders>
              <w:left w:val="single" w:sz="4" w:space="0" w:color="000000"/>
              <w:bottom w:val="single" w:sz="4" w:space="0" w:color="000000"/>
              <w:right w:val="single" w:sz="4" w:space="0" w:color="000000"/>
            </w:tcBorders>
          </w:tcPr>
          <w:p>
            <w:pPr>
              <w:pStyle w:val="TableParagraph"/>
              <w:spacing w:before="112"/>
              <w:ind w:left="105"/>
              <w:rPr>
                <w:sz w:val="20"/>
              </w:rPr>
            </w:pPr>
            <w:r>
              <w:rPr>
                <w:sz w:val="20"/>
              </w:rPr>
              <w:t>15</w:t>
            </w:r>
          </w:p>
        </w:tc>
        <w:tc>
          <w:tcPr>
            <w:tcW w:w="694" w:type="dxa"/>
            <w:tcBorders>
              <w:left w:val="single" w:sz="4" w:space="0" w:color="000000"/>
              <w:bottom w:val="single" w:sz="4" w:space="0" w:color="000000"/>
              <w:right w:val="nil"/>
            </w:tcBorders>
          </w:tcPr>
          <w:p>
            <w:pPr>
              <w:pStyle w:val="TableParagraph"/>
              <w:spacing w:before="112"/>
              <w:ind w:left="106"/>
              <w:rPr>
                <w:sz w:val="20"/>
              </w:rPr>
            </w:pPr>
            <w:r>
              <w:rPr>
                <w:sz w:val="20"/>
              </w:rPr>
              <w:t>15</w:t>
            </w:r>
          </w:p>
        </w:tc>
      </w:tr>
      <w:tr>
        <w:trPr>
          <w:trHeight w:val="373" w:hRule="atLeast"/>
        </w:trPr>
        <w:tc>
          <w:tcPr>
            <w:tcW w:w="2425" w:type="dxa"/>
            <w:tcBorders>
              <w:top w:val="single" w:sz="4" w:space="0" w:color="000000"/>
              <w:left w:val="nil"/>
              <w:bottom w:val="single" w:sz="4" w:space="0" w:color="000000"/>
              <w:right w:val="single" w:sz="4" w:space="0" w:color="000000"/>
            </w:tcBorders>
          </w:tcPr>
          <w:p>
            <w:pPr>
              <w:pStyle w:val="TableParagraph"/>
              <w:spacing w:before="68"/>
              <w:ind w:left="108"/>
              <w:rPr>
                <w:sz w:val="20"/>
              </w:rPr>
            </w:pPr>
            <w:r>
              <w:rPr>
                <w:sz w:val="20"/>
              </w:rPr>
              <w:t>AADT</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before="68"/>
              <w:ind w:left="103"/>
              <w:rPr>
                <w:sz w:val="20"/>
              </w:rPr>
            </w:pPr>
            <w:r>
              <w:rPr>
                <w:sz w:val="20"/>
              </w:rPr>
              <w:t>32400</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before="68"/>
              <w:ind w:left="103"/>
              <w:rPr>
                <w:sz w:val="20"/>
              </w:rPr>
            </w:pPr>
            <w:r>
              <w:rPr>
                <w:sz w:val="20"/>
              </w:rPr>
              <w:t>23300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before="68"/>
              <w:ind w:left="103"/>
              <w:rPr>
                <w:sz w:val="20"/>
              </w:rPr>
            </w:pPr>
            <w:r>
              <w:rPr>
                <w:sz w:val="20"/>
              </w:rPr>
              <w:t>24200</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before="68"/>
              <w:ind w:left="103"/>
              <w:rPr>
                <w:sz w:val="20"/>
              </w:rPr>
            </w:pPr>
            <w:r>
              <w:rPr>
                <w:sz w:val="20"/>
              </w:rPr>
              <w:t>25</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before="68"/>
              <w:ind w:left="105"/>
              <w:rPr>
                <w:sz w:val="20"/>
              </w:rPr>
            </w:pPr>
            <w:r>
              <w:rPr>
                <w:sz w:val="20"/>
              </w:rPr>
              <w:t>19</w:t>
            </w:r>
          </w:p>
        </w:tc>
        <w:tc>
          <w:tcPr>
            <w:tcW w:w="694" w:type="dxa"/>
            <w:tcBorders>
              <w:top w:val="single" w:sz="4" w:space="0" w:color="000000"/>
              <w:left w:val="single" w:sz="4" w:space="0" w:color="000000"/>
              <w:bottom w:val="single" w:sz="4" w:space="0" w:color="000000"/>
              <w:right w:val="nil"/>
            </w:tcBorders>
          </w:tcPr>
          <w:p>
            <w:pPr>
              <w:pStyle w:val="TableParagraph"/>
              <w:spacing w:before="68"/>
              <w:ind w:left="106"/>
              <w:rPr>
                <w:sz w:val="20"/>
              </w:rPr>
            </w:pPr>
            <w:r>
              <w:rPr>
                <w:sz w:val="20"/>
              </w:rPr>
              <w:t>19</w:t>
            </w:r>
          </w:p>
        </w:tc>
      </w:tr>
      <w:tr>
        <w:trPr>
          <w:trHeight w:val="690" w:hRule="atLeast"/>
        </w:trPr>
        <w:tc>
          <w:tcPr>
            <w:tcW w:w="2425" w:type="dxa"/>
            <w:tcBorders>
              <w:top w:val="single" w:sz="4" w:space="0" w:color="000000"/>
              <w:left w:val="nil"/>
              <w:bottom w:val="single" w:sz="4" w:space="0" w:color="000000"/>
              <w:right w:val="single" w:sz="4" w:space="0" w:color="000000"/>
            </w:tcBorders>
          </w:tcPr>
          <w:p>
            <w:pPr>
              <w:pStyle w:val="TableParagraph"/>
              <w:tabs>
                <w:tab w:pos="1384" w:val="left" w:leader="none"/>
              </w:tabs>
              <w:ind w:left="108" w:right="100"/>
              <w:rPr>
                <w:sz w:val="20"/>
              </w:rPr>
            </w:pPr>
            <w:r>
              <w:rPr>
                <w:sz w:val="20"/>
              </w:rPr>
              <w:t>Three-leg</w:t>
              <w:tab/>
            </w:r>
            <w:r>
              <w:rPr>
                <w:spacing w:val="-1"/>
                <w:sz w:val="20"/>
              </w:rPr>
              <w:t>intersection </w:t>
            </w:r>
            <w:r>
              <w:rPr>
                <w:sz w:val="20"/>
              </w:rPr>
              <w:t>density per square</w:t>
            </w:r>
            <w:r>
              <w:rPr>
                <w:spacing w:val="36"/>
                <w:sz w:val="20"/>
              </w:rPr>
              <w:t> </w:t>
            </w:r>
            <w:r>
              <w:rPr>
                <w:sz w:val="20"/>
              </w:rPr>
              <w:t>mile</w:t>
            </w:r>
          </w:p>
          <w:p>
            <w:pPr>
              <w:pStyle w:val="TableParagraph"/>
              <w:spacing w:line="213" w:lineRule="exact"/>
              <w:ind w:left="108"/>
              <w:rPr>
                <w:sz w:val="20"/>
              </w:rPr>
            </w:pPr>
            <w:r>
              <w:rPr>
                <w:sz w:val="20"/>
              </w:rPr>
              <w:t>(EPA Smart Location)</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03"/>
              <w:rPr>
                <w:sz w:val="20"/>
              </w:rPr>
            </w:pPr>
            <w:r>
              <w:rPr>
                <w:sz w:val="20"/>
              </w:rPr>
              <w:t>254.25</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03"/>
              <w:rPr>
                <w:sz w:val="20"/>
              </w:rPr>
            </w:pPr>
            <w:r>
              <w:rPr>
                <w:sz w:val="20"/>
              </w:rPr>
              <w:t>174.41</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03"/>
              <w:rPr>
                <w:sz w:val="20"/>
              </w:rPr>
            </w:pPr>
            <w:r>
              <w:rPr>
                <w:sz w:val="20"/>
              </w:rPr>
              <w:t>254.25</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03"/>
              <w:rPr>
                <w:sz w:val="20"/>
              </w:rPr>
            </w:pPr>
            <w:r>
              <w:rPr>
                <w:sz w:val="20"/>
              </w:rPr>
              <w:t>16</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before="8"/>
              <w:rPr>
                <w:b/>
                <w:sz w:val="19"/>
              </w:rPr>
            </w:pPr>
          </w:p>
          <w:p>
            <w:pPr>
              <w:pStyle w:val="TableParagraph"/>
              <w:ind w:left="105"/>
              <w:rPr>
                <w:sz w:val="20"/>
              </w:rPr>
            </w:pPr>
            <w:r>
              <w:rPr>
                <w:sz w:val="20"/>
              </w:rPr>
              <w:t>13</w:t>
            </w:r>
          </w:p>
        </w:tc>
        <w:tc>
          <w:tcPr>
            <w:tcW w:w="694" w:type="dxa"/>
            <w:tcBorders>
              <w:top w:val="single" w:sz="4" w:space="0" w:color="000000"/>
              <w:left w:val="single" w:sz="4" w:space="0" w:color="000000"/>
              <w:bottom w:val="single" w:sz="4" w:space="0" w:color="000000"/>
              <w:right w:val="nil"/>
            </w:tcBorders>
          </w:tcPr>
          <w:p>
            <w:pPr>
              <w:pStyle w:val="TableParagraph"/>
              <w:spacing w:before="8"/>
              <w:rPr>
                <w:b/>
                <w:sz w:val="19"/>
              </w:rPr>
            </w:pPr>
          </w:p>
          <w:p>
            <w:pPr>
              <w:pStyle w:val="TableParagraph"/>
              <w:ind w:left="106"/>
              <w:rPr>
                <w:sz w:val="20"/>
              </w:rPr>
            </w:pPr>
            <w:r>
              <w:rPr>
                <w:sz w:val="20"/>
              </w:rPr>
              <w:t>16</w:t>
            </w:r>
          </w:p>
        </w:tc>
      </w:tr>
      <w:tr>
        <w:trPr>
          <w:trHeight w:val="375" w:hRule="atLeast"/>
        </w:trPr>
        <w:tc>
          <w:tcPr>
            <w:tcW w:w="2425" w:type="dxa"/>
            <w:tcBorders>
              <w:top w:val="single" w:sz="4" w:space="0" w:color="000000"/>
              <w:left w:val="nil"/>
              <w:right w:val="single" w:sz="4" w:space="0" w:color="000000"/>
            </w:tcBorders>
          </w:tcPr>
          <w:p>
            <w:pPr>
              <w:pStyle w:val="TableParagraph"/>
              <w:spacing w:before="68"/>
              <w:ind w:left="108"/>
              <w:rPr>
                <w:sz w:val="20"/>
              </w:rPr>
            </w:pPr>
            <w:r>
              <w:rPr>
                <w:sz w:val="20"/>
              </w:rPr>
              <w:t>Presence of crosswalk</w:t>
            </w:r>
          </w:p>
        </w:tc>
        <w:tc>
          <w:tcPr>
            <w:tcW w:w="1791" w:type="dxa"/>
            <w:tcBorders>
              <w:top w:val="single" w:sz="4" w:space="0" w:color="000000"/>
              <w:left w:val="single" w:sz="4" w:space="0" w:color="000000"/>
              <w:right w:val="single" w:sz="4" w:space="0" w:color="000000"/>
            </w:tcBorders>
          </w:tcPr>
          <w:p>
            <w:pPr>
              <w:pStyle w:val="TableParagraph"/>
              <w:spacing w:before="68"/>
              <w:ind w:left="103"/>
              <w:rPr>
                <w:sz w:val="20"/>
              </w:rPr>
            </w:pPr>
            <w:r>
              <w:rPr>
                <w:sz w:val="20"/>
              </w:rPr>
              <w:t>No</w:t>
            </w:r>
          </w:p>
        </w:tc>
        <w:tc>
          <w:tcPr>
            <w:tcW w:w="1687" w:type="dxa"/>
            <w:tcBorders>
              <w:top w:val="single" w:sz="4" w:space="0" w:color="000000"/>
              <w:left w:val="single" w:sz="4" w:space="0" w:color="000000"/>
              <w:right w:val="single" w:sz="4" w:space="0" w:color="000000"/>
            </w:tcBorders>
          </w:tcPr>
          <w:p>
            <w:pPr>
              <w:pStyle w:val="TableParagraph"/>
              <w:spacing w:before="68"/>
              <w:ind w:left="104"/>
              <w:rPr>
                <w:sz w:val="20"/>
              </w:rPr>
            </w:pPr>
            <w:r>
              <w:rPr>
                <w:sz w:val="20"/>
              </w:rPr>
              <w:t>No</w:t>
            </w:r>
          </w:p>
        </w:tc>
        <w:tc>
          <w:tcPr>
            <w:tcW w:w="1323" w:type="dxa"/>
            <w:tcBorders>
              <w:top w:val="single" w:sz="4" w:space="0" w:color="000000"/>
              <w:left w:val="single" w:sz="4" w:space="0" w:color="000000"/>
              <w:right w:val="single" w:sz="4" w:space="0" w:color="000000"/>
            </w:tcBorders>
          </w:tcPr>
          <w:p>
            <w:pPr>
              <w:pStyle w:val="TableParagraph"/>
              <w:spacing w:before="68"/>
              <w:ind w:left="104"/>
              <w:rPr>
                <w:sz w:val="20"/>
              </w:rPr>
            </w:pPr>
            <w:r>
              <w:rPr>
                <w:sz w:val="20"/>
              </w:rPr>
              <w:t>No</w:t>
            </w:r>
          </w:p>
        </w:tc>
        <w:tc>
          <w:tcPr>
            <w:tcW w:w="718" w:type="dxa"/>
            <w:tcBorders>
              <w:top w:val="single" w:sz="4" w:space="0" w:color="000000"/>
              <w:left w:val="single" w:sz="4" w:space="0" w:color="000000"/>
              <w:right w:val="single" w:sz="4" w:space="0" w:color="000000"/>
            </w:tcBorders>
          </w:tcPr>
          <w:p>
            <w:pPr>
              <w:pStyle w:val="TableParagraph"/>
              <w:spacing w:before="68"/>
              <w:ind w:left="103"/>
              <w:rPr>
                <w:sz w:val="20"/>
              </w:rPr>
            </w:pPr>
            <w:r>
              <w:rPr>
                <w:sz w:val="20"/>
              </w:rPr>
              <w:t>34</w:t>
            </w:r>
          </w:p>
        </w:tc>
        <w:tc>
          <w:tcPr>
            <w:tcW w:w="718" w:type="dxa"/>
            <w:tcBorders>
              <w:top w:val="single" w:sz="4" w:space="0" w:color="000000"/>
              <w:left w:val="single" w:sz="4" w:space="0" w:color="000000"/>
              <w:right w:val="single" w:sz="4" w:space="0" w:color="000000"/>
            </w:tcBorders>
          </w:tcPr>
          <w:p>
            <w:pPr>
              <w:pStyle w:val="TableParagraph"/>
              <w:spacing w:before="68"/>
              <w:ind w:left="105"/>
              <w:rPr>
                <w:sz w:val="20"/>
              </w:rPr>
            </w:pPr>
            <w:r>
              <w:rPr>
                <w:sz w:val="20"/>
              </w:rPr>
              <w:t>34</w:t>
            </w:r>
          </w:p>
        </w:tc>
        <w:tc>
          <w:tcPr>
            <w:tcW w:w="694" w:type="dxa"/>
            <w:tcBorders>
              <w:top w:val="single" w:sz="4" w:space="0" w:color="000000"/>
              <w:left w:val="single" w:sz="4" w:space="0" w:color="000000"/>
              <w:right w:val="nil"/>
            </w:tcBorders>
          </w:tcPr>
          <w:p>
            <w:pPr>
              <w:pStyle w:val="TableParagraph"/>
              <w:spacing w:before="68"/>
              <w:ind w:left="106"/>
              <w:rPr>
                <w:sz w:val="20"/>
              </w:rPr>
            </w:pPr>
            <w:r>
              <w:rPr>
                <w:sz w:val="20"/>
              </w:rPr>
              <w:t>34</w:t>
            </w:r>
          </w:p>
        </w:tc>
      </w:tr>
    </w:tbl>
    <w:p>
      <w:pPr>
        <w:pStyle w:val="BodyText"/>
        <w:spacing w:before="10"/>
        <w:rPr>
          <w:b/>
          <w:sz w:val="6"/>
        </w:rPr>
      </w:pPr>
    </w:p>
    <w:tbl>
      <w:tblPr>
        <w:tblW w:w="0" w:type="auto"/>
        <w:jc w:val="left"/>
        <w:tblInd w:w="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9"/>
        <w:gridCol w:w="3295"/>
        <w:gridCol w:w="720"/>
        <w:gridCol w:w="715"/>
      </w:tblGrid>
      <w:tr>
        <w:trPr>
          <w:trHeight w:val="294" w:hRule="atLeast"/>
        </w:trPr>
        <w:tc>
          <w:tcPr>
            <w:tcW w:w="4639" w:type="dxa"/>
            <w:tcBorders>
              <w:bottom w:val="single" w:sz="12" w:space="0" w:color="000000"/>
            </w:tcBorders>
          </w:tcPr>
          <w:p>
            <w:pPr>
              <w:pStyle w:val="TableParagraph"/>
              <w:spacing w:line="222" w:lineRule="exact"/>
              <w:ind w:left="115"/>
              <w:rPr>
                <w:b/>
                <w:sz w:val="20"/>
              </w:rPr>
            </w:pPr>
            <w:r>
              <w:rPr>
                <w:b/>
                <w:sz w:val="20"/>
              </w:rPr>
              <w:t>Total</w:t>
            </w:r>
          </w:p>
        </w:tc>
        <w:tc>
          <w:tcPr>
            <w:tcW w:w="3295" w:type="dxa"/>
            <w:tcBorders>
              <w:bottom w:val="single" w:sz="12" w:space="0" w:color="000000"/>
            </w:tcBorders>
          </w:tcPr>
          <w:p>
            <w:pPr>
              <w:pStyle w:val="TableParagraph"/>
              <w:spacing w:line="222" w:lineRule="exact"/>
              <w:ind w:left="2702"/>
              <w:rPr>
                <w:b/>
                <w:sz w:val="20"/>
              </w:rPr>
            </w:pPr>
            <w:r>
              <w:rPr>
                <w:b/>
                <w:sz w:val="20"/>
              </w:rPr>
              <w:t>90</w:t>
            </w:r>
          </w:p>
        </w:tc>
        <w:tc>
          <w:tcPr>
            <w:tcW w:w="720" w:type="dxa"/>
            <w:tcBorders>
              <w:bottom w:val="single" w:sz="12" w:space="0" w:color="000000"/>
            </w:tcBorders>
          </w:tcPr>
          <w:p>
            <w:pPr>
              <w:pStyle w:val="TableParagraph"/>
              <w:spacing w:line="222" w:lineRule="exact"/>
              <w:ind w:left="127"/>
              <w:rPr>
                <w:b/>
                <w:sz w:val="20"/>
              </w:rPr>
            </w:pPr>
            <w:r>
              <w:rPr>
                <w:b/>
                <w:sz w:val="20"/>
              </w:rPr>
              <w:t>81</w:t>
            </w:r>
          </w:p>
        </w:tc>
        <w:tc>
          <w:tcPr>
            <w:tcW w:w="715" w:type="dxa"/>
            <w:tcBorders>
              <w:bottom w:val="single" w:sz="12" w:space="0" w:color="000000"/>
            </w:tcBorders>
          </w:tcPr>
          <w:p>
            <w:pPr>
              <w:pStyle w:val="TableParagraph"/>
              <w:spacing w:line="222" w:lineRule="exact"/>
              <w:ind w:left="126"/>
              <w:rPr>
                <w:b/>
                <w:sz w:val="20"/>
              </w:rPr>
            </w:pPr>
            <w:r>
              <w:rPr>
                <w:b/>
                <w:sz w:val="20"/>
              </w:rPr>
              <w:t>81</w:t>
            </w:r>
          </w:p>
        </w:tc>
      </w:tr>
      <w:tr>
        <w:trPr>
          <w:trHeight w:val="375" w:hRule="atLeast"/>
        </w:trPr>
        <w:tc>
          <w:tcPr>
            <w:tcW w:w="4639" w:type="dxa"/>
            <w:tcBorders>
              <w:top w:val="single" w:sz="12" w:space="0" w:color="000000"/>
              <w:bottom w:val="single" w:sz="12" w:space="0" w:color="000000"/>
            </w:tcBorders>
          </w:tcPr>
          <w:p>
            <w:pPr>
              <w:pStyle w:val="TableParagraph"/>
              <w:spacing w:before="71"/>
              <w:ind w:left="115"/>
              <w:rPr>
                <w:b/>
                <w:sz w:val="20"/>
              </w:rPr>
            </w:pPr>
            <w:r>
              <w:rPr>
                <w:b/>
                <w:sz w:val="20"/>
              </w:rPr>
              <w:t>Risk Score Percentile</w:t>
            </w:r>
          </w:p>
        </w:tc>
        <w:tc>
          <w:tcPr>
            <w:tcW w:w="3295" w:type="dxa"/>
            <w:tcBorders>
              <w:top w:val="single" w:sz="12" w:space="0" w:color="000000"/>
              <w:bottom w:val="single" w:sz="12" w:space="0" w:color="000000"/>
            </w:tcBorders>
          </w:tcPr>
          <w:p>
            <w:pPr>
              <w:pStyle w:val="TableParagraph"/>
              <w:spacing w:before="69"/>
              <w:ind w:left="2702"/>
              <w:rPr>
                <w:sz w:val="20"/>
              </w:rPr>
            </w:pPr>
            <w:r>
              <w:rPr>
                <w:sz w:val="20"/>
              </w:rPr>
              <w:t>&gt; 75</w:t>
            </w:r>
            <w:r>
              <w:rPr>
                <w:sz w:val="20"/>
                <w:vertAlign w:val="superscript"/>
              </w:rPr>
              <w:t>th</w:t>
            </w:r>
          </w:p>
        </w:tc>
        <w:tc>
          <w:tcPr>
            <w:tcW w:w="720" w:type="dxa"/>
            <w:tcBorders>
              <w:top w:val="single" w:sz="12" w:space="0" w:color="000000"/>
              <w:bottom w:val="single" w:sz="12" w:space="0" w:color="000000"/>
            </w:tcBorders>
          </w:tcPr>
          <w:p>
            <w:pPr>
              <w:pStyle w:val="TableParagraph"/>
              <w:spacing w:before="69"/>
              <w:ind w:left="127"/>
              <w:rPr>
                <w:sz w:val="20"/>
              </w:rPr>
            </w:pPr>
            <w:r>
              <w:rPr>
                <w:sz w:val="20"/>
              </w:rPr>
              <w:t>&gt; 75</w:t>
            </w:r>
            <w:r>
              <w:rPr>
                <w:sz w:val="20"/>
                <w:vertAlign w:val="superscript"/>
              </w:rPr>
              <w:t>th</w:t>
            </w:r>
          </w:p>
        </w:tc>
        <w:tc>
          <w:tcPr>
            <w:tcW w:w="715" w:type="dxa"/>
            <w:tcBorders>
              <w:top w:val="single" w:sz="12" w:space="0" w:color="000000"/>
              <w:bottom w:val="single" w:sz="12" w:space="0" w:color="000000"/>
            </w:tcBorders>
          </w:tcPr>
          <w:p>
            <w:pPr>
              <w:pStyle w:val="TableParagraph"/>
              <w:spacing w:before="69"/>
              <w:ind w:left="126"/>
              <w:rPr>
                <w:sz w:val="20"/>
              </w:rPr>
            </w:pPr>
            <w:r>
              <w:rPr>
                <w:sz w:val="20"/>
              </w:rPr>
              <w:t>&gt; 75</w:t>
            </w:r>
            <w:r>
              <w:rPr>
                <w:sz w:val="20"/>
                <w:vertAlign w:val="superscript"/>
              </w:rPr>
              <w:t>th</w:t>
            </w:r>
          </w:p>
        </w:tc>
      </w:tr>
    </w:tbl>
    <w:p>
      <w:pPr>
        <w:pStyle w:val="BodyText"/>
        <w:spacing w:before="1"/>
        <w:rPr>
          <w:b/>
          <w:sz w:val="15"/>
        </w:rPr>
      </w:pPr>
    </w:p>
    <w:p>
      <w:pPr>
        <w:pStyle w:val="Heading3"/>
        <w:numPr>
          <w:ilvl w:val="1"/>
          <w:numId w:val="32"/>
        </w:numPr>
        <w:tabs>
          <w:tab w:pos="1039" w:val="left" w:leader="none"/>
          <w:tab w:pos="1040" w:val="left" w:leader="none"/>
        </w:tabs>
        <w:spacing w:line="240" w:lineRule="auto" w:before="88" w:after="0"/>
        <w:ind w:left="1039" w:right="0" w:hanging="719"/>
        <w:jc w:val="left"/>
      </w:pPr>
      <w:bookmarkStart w:name="_TOC_250003" w:id="301"/>
      <w:bookmarkStart w:name="8.3 SUMMARY" w:id="302"/>
      <w:r>
        <w:rPr>
          <w:b w:val="0"/>
        </w:rPr>
      </w:r>
      <w:bookmarkEnd w:id="302"/>
      <w:bookmarkStart w:name="8.3 SUMMARY" w:id="303"/>
      <w:r>
        <w:rPr/>
        <w:t>S</w:t>
      </w:r>
      <w:bookmarkEnd w:id="301"/>
      <w:r>
        <w:rPr/>
        <w:t>UMMARY</w:t>
      </w:r>
    </w:p>
    <w:p>
      <w:pPr>
        <w:pStyle w:val="BodyText"/>
        <w:spacing w:before="236"/>
        <w:ind w:left="319" w:right="1530"/>
      </w:pPr>
      <w:r>
        <w:rPr/>
        <w:t>This chapter applied the risk-scoring tools to safety projects that were recommended in the 2015 ARTS project lists from Region 1 and 2. The data requirements for the risk-scoring tool are not intensive and the scores aligned reasonably well with the benefit-cost calculations for intersection project. The chapter demonstrated how the risk scores can be interpreted using the percentile from the risk-score distributions.</w:t>
      </w:r>
    </w:p>
    <w:p>
      <w:pPr>
        <w:spacing w:after="0"/>
        <w:sectPr>
          <w:type w:val="continuous"/>
          <w:pgSz w:w="12240" w:h="15840"/>
          <w:pgMar w:top="1500" w:bottom="280" w:left="1120" w:right="0"/>
        </w:sectPr>
      </w:pPr>
    </w:p>
    <w:p>
      <w:pPr>
        <w:pStyle w:val="BodyText"/>
        <w:spacing w:before="4"/>
        <w:rPr>
          <w:sz w:val="17"/>
        </w:rPr>
      </w:pPr>
    </w:p>
    <w:p>
      <w:pPr>
        <w:spacing w:after="0"/>
        <w:rPr>
          <w:sz w:val="17"/>
        </w:rPr>
        <w:sectPr>
          <w:pgSz w:w="12240" w:h="15840"/>
          <w:pgMar w:header="0" w:footer="709" w:top="1500" w:bottom="900" w:left="1120" w:right="0"/>
        </w:sectPr>
      </w:pPr>
    </w:p>
    <w:p>
      <w:pPr>
        <w:pStyle w:val="Heading2"/>
        <w:numPr>
          <w:ilvl w:val="1"/>
          <w:numId w:val="33"/>
        </w:numPr>
        <w:tabs>
          <w:tab w:pos="4186" w:val="left" w:leader="none"/>
          <w:tab w:pos="4187" w:val="left" w:leader="none"/>
        </w:tabs>
        <w:spacing w:line="240" w:lineRule="auto" w:before="75" w:after="0"/>
        <w:ind w:left="4186" w:right="0" w:hanging="720"/>
        <w:jc w:val="left"/>
      </w:pPr>
      <w:bookmarkStart w:name="_TOC_250002" w:id="304"/>
      <w:bookmarkStart w:name="9.0 CONCLUSIONS" w:id="305"/>
      <w:r>
        <w:rPr>
          <w:b w:val="0"/>
        </w:rPr>
      </w:r>
      <w:bookmarkEnd w:id="305"/>
      <w:bookmarkStart w:name="9.0 CONCLUSIONS" w:id="306"/>
      <w:r>
        <w:rPr/>
        <w:t>CO</w:t>
      </w:r>
      <w:bookmarkEnd w:id="304"/>
      <w:r>
        <w:rPr/>
        <w:t>NCLUSIONS</w:t>
      </w:r>
    </w:p>
    <w:p>
      <w:pPr>
        <w:pStyle w:val="BodyText"/>
        <w:spacing w:before="6"/>
        <w:rPr>
          <w:b/>
          <w:sz w:val="41"/>
        </w:rPr>
      </w:pPr>
    </w:p>
    <w:p>
      <w:pPr>
        <w:pStyle w:val="BodyText"/>
        <w:ind w:left="319" w:right="1450"/>
      </w:pPr>
      <w:r>
        <w:rPr/>
        <w:t>The objective of this research was to develop a tool for ODOT to identify and prioritize locations with increased or elevated risk for pedestrian and bicycle crashes. Risk scoring should include elements of exposure and expectations of the severity of the outcome but not be dependent on crash history. To accomplish this objective, the project team assembled a database of segments and intersections for analysis. The segments were randomly selected from arterials within urban areas in the state of Oregon. Both state and non-state facilities were included in the random sample. Following a detailed literature review, important variables were identified for data collection. In keeping with the project-based application, the effort focused on building tools for intersections and segments separately. The database assembled for analysis included detailed geometric and operational elements as well as broad descriptors of the built environment.</w:t>
      </w:r>
    </w:p>
    <w:p>
      <w:pPr>
        <w:pStyle w:val="BodyText"/>
        <w:spacing w:before="9"/>
        <w:rPr>
          <w:sz w:val="20"/>
        </w:rPr>
      </w:pPr>
    </w:p>
    <w:p>
      <w:pPr>
        <w:pStyle w:val="BodyText"/>
        <w:ind w:left="320" w:right="1527"/>
      </w:pPr>
      <w:r>
        <w:rPr/>
        <w:t>The research team gathered motor vehicle volumes and estimates of bicycle exposure from a third-party data of bicycle use from STRAVA under ODOT’s license. The sampled segments and intersections were then linked to crash data. A total of 188 segments and 184 intersections were included in the modeling database. There were 213 segment crashes and 238 intersection crashes included in the model. The research team developed logistic regression models for both crash occurrence (crash or not) and crash severity models. The models related to crash severity were not robust, most likely due to the few segments and intersections with severe crashes in the dataset. The crash occurrence models produced more plausible results, with significant variables that included a blend of exposure and geometric/operational variables hypothesized to relate to risk.</w:t>
      </w:r>
    </w:p>
    <w:p>
      <w:pPr>
        <w:pStyle w:val="BodyText"/>
        <w:spacing w:before="11"/>
        <w:rPr>
          <w:sz w:val="20"/>
        </w:rPr>
      </w:pPr>
    </w:p>
    <w:p>
      <w:pPr>
        <w:pStyle w:val="BodyText"/>
        <w:ind w:left="320" w:right="1422"/>
      </w:pPr>
      <w:r>
        <w:rPr/>
        <w:t>The primary outcome of this research was the development of a risk-score tool for pedestrians and bicycles. Using the results of the modeling effort, a method was developed to create a risk- scoring tool for pedestrians and bicycles at intersections and segments (a total of four scoring tools). These risk tables were incorporated into a spreadsheet for easy application. The risk- scoring tool was applied the tool to safety projects that were recommended in the 2015 All Roads Transportation Safety (ARTS) project lists from Region 1 and 2. The risk scores for the case study applications for intersections aligned reasonably well with the project’s benefit-costs estimate developed by the ARTS process. Application to the segments scoring was less aligned.</w:t>
      </w:r>
    </w:p>
    <w:p>
      <w:pPr>
        <w:pStyle w:val="BodyText"/>
        <w:spacing w:before="10"/>
        <w:rPr>
          <w:sz w:val="20"/>
        </w:rPr>
      </w:pPr>
    </w:p>
    <w:p>
      <w:pPr>
        <w:pStyle w:val="BodyText"/>
        <w:ind w:left="319" w:right="1450"/>
      </w:pPr>
      <w:r>
        <w:rPr/>
        <w:t>The primary challenge to quantifying the risk for pedestrian and bicycles on road segments is the missing measures of exposure and the relatively few pedestrian and bicycle crashes observed on most segments and intersections. The inclusion of the bicycle STRAVA data significantly improved the bicycle models, though the data’s ability to accurately represent all bicycle travel is still somewhat uncertain. Prior to the inclusion of this variable, there were few surrogate variables for bicycle exposure and the model fits were generally poor.</w:t>
      </w:r>
    </w:p>
    <w:p>
      <w:pPr>
        <w:pStyle w:val="BodyText"/>
        <w:spacing w:before="10"/>
        <w:rPr>
          <w:sz w:val="20"/>
        </w:rPr>
      </w:pPr>
    </w:p>
    <w:p>
      <w:pPr>
        <w:pStyle w:val="BodyText"/>
        <w:ind w:left="319" w:right="1457"/>
      </w:pPr>
      <w:r>
        <w:rPr/>
        <w:t>In this research, the value of each risk score was derived from the modeling output. All models suffer from the limitations of the input dataset. With a larger or different sample for modeling, there is the possibility that the risk scores would be different. Also, the variables identified as significant in the risk-score estimation procedure should not be interpreted as recommendations for engineering-level improvements. The variables are, in many cases, explaining more about the safety of the location than the individual variable. Design-level safety decisions should use more robust tools such as the </w:t>
      </w:r>
      <w:r>
        <w:rPr>
          <w:i/>
        </w:rPr>
        <w:t>Highway Safety Manual</w:t>
      </w:r>
      <w:r>
        <w:rPr/>
        <w:t>.</w:t>
      </w:r>
    </w:p>
    <w:p>
      <w:pPr>
        <w:spacing w:after="0"/>
        <w:sectPr>
          <w:pgSz w:w="12240" w:h="15840"/>
          <w:pgMar w:header="0" w:footer="709" w:top="1400" w:bottom="900" w:left="1120" w:right="0"/>
        </w:sectPr>
      </w:pPr>
    </w:p>
    <w:p>
      <w:pPr>
        <w:pStyle w:val="Heading3"/>
        <w:numPr>
          <w:ilvl w:val="1"/>
          <w:numId w:val="33"/>
        </w:numPr>
        <w:tabs>
          <w:tab w:pos="1039" w:val="left" w:leader="none"/>
          <w:tab w:pos="1040" w:val="left" w:leader="none"/>
        </w:tabs>
        <w:spacing w:line="240" w:lineRule="auto" w:before="76" w:after="0"/>
        <w:ind w:left="1039" w:right="0" w:hanging="719"/>
        <w:jc w:val="left"/>
      </w:pPr>
      <w:bookmarkStart w:name="_TOC_250001" w:id="307"/>
      <w:bookmarkStart w:name="9.1 FUTURE WORK" w:id="308"/>
      <w:r>
        <w:rPr>
          <w:b w:val="0"/>
        </w:rPr>
      </w:r>
      <w:bookmarkEnd w:id="308"/>
      <w:bookmarkStart w:name="9.1 FUTURE WORK" w:id="309"/>
      <w:r>
        <w:rPr/>
        <w:t>F</w:t>
      </w:r>
      <w:bookmarkEnd w:id="307"/>
      <w:r>
        <w:rPr/>
        <w:t>UTURE WORK</w:t>
      </w:r>
    </w:p>
    <w:p>
      <w:pPr>
        <w:pStyle w:val="BodyText"/>
        <w:spacing w:before="236"/>
        <w:ind w:left="320"/>
      </w:pPr>
      <w:r>
        <w:rPr/>
        <w:t>There are a number of potential future areas of research to recommend:</w:t>
      </w:r>
    </w:p>
    <w:p>
      <w:pPr>
        <w:pStyle w:val="BodyText"/>
        <w:spacing w:before="11"/>
        <w:rPr>
          <w:sz w:val="20"/>
        </w:rPr>
      </w:pPr>
    </w:p>
    <w:p>
      <w:pPr>
        <w:pStyle w:val="ListParagraph"/>
        <w:numPr>
          <w:ilvl w:val="3"/>
          <w:numId w:val="31"/>
        </w:numPr>
        <w:tabs>
          <w:tab w:pos="1039" w:val="left" w:leader="none"/>
          <w:tab w:pos="1040" w:val="left" w:leader="none"/>
        </w:tabs>
        <w:spacing w:line="240" w:lineRule="auto" w:before="0" w:after="0"/>
        <w:ind w:left="1040" w:right="1533" w:hanging="360"/>
        <w:jc w:val="left"/>
        <w:rPr>
          <w:sz w:val="24"/>
        </w:rPr>
      </w:pPr>
      <w:r>
        <w:rPr>
          <w:sz w:val="24"/>
        </w:rPr>
        <w:t>As with any non-motorized safety research or analysis project, the lack of good exposure data is limiting. For the pedestrians, much promise lies in using area-type models to develop exposure estimates. The addition of the STRAVA data proved very useful in the model’s explanatory power. Models of bicycle crashes without some data on bicycle use were not useful. Additional work with the STRAVA data or others like it for estimating bicycle volumes is</w:t>
      </w:r>
      <w:r>
        <w:rPr>
          <w:spacing w:val="-1"/>
          <w:sz w:val="24"/>
        </w:rPr>
        <w:t> </w:t>
      </w:r>
      <w:r>
        <w:rPr>
          <w:sz w:val="24"/>
        </w:rPr>
        <w:t>recommended.</w:t>
      </w:r>
    </w:p>
    <w:p>
      <w:pPr>
        <w:pStyle w:val="BodyText"/>
        <w:spacing w:before="10"/>
        <w:rPr>
          <w:sz w:val="20"/>
        </w:rPr>
      </w:pPr>
    </w:p>
    <w:p>
      <w:pPr>
        <w:pStyle w:val="ListParagraph"/>
        <w:numPr>
          <w:ilvl w:val="3"/>
          <w:numId w:val="31"/>
        </w:numPr>
        <w:tabs>
          <w:tab w:pos="1039" w:val="left" w:leader="none"/>
          <w:tab w:pos="1040" w:val="left" w:leader="none"/>
        </w:tabs>
        <w:spacing w:line="240" w:lineRule="auto" w:before="0" w:after="0"/>
        <w:ind w:left="1040" w:right="1807" w:hanging="360"/>
        <w:jc w:val="left"/>
        <w:rPr>
          <w:sz w:val="24"/>
        </w:rPr>
      </w:pPr>
      <w:r>
        <w:rPr>
          <w:sz w:val="24"/>
        </w:rPr>
        <w:t>A larger dataset, perhaps derived from GIS or automated data mining tools, would produce a very robust database for a similar modeling effort. Rather than a statewide focus, a regional or MPO-level analysis would likely yield good results leveraging</w:t>
      </w:r>
      <w:r>
        <w:rPr>
          <w:spacing w:val="-19"/>
          <w:sz w:val="24"/>
        </w:rPr>
        <w:t> </w:t>
      </w:r>
      <w:r>
        <w:rPr>
          <w:sz w:val="24"/>
        </w:rPr>
        <w:t>the more detailed spatial data</w:t>
      </w:r>
      <w:r>
        <w:rPr>
          <w:spacing w:val="-1"/>
          <w:sz w:val="24"/>
        </w:rPr>
        <w:t> </w:t>
      </w:r>
      <w:r>
        <w:rPr>
          <w:sz w:val="24"/>
        </w:rPr>
        <w:t>available.</w:t>
      </w:r>
    </w:p>
    <w:p>
      <w:pPr>
        <w:spacing w:after="0" w:line="240" w:lineRule="auto"/>
        <w:jc w:val="left"/>
        <w:rPr>
          <w:sz w:val="24"/>
        </w:rPr>
        <w:sectPr>
          <w:pgSz w:w="12240" w:h="15840"/>
          <w:pgMar w:header="0" w:footer="709" w:top="920" w:bottom="980" w:left="1120" w:right="0"/>
        </w:sectPr>
      </w:pPr>
    </w:p>
    <w:p>
      <w:pPr>
        <w:pStyle w:val="Heading2"/>
        <w:ind w:left="3563" w:firstLine="0"/>
      </w:pPr>
      <w:bookmarkStart w:name="_TOC_250000" w:id="310"/>
      <w:bookmarkStart w:name="10.0 REFERENCES" w:id="311"/>
      <w:r>
        <w:rPr>
          <w:b w:val="0"/>
        </w:rPr>
      </w:r>
      <w:r>
        <w:rPr/>
        <w:t>10.0</w:t>
      </w:r>
      <w:r>
        <w:rPr>
          <w:spacing w:val="78"/>
        </w:rPr>
        <w:t> </w:t>
      </w:r>
      <w:bookmarkEnd w:id="310"/>
      <w:r>
        <w:rPr/>
        <w:t>REFERENCES</w:t>
      </w:r>
    </w:p>
    <w:p>
      <w:pPr>
        <w:pStyle w:val="BodyText"/>
        <w:spacing w:before="6"/>
        <w:rPr>
          <w:b/>
          <w:sz w:val="41"/>
        </w:rPr>
      </w:pPr>
    </w:p>
    <w:p>
      <w:pPr>
        <w:pStyle w:val="BodyText"/>
        <w:ind w:left="320" w:right="1488"/>
      </w:pPr>
      <w:r>
        <w:rPr/>
        <w:t>AASHTO. </w:t>
      </w:r>
      <w:r>
        <w:rPr>
          <w:i/>
        </w:rPr>
        <w:t>Highway Safety Manual</w:t>
      </w:r>
      <w:r>
        <w:rPr/>
        <w:t>. American Association of State Highway and Transportation Officials (AASHTO), Washington, DC, 2010.</w:t>
      </w:r>
    </w:p>
    <w:p>
      <w:pPr>
        <w:pStyle w:val="BodyText"/>
        <w:spacing w:before="10"/>
        <w:rPr>
          <w:sz w:val="20"/>
        </w:rPr>
      </w:pPr>
    </w:p>
    <w:p>
      <w:pPr>
        <w:pStyle w:val="BodyText"/>
        <w:ind w:left="320" w:right="1655"/>
      </w:pPr>
      <w:r>
        <w:rPr/>
        <w:t>Abdel-Aty, M., and J. Keller. Exploring the Overall and Specific Crash Severity Levels at Signalized Intersections. In </w:t>
      </w:r>
      <w:r>
        <w:rPr>
          <w:i/>
        </w:rPr>
        <w:t>Accident Analysis &amp; Prevention</w:t>
      </w:r>
      <w:r>
        <w:rPr/>
        <w:t>, Vol. 37 No. 3, 2005, pp. 417-425.</w:t>
      </w:r>
    </w:p>
    <w:p>
      <w:pPr>
        <w:pStyle w:val="BodyText"/>
        <w:spacing w:before="10"/>
        <w:rPr>
          <w:sz w:val="20"/>
        </w:rPr>
      </w:pPr>
    </w:p>
    <w:p>
      <w:pPr>
        <w:pStyle w:val="BodyText"/>
        <w:spacing w:before="1"/>
        <w:ind w:left="320" w:right="1755"/>
      </w:pPr>
      <w:r>
        <w:rPr/>
        <w:t>Al-Ghamdi, A. S. Using Logistic Regression to Estimate the Influence of Accident Factors on Accident Severity. In </w:t>
      </w:r>
      <w:r>
        <w:rPr>
          <w:i/>
        </w:rPr>
        <w:t>Accident Analysis &amp; Prevention</w:t>
      </w:r>
      <w:r>
        <w:rPr/>
        <w:t>, Vol. 34 No. 6, 2002, pp. 729-741</w:t>
      </w:r>
    </w:p>
    <w:p>
      <w:pPr>
        <w:pStyle w:val="BodyText"/>
        <w:spacing w:before="9"/>
        <w:rPr>
          <w:sz w:val="20"/>
        </w:rPr>
      </w:pPr>
    </w:p>
    <w:p>
      <w:pPr>
        <w:pStyle w:val="BodyText"/>
        <w:spacing w:before="1"/>
        <w:ind w:left="320" w:right="1841"/>
      </w:pPr>
      <w:r>
        <w:rPr/>
        <w:t>Andersson A. L., and O. Bunketorp. Cycling and Alcohol. In </w:t>
      </w:r>
      <w:r>
        <w:rPr>
          <w:i/>
        </w:rPr>
        <w:t>Injury</w:t>
      </w:r>
      <w:r>
        <w:rPr/>
        <w:t>, Vol. 33 No. 6, 2002, pp. 467-471.</w:t>
      </w:r>
    </w:p>
    <w:p>
      <w:pPr>
        <w:pStyle w:val="BodyText"/>
        <w:spacing w:before="8"/>
        <w:rPr>
          <w:sz w:val="20"/>
        </w:rPr>
      </w:pPr>
    </w:p>
    <w:p>
      <w:pPr>
        <w:pStyle w:val="BodyText"/>
        <w:ind w:left="320" w:right="1695"/>
      </w:pPr>
      <w:r>
        <w:rPr/>
        <w:t>Berdica, K. An Introduction to Road Vulnerability: What Has Been Done, Is Done and Should be Done. In </w:t>
      </w:r>
      <w:r>
        <w:rPr>
          <w:i/>
        </w:rPr>
        <w:t>Transport Policy</w:t>
      </w:r>
      <w:r>
        <w:rPr/>
        <w:t>, Vol. 9 No. 2, 2002, pp. 117-127.</w:t>
      </w:r>
    </w:p>
    <w:p>
      <w:pPr>
        <w:pStyle w:val="BodyText"/>
        <w:spacing w:before="10"/>
        <w:rPr>
          <w:sz w:val="20"/>
        </w:rPr>
      </w:pPr>
    </w:p>
    <w:p>
      <w:pPr>
        <w:spacing w:before="1"/>
        <w:ind w:left="320" w:right="1581" w:firstLine="0"/>
        <w:jc w:val="left"/>
        <w:rPr>
          <w:sz w:val="24"/>
        </w:rPr>
      </w:pPr>
      <w:r>
        <w:rPr>
          <w:sz w:val="24"/>
        </w:rPr>
        <w:t>Bergh, C., E. Ferguson, and B. Ray. </w:t>
      </w:r>
      <w:r>
        <w:rPr>
          <w:i/>
          <w:sz w:val="24"/>
        </w:rPr>
        <w:t>Oregon Pedestrian or Bicycle Safety Implementation Plan: </w:t>
      </w:r>
      <w:r>
        <w:rPr>
          <w:i/>
          <w:sz w:val="24"/>
        </w:rPr>
        <w:t>Project Direction and Scope</w:t>
      </w:r>
      <w:r>
        <w:rPr>
          <w:sz w:val="24"/>
        </w:rPr>
        <w:t>. Kittelson &amp; Associates, Inc , Portland, 2013.</w:t>
      </w:r>
    </w:p>
    <w:p>
      <w:pPr>
        <w:pStyle w:val="BodyText"/>
        <w:spacing w:before="9"/>
        <w:rPr>
          <w:sz w:val="20"/>
        </w:rPr>
      </w:pPr>
    </w:p>
    <w:p>
      <w:pPr>
        <w:pStyle w:val="BodyText"/>
        <w:spacing w:before="1"/>
        <w:ind w:left="320" w:right="1962"/>
      </w:pPr>
      <w:r>
        <w:rPr/>
        <w:t>Bergh, C. and A. Griffin. (2013). ODOT Pedestrian or Bicycle Safety Implementation Plan: Draft Risk-Based Segment Prioritization. Kittelson &amp; Associates, Inc., Bend, 2013.</w:t>
      </w:r>
    </w:p>
    <w:p>
      <w:pPr>
        <w:pStyle w:val="BodyText"/>
        <w:spacing w:before="9"/>
        <w:rPr>
          <w:sz w:val="20"/>
        </w:rPr>
      </w:pPr>
    </w:p>
    <w:p>
      <w:pPr>
        <w:pStyle w:val="BodyText"/>
        <w:spacing w:before="1"/>
        <w:ind w:left="320" w:right="2166"/>
      </w:pPr>
      <w:r>
        <w:rPr/>
        <w:t>Bíl, M., M. Bílová, &amp; I. Müller. Critical Factors in Fatal Collisions of Adult Cyclists with Automobiles. In </w:t>
      </w:r>
      <w:r>
        <w:rPr>
          <w:i/>
        </w:rPr>
        <w:t>Accident Analysis &amp; Prevention</w:t>
      </w:r>
      <w:r>
        <w:rPr/>
        <w:t>, Vol. 42 No. 6, 2010, pp. 1632-1636.</w:t>
      </w:r>
    </w:p>
    <w:p>
      <w:pPr>
        <w:pStyle w:val="BodyText"/>
        <w:spacing w:before="10"/>
        <w:rPr>
          <w:sz w:val="20"/>
        </w:rPr>
      </w:pPr>
    </w:p>
    <w:p>
      <w:pPr>
        <w:pStyle w:val="BodyText"/>
        <w:ind w:left="320" w:right="1614"/>
      </w:pPr>
      <w:r>
        <w:rPr/>
        <w:t>Boufous, S., L. de Rome, T. Senserrick, and R. Ivers. Risk Factors for Severe Injury in Cyclists Involved in Traffic Crashes in Victoria, Australia. In </w:t>
      </w:r>
      <w:r>
        <w:rPr>
          <w:i/>
        </w:rPr>
        <w:t>Accident Analysis &amp; Prevention</w:t>
      </w:r>
      <w:r>
        <w:rPr/>
        <w:t>, Vol. 49, 2012, pp. 404-409.</w:t>
      </w:r>
    </w:p>
    <w:p>
      <w:pPr>
        <w:pStyle w:val="BodyText"/>
        <w:spacing w:before="10"/>
        <w:rPr>
          <w:sz w:val="20"/>
        </w:rPr>
      </w:pPr>
    </w:p>
    <w:p>
      <w:pPr>
        <w:spacing w:before="0"/>
        <w:ind w:left="319" w:right="1436" w:firstLine="0"/>
        <w:jc w:val="left"/>
        <w:rPr>
          <w:sz w:val="24"/>
        </w:rPr>
      </w:pPr>
      <w:r>
        <w:rPr>
          <w:sz w:val="24"/>
        </w:rPr>
        <w:t>Carter, D. L., W.W. Hunter, C.V. Zegeer, J.R. Stewart, and H.F. Huang. </w:t>
      </w:r>
      <w:r>
        <w:rPr>
          <w:i/>
          <w:sz w:val="24"/>
        </w:rPr>
        <w:t>Pedestrian and Bicyclist </w:t>
      </w:r>
      <w:r>
        <w:rPr>
          <w:i/>
          <w:sz w:val="24"/>
        </w:rPr>
        <w:t>Intersection Safety Indices: Final Report</w:t>
      </w:r>
      <w:r>
        <w:rPr>
          <w:sz w:val="24"/>
        </w:rPr>
        <w:t>. Publication FHWA-HRT-06-125. FHWA, U.S. Department of Transportation, 2006.</w:t>
      </w:r>
    </w:p>
    <w:p>
      <w:pPr>
        <w:pStyle w:val="BodyText"/>
        <w:spacing w:before="10"/>
        <w:rPr>
          <w:sz w:val="20"/>
        </w:rPr>
      </w:pPr>
    </w:p>
    <w:p>
      <w:pPr>
        <w:pStyle w:val="BodyText"/>
        <w:ind w:left="319" w:right="1490"/>
      </w:pPr>
      <w:r>
        <w:rPr/>
        <w:t>Chimba, D., D. Emaasit, C.R. Cherry, and Z. Pannell. Patterning Demographic and Socioeconomic Characteristics Affecting Pedestrian and Bicycle Crash Frequency. No. 14-0600. Presented at Transportation Research Board 93rd Annual Meeting, Washington D.C., 2014.</w:t>
      </w:r>
    </w:p>
    <w:p>
      <w:pPr>
        <w:pStyle w:val="BodyText"/>
        <w:spacing w:before="10"/>
        <w:rPr>
          <w:sz w:val="20"/>
        </w:rPr>
      </w:pPr>
    </w:p>
    <w:p>
      <w:pPr>
        <w:pStyle w:val="BodyText"/>
        <w:ind w:left="320" w:right="1954"/>
      </w:pPr>
      <w:r>
        <w:rPr/>
        <w:t>de Geus, B., G. Vandenbulcke, L. I. Panis, I. Thomas, B. Degraeuwe, E. Cumps, and R. Meeusen. A Prospective Cohort Study on Minor Accidents Involving Commuter Cyclists in Belgium. In </w:t>
      </w:r>
      <w:r>
        <w:rPr>
          <w:i/>
        </w:rPr>
        <w:t>Accident Analysis &amp; Prevention</w:t>
      </w:r>
      <w:r>
        <w:rPr/>
        <w:t>, Vol. 45, 2012, pp. 683-693.</w:t>
      </w:r>
    </w:p>
    <w:p>
      <w:pPr>
        <w:pStyle w:val="BodyText"/>
        <w:spacing w:before="10"/>
        <w:rPr>
          <w:sz w:val="20"/>
        </w:rPr>
      </w:pPr>
    </w:p>
    <w:p>
      <w:pPr>
        <w:spacing w:before="0"/>
        <w:ind w:left="319" w:right="1502" w:firstLine="0"/>
        <w:jc w:val="left"/>
        <w:rPr>
          <w:sz w:val="24"/>
        </w:rPr>
      </w:pPr>
      <w:r>
        <w:rPr>
          <w:sz w:val="24"/>
        </w:rPr>
        <w:t>Diogenes, M., and L. Lindau. (2010). Evaluation of Pedestrian Safety at Midblock Crossings, Porto Alegre, Brazil. In </w:t>
      </w:r>
      <w:r>
        <w:rPr>
          <w:i/>
          <w:sz w:val="24"/>
        </w:rPr>
        <w:t>Transportation Research Record: Journal of the Transportation </w:t>
      </w:r>
      <w:r>
        <w:rPr>
          <w:i/>
          <w:sz w:val="24"/>
        </w:rPr>
        <w:t>Research Board No. 2193</w:t>
      </w:r>
      <w:r>
        <w:rPr>
          <w:sz w:val="24"/>
        </w:rPr>
        <w:t>, TRB, National Research Council, Washington D.C., 2010, pp. 37-43.</w:t>
      </w:r>
    </w:p>
    <w:p>
      <w:pPr>
        <w:pStyle w:val="BodyText"/>
        <w:spacing w:before="10"/>
        <w:rPr>
          <w:sz w:val="20"/>
        </w:rPr>
      </w:pPr>
    </w:p>
    <w:p>
      <w:pPr>
        <w:spacing w:before="0"/>
        <w:ind w:left="320" w:right="1634" w:firstLine="0"/>
        <w:jc w:val="left"/>
        <w:rPr>
          <w:sz w:val="24"/>
        </w:rPr>
      </w:pPr>
      <w:r>
        <w:rPr>
          <w:sz w:val="24"/>
        </w:rPr>
        <w:t>Dixon, K., R. Avelar, L. Brown, M. Mecham, and I. Van Schalkwyk. </w:t>
      </w:r>
      <w:r>
        <w:rPr>
          <w:i/>
          <w:sz w:val="24"/>
        </w:rPr>
        <w:t>Quantifying Safety </w:t>
      </w:r>
      <w:r>
        <w:rPr>
          <w:i/>
          <w:sz w:val="24"/>
        </w:rPr>
        <w:t>Performance of Driveways on State Highways </w:t>
      </w:r>
      <w:r>
        <w:rPr>
          <w:sz w:val="24"/>
        </w:rPr>
        <w:t>Publication FHWA-OR-RD-13-02, FHWA, U.S Department of Transportation, 2012.</w:t>
      </w:r>
    </w:p>
    <w:p>
      <w:pPr>
        <w:spacing w:after="0"/>
        <w:jc w:val="left"/>
        <w:rPr>
          <w:sz w:val="24"/>
        </w:rPr>
        <w:sectPr>
          <w:pgSz w:w="12240" w:h="15840"/>
          <w:pgMar w:header="0" w:footer="709" w:top="1400" w:bottom="920" w:left="1120" w:right="0"/>
        </w:sectPr>
      </w:pPr>
    </w:p>
    <w:p>
      <w:pPr>
        <w:spacing w:before="72"/>
        <w:ind w:left="320" w:right="1574" w:firstLine="0"/>
        <w:jc w:val="left"/>
        <w:rPr>
          <w:sz w:val="24"/>
        </w:rPr>
      </w:pPr>
      <w:r>
        <w:rPr>
          <w:sz w:val="24"/>
        </w:rPr>
        <w:t>Dixon, K., C. Monsere, F. Xie, and K. Gladhill. </w:t>
      </w:r>
      <w:r>
        <w:rPr>
          <w:i/>
          <w:sz w:val="24"/>
        </w:rPr>
        <w:t>Calibrating the Future Highway Safety Manual </w:t>
      </w:r>
      <w:r>
        <w:rPr>
          <w:i/>
          <w:sz w:val="24"/>
        </w:rPr>
        <w:t>Predictive Methods for Oregon State Highways </w:t>
      </w:r>
      <w:r>
        <w:rPr>
          <w:sz w:val="24"/>
        </w:rPr>
        <w:t>Publication No. OTREC-RR-12-02. 2012.</w:t>
      </w:r>
    </w:p>
    <w:p>
      <w:pPr>
        <w:pStyle w:val="BodyText"/>
        <w:spacing w:before="10"/>
        <w:rPr>
          <w:sz w:val="20"/>
        </w:rPr>
      </w:pPr>
    </w:p>
    <w:p>
      <w:pPr>
        <w:spacing w:before="1"/>
        <w:ind w:left="320" w:right="1667" w:firstLine="0"/>
        <w:jc w:val="left"/>
        <w:rPr>
          <w:sz w:val="24"/>
        </w:rPr>
      </w:pPr>
      <w:r>
        <w:rPr>
          <w:sz w:val="24"/>
        </w:rPr>
        <w:t>Dixon, K., C. Monsere, R. Avelar, J.S. Barnett, P. Escobar, and S.M. Kothuri. </w:t>
      </w:r>
      <w:r>
        <w:rPr>
          <w:i/>
          <w:sz w:val="24"/>
        </w:rPr>
        <w:t>Improved Safety </w:t>
      </w:r>
      <w:r>
        <w:rPr>
          <w:i/>
          <w:sz w:val="24"/>
        </w:rPr>
        <w:t>Performance Functions for Signalized Intersections.</w:t>
      </w:r>
      <w:r>
        <w:rPr>
          <w:sz w:val="24"/>
        </w:rPr>
        <w:t>2015.</w:t>
      </w:r>
    </w:p>
    <w:p>
      <w:pPr>
        <w:pStyle w:val="BodyText"/>
        <w:spacing w:before="9"/>
        <w:rPr>
          <w:sz w:val="20"/>
        </w:rPr>
      </w:pPr>
    </w:p>
    <w:p>
      <w:pPr>
        <w:spacing w:before="1"/>
        <w:ind w:left="320" w:right="2081" w:firstLine="0"/>
        <w:jc w:val="left"/>
        <w:rPr>
          <w:sz w:val="24"/>
        </w:rPr>
      </w:pPr>
      <w:r>
        <w:rPr>
          <w:sz w:val="24"/>
        </w:rPr>
        <w:t>Dolatsara, H.A.. </w:t>
      </w:r>
      <w:r>
        <w:rPr>
          <w:i/>
          <w:sz w:val="24"/>
        </w:rPr>
        <w:t>Development of Safety Performance Functions for Non-Motorized Traffic </w:t>
      </w:r>
      <w:r>
        <w:rPr>
          <w:i/>
          <w:sz w:val="24"/>
        </w:rPr>
        <w:t>Safety</w:t>
      </w:r>
      <w:r>
        <w:rPr>
          <w:sz w:val="24"/>
        </w:rPr>
        <w:t>. 2014.</w:t>
      </w:r>
    </w:p>
    <w:p>
      <w:pPr>
        <w:pStyle w:val="BodyText"/>
        <w:spacing w:before="9"/>
        <w:rPr>
          <w:sz w:val="20"/>
        </w:rPr>
      </w:pPr>
    </w:p>
    <w:p>
      <w:pPr>
        <w:pStyle w:val="BodyText"/>
        <w:spacing w:before="1"/>
        <w:ind w:left="320" w:right="1761"/>
      </w:pPr>
      <w:r>
        <w:rPr/>
        <w:t>Ekman, R., G. Welander, L. Svanström, L. Schelp, and P. Santesson. Bicycle-Related Injuries Among the Elderly—a New Epidemic?. In Public Health, Vol. 115 No. 1, 2001, pp. 38-43.</w:t>
      </w:r>
    </w:p>
    <w:p>
      <w:pPr>
        <w:pStyle w:val="BodyText"/>
        <w:spacing w:before="10"/>
        <w:rPr>
          <w:sz w:val="20"/>
        </w:rPr>
      </w:pPr>
    </w:p>
    <w:p>
      <w:pPr>
        <w:pStyle w:val="BodyText"/>
        <w:ind w:left="320" w:right="1915"/>
      </w:pPr>
      <w:r>
        <w:rPr/>
        <w:t>Eluru, N., C.R. Bhat, and D.A. Hensher. A Mixed Generalized Ordered Response Model for Examining Pedestrian and Bicyclist Injury Severity Level in Traffic Crashes. In </w:t>
      </w:r>
      <w:r>
        <w:rPr>
          <w:i/>
        </w:rPr>
        <w:t>Accident </w:t>
      </w:r>
      <w:r>
        <w:rPr>
          <w:i/>
        </w:rPr>
        <w:t>Analysis &amp; Prevention</w:t>
      </w:r>
      <w:r>
        <w:rPr/>
        <w:t>, Vol. 40 No. 3, 2008, pp. 1033-1054.</w:t>
      </w:r>
    </w:p>
    <w:p>
      <w:pPr>
        <w:pStyle w:val="BodyText"/>
        <w:spacing w:before="10"/>
        <w:rPr>
          <w:sz w:val="20"/>
        </w:rPr>
      </w:pPr>
    </w:p>
    <w:p>
      <w:pPr>
        <w:pStyle w:val="BodyText"/>
        <w:ind w:left="320" w:right="1648"/>
      </w:pPr>
      <w:r>
        <w:rPr/>
        <w:t>Ewing, R., &amp; Cervero, R. (2001). Travel and the built environment: a synthesis. Transportation Research Record: Journal of the Transportation Research Board, (1780), 87-114.</w:t>
      </w:r>
    </w:p>
    <w:p>
      <w:pPr>
        <w:pStyle w:val="BodyText"/>
        <w:spacing w:before="10"/>
        <w:rPr>
          <w:sz w:val="20"/>
        </w:rPr>
      </w:pPr>
    </w:p>
    <w:p>
      <w:pPr>
        <w:pStyle w:val="BodyText"/>
        <w:ind w:left="320" w:right="1928"/>
      </w:pPr>
      <w:r>
        <w:rPr/>
        <w:t>Travel, E. N. Federal Highway Administration University Course on Bicycle and Pedestrian Transportation.</w:t>
      </w:r>
      <w:r>
        <w:rPr>
          <w:spacing w:val="-1"/>
        </w:rPr>
        <w:t> </w:t>
      </w:r>
      <w:r>
        <w:rPr/>
        <w:t>2006.</w:t>
      </w:r>
    </w:p>
    <w:p>
      <w:pPr>
        <w:pStyle w:val="BodyText"/>
        <w:spacing w:before="10"/>
        <w:rPr>
          <w:sz w:val="20"/>
        </w:rPr>
      </w:pPr>
    </w:p>
    <w:p>
      <w:pPr>
        <w:spacing w:before="0"/>
        <w:ind w:left="320" w:right="1695" w:firstLine="0"/>
        <w:jc w:val="left"/>
        <w:rPr>
          <w:sz w:val="24"/>
        </w:rPr>
      </w:pPr>
      <w:r>
        <w:rPr>
          <w:sz w:val="24"/>
        </w:rPr>
        <w:t>Fitzpatrick, K., V. Iragavarapu, M.A. Brewer, D. Lord, J. Hudson, R. Avelar, and J. Robertson (2014). </w:t>
      </w:r>
      <w:r>
        <w:rPr>
          <w:i/>
          <w:sz w:val="24"/>
        </w:rPr>
        <w:t>Characteristics of Texas Pedestrian Crashes and Evaluation of Driver Yielding at </w:t>
      </w:r>
      <w:r>
        <w:rPr>
          <w:i/>
          <w:sz w:val="24"/>
        </w:rPr>
        <w:t>Pedestrian Treatments</w:t>
      </w:r>
      <w:r>
        <w:rPr>
          <w:sz w:val="24"/>
        </w:rPr>
        <w:t>. TxDOT Report FHWA/TX-13/0-6702-1. Texas Department of Transportation.</w:t>
      </w:r>
      <w:r>
        <w:rPr>
          <w:spacing w:val="-1"/>
          <w:sz w:val="24"/>
        </w:rPr>
        <w:t> </w:t>
      </w:r>
      <w:r>
        <w:rPr>
          <w:sz w:val="24"/>
        </w:rPr>
        <w:t>2014.</w:t>
      </w:r>
    </w:p>
    <w:p>
      <w:pPr>
        <w:pStyle w:val="BodyText"/>
        <w:spacing w:before="10"/>
        <w:rPr>
          <w:sz w:val="20"/>
        </w:rPr>
      </w:pPr>
    </w:p>
    <w:p>
      <w:pPr>
        <w:pStyle w:val="BodyText"/>
        <w:ind w:left="320" w:right="2522"/>
      </w:pPr>
      <w:r>
        <w:rPr/>
        <w:t>Gårder, P.E. The Impact of Speed and Other Variables on Pedestrian Safety in Maine. In </w:t>
      </w:r>
      <w:r>
        <w:rPr>
          <w:i/>
        </w:rPr>
        <w:t>Accident Analysis &amp; Prevention</w:t>
      </w:r>
      <w:r>
        <w:rPr/>
        <w:t>, Vol. 36 No. 4, 2004, pp. 533-542.</w:t>
      </w:r>
    </w:p>
    <w:p>
      <w:pPr>
        <w:pStyle w:val="BodyText"/>
        <w:spacing w:before="10"/>
        <w:rPr>
          <w:sz w:val="20"/>
        </w:rPr>
      </w:pPr>
    </w:p>
    <w:p>
      <w:pPr>
        <w:spacing w:before="0"/>
        <w:ind w:left="320" w:right="1888" w:firstLine="0"/>
        <w:jc w:val="left"/>
        <w:rPr>
          <w:sz w:val="24"/>
        </w:rPr>
      </w:pPr>
      <w:r>
        <w:rPr>
          <w:sz w:val="24"/>
        </w:rPr>
        <w:t>Greibe, P. Accident Prediction Models for Urban Roads. In </w:t>
      </w:r>
      <w:r>
        <w:rPr>
          <w:i/>
          <w:sz w:val="24"/>
        </w:rPr>
        <w:t>Accident Analysis &amp; Prevention</w:t>
      </w:r>
      <w:r>
        <w:rPr>
          <w:sz w:val="24"/>
        </w:rPr>
        <w:t>, Vol. 35 No. 2, 2003, pp. 273-285.</w:t>
      </w:r>
    </w:p>
    <w:p>
      <w:pPr>
        <w:pStyle w:val="BodyText"/>
        <w:spacing w:before="10"/>
        <w:rPr>
          <w:sz w:val="20"/>
        </w:rPr>
      </w:pPr>
    </w:p>
    <w:p>
      <w:pPr>
        <w:pStyle w:val="BodyText"/>
        <w:ind w:left="320" w:right="2209"/>
      </w:pPr>
      <w:r>
        <w:rPr/>
        <w:t>Haleem, K., and M. Abdel-Aty. Examining Traffic Crash Injury Severity at Unsignalized Intersections. In </w:t>
      </w:r>
      <w:r>
        <w:rPr>
          <w:i/>
        </w:rPr>
        <w:t>Journal of Safety Research</w:t>
      </w:r>
      <w:r>
        <w:rPr/>
        <w:t>, Vol. 41 No. 4, 2010, pp. 347-357.</w:t>
      </w:r>
    </w:p>
    <w:p>
      <w:pPr>
        <w:pStyle w:val="BodyText"/>
        <w:spacing w:before="9"/>
        <w:rPr>
          <w:sz w:val="20"/>
        </w:rPr>
      </w:pPr>
    </w:p>
    <w:p>
      <w:pPr>
        <w:spacing w:before="0"/>
        <w:ind w:left="320" w:right="1608" w:firstLine="0"/>
        <w:jc w:val="left"/>
        <w:rPr>
          <w:sz w:val="24"/>
        </w:rPr>
      </w:pPr>
      <w:r>
        <w:rPr>
          <w:sz w:val="24"/>
        </w:rPr>
        <w:t>Harwood, D.W., D.K. Gilmore, D.J. Torbic, R. Souleyrette, and Z.N. Hans. </w:t>
      </w:r>
      <w:r>
        <w:rPr>
          <w:i/>
          <w:sz w:val="24"/>
        </w:rPr>
        <w:t>United States Road </w:t>
      </w:r>
      <w:r>
        <w:rPr>
          <w:i/>
          <w:sz w:val="24"/>
        </w:rPr>
        <w:t>Assessment Program: Pilot Program: Phase II</w:t>
      </w:r>
      <w:r>
        <w:rPr>
          <w:sz w:val="24"/>
        </w:rPr>
        <w:t>. 2008.</w:t>
      </w:r>
    </w:p>
    <w:p>
      <w:pPr>
        <w:pStyle w:val="BodyText"/>
        <w:spacing w:before="10"/>
        <w:rPr>
          <w:sz w:val="20"/>
        </w:rPr>
      </w:pPr>
    </w:p>
    <w:p>
      <w:pPr>
        <w:spacing w:before="0"/>
        <w:ind w:left="320" w:right="1840" w:firstLine="0"/>
        <w:jc w:val="left"/>
        <w:rPr>
          <w:sz w:val="24"/>
        </w:rPr>
      </w:pPr>
      <w:r>
        <w:rPr>
          <w:sz w:val="24"/>
        </w:rPr>
        <w:t>Jang, K., S. Park, S. Kang, K. Song, S. Kang, and S. Chung. Evaluation of Pedestrian Safety: Pedestrian Crash Hot Spots and Risk Factors for Injury Severity. In </w:t>
      </w:r>
      <w:r>
        <w:rPr>
          <w:i/>
          <w:sz w:val="24"/>
        </w:rPr>
        <w:t>Transportation Research </w:t>
      </w:r>
      <w:r>
        <w:rPr>
          <w:i/>
          <w:sz w:val="24"/>
        </w:rPr>
        <w:t>Record: Journal of the Transportation Research Board, No. 2393</w:t>
      </w:r>
      <w:r>
        <w:rPr>
          <w:sz w:val="24"/>
        </w:rPr>
        <w:t>, TRB, National Research Council, Washington D.C., 2013, pp. 104-116.</w:t>
      </w:r>
    </w:p>
    <w:p>
      <w:pPr>
        <w:pStyle w:val="BodyText"/>
        <w:spacing w:before="10"/>
        <w:rPr>
          <w:sz w:val="20"/>
        </w:rPr>
      </w:pPr>
    </w:p>
    <w:p>
      <w:pPr>
        <w:pStyle w:val="BodyText"/>
        <w:ind w:left="320" w:right="1528"/>
      </w:pPr>
      <w:r>
        <w:rPr/>
        <w:t>Kim, J.K., S. Kim, G.F. Ulfarsson, and L.A. Porrello. Bicyclist Injury Severities in Bicycle– Motor Vehicle Accidents. In </w:t>
      </w:r>
      <w:r>
        <w:rPr>
          <w:i/>
        </w:rPr>
        <w:t>Accident Analysis &amp; Prevention</w:t>
      </w:r>
      <w:r>
        <w:rPr/>
        <w:t>, Vol. 39 No. 2, 2007, pp. 238-251.</w:t>
      </w:r>
    </w:p>
    <w:p>
      <w:pPr>
        <w:pStyle w:val="BodyText"/>
        <w:spacing w:before="10"/>
        <w:rPr>
          <w:sz w:val="20"/>
        </w:rPr>
      </w:pPr>
    </w:p>
    <w:p>
      <w:pPr>
        <w:pStyle w:val="BodyText"/>
        <w:ind w:left="319" w:right="1502"/>
      </w:pPr>
      <w:r>
        <w:rPr/>
        <w:t>Kröyer, H. R. (2015). The Relation Between Speed Environment, Age and Injury Outcome for Bicyclists Struck by a Motorized Vehicle – a Comparison with Pedestrians. In </w:t>
      </w:r>
      <w:r>
        <w:rPr>
          <w:i/>
        </w:rPr>
        <w:t>Accident Analysis </w:t>
      </w:r>
      <w:r>
        <w:rPr>
          <w:i/>
        </w:rPr>
        <w:t>&amp; Prevention</w:t>
      </w:r>
      <w:r>
        <w:rPr/>
        <w:t>, Vol. 76, 2015, pp. 57-63.</w:t>
      </w:r>
    </w:p>
    <w:p>
      <w:pPr>
        <w:spacing w:after="0"/>
        <w:sectPr>
          <w:pgSz w:w="12240" w:h="15840"/>
          <w:pgMar w:header="0" w:footer="709" w:top="920" w:bottom="980" w:left="1120" w:right="0"/>
        </w:sectPr>
      </w:pPr>
    </w:p>
    <w:p>
      <w:pPr>
        <w:pStyle w:val="BodyText"/>
        <w:spacing w:before="72"/>
        <w:ind w:left="319" w:right="1536"/>
      </w:pPr>
      <w:r>
        <w:rPr/>
        <w:t>Lagerwey, P.A., M.J. Hintze, J.B. Elliott, J.L. Toole, and R.J. Schneider. Pedestrian and Bicycle Transportation along Existing Roads. In </w:t>
      </w:r>
      <w:r>
        <w:rPr>
          <w:i/>
        </w:rPr>
        <w:t>ActiveTrans Priority Tool Guidebook</w:t>
      </w:r>
      <w:r>
        <w:rPr/>
        <w:t>. Publication No. Project 07-17. 2015.</w:t>
      </w:r>
    </w:p>
    <w:p>
      <w:pPr>
        <w:pStyle w:val="BodyText"/>
        <w:spacing w:before="10"/>
        <w:rPr>
          <w:sz w:val="20"/>
        </w:rPr>
      </w:pPr>
    </w:p>
    <w:p>
      <w:pPr>
        <w:pStyle w:val="BodyText"/>
        <w:spacing w:before="1"/>
        <w:ind w:left="320" w:right="1728"/>
      </w:pPr>
      <w:r>
        <w:rPr/>
        <w:t>Lee, C., and M. Abdel-Aty. Comprehensive Analysis of Vehicle–Pedestrian Crashes at Intersections in Florida. In </w:t>
      </w:r>
      <w:r>
        <w:rPr>
          <w:i/>
        </w:rPr>
        <w:t>Accident Analysis &amp; Prevention</w:t>
      </w:r>
      <w:r>
        <w:rPr/>
        <w:t>, Vol. 37 No. 4, 2005, pp. 775-786.</w:t>
      </w:r>
    </w:p>
    <w:p>
      <w:pPr>
        <w:pStyle w:val="BodyText"/>
        <w:spacing w:before="9"/>
        <w:rPr>
          <w:sz w:val="20"/>
        </w:rPr>
      </w:pPr>
    </w:p>
    <w:p>
      <w:pPr>
        <w:pStyle w:val="BodyText"/>
        <w:spacing w:before="1"/>
        <w:ind w:left="320" w:right="1621"/>
      </w:pPr>
      <w:r>
        <w:rPr/>
        <w:t>Lenguerrand, E., J.L. Martin, and B. Laumon. Modelling the Hierarchical Structure of Road Crash Data—Application to Severity Analysis. In </w:t>
      </w:r>
      <w:r>
        <w:rPr>
          <w:i/>
        </w:rPr>
        <w:t>Accident Analysis &amp; Prevention</w:t>
      </w:r>
      <w:r>
        <w:rPr/>
        <w:t>, Vol. 38 No. 1, 2006, pp. 43-53.</w:t>
      </w:r>
    </w:p>
    <w:p>
      <w:pPr>
        <w:pStyle w:val="BodyText"/>
        <w:spacing w:before="9"/>
        <w:rPr>
          <w:sz w:val="20"/>
        </w:rPr>
      </w:pPr>
    </w:p>
    <w:p>
      <w:pPr>
        <w:pStyle w:val="BodyText"/>
        <w:spacing w:before="1"/>
        <w:ind w:left="319" w:right="2244"/>
      </w:pPr>
      <w:r>
        <w:rPr/>
        <w:t>Loukaitou-Sideris, A., R. Liggett, and H.G. Sung. Death on the Crosswalk: A Study of Pedestrian-Automobile Collisions in Los Angeles. In </w:t>
      </w:r>
      <w:r>
        <w:rPr>
          <w:i/>
        </w:rPr>
        <w:t>Journal of Planning Education and </w:t>
      </w:r>
      <w:r>
        <w:rPr>
          <w:i/>
        </w:rPr>
        <w:t>Research</w:t>
      </w:r>
      <w:r>
        <w:rPr/>
        <w:t>, Vol. 26 No. 3, 2007, pp. 338-351.</w:t>
      </w:r>
    </w:p>
    <w:p>
      <w:pPr>
        <w:pStyle w:val="BodyText"/>
        <w:spacing w:before="10"/>
        <w:rPr>
          <w:sz w:val="20"/>
        </w:rPr>
      </w:pPr>
    </w:p>
    <w:p>
      <w:pPr>
        <w:pStyle w:val="BodyText"/>
        <w:ind w:left="319" w:right="1674"/>
        <w:jc w:val="both"/>
      </w:pPr>
      <w:r>
        <w:rPr/>
        <w:t>Lowry, M.B., and S. Cool. (2015). Dangerous Situation Topology and Analysis for Comparing Bicycle Infrastructure Improvement Plans. Paper. Presented at the 94th Annual Meeting of the Transportation Research Board. Paper 15-5989.</w:t>
      </w:r>
    </w:p>
    <w:p>
      <w:pPr>
        <w:pStyle w:val="BodyText"/>
        <w:spacing w:before="10"/>
        <w:rPr>
          <w:sz w:val="20"/>
        </w:rPr>
      </w:pPr>
    </w:p>
    <w:p>
      <w:pPr>
        <w:spacing w:before="0"/>
        <w:ind w:left="319" w:right="1549" w:firstLine="0"/>
        <w:jc w:val="left"/>
        <w:rPr>
          <w:sz w:val="24"/>
        </w:rPr>
      </w:pPr>
      <w:r>
        <w:rPr>
          <w:sz w:val="24"/>
        </w:rPr>
        <w:t>Lu, J. </w:t>
      </w:r>
      <w:r>
        <w:rPr>
          <w:i/>
          <w:sz w:val="24"/>
        </w:rPr>
        <w:t>Development of Safety Performance Functions for Safety Analyst Applications in Florida</w:t>
      </w:r>
      <w:r>
        <w:rPr>
          <w:sz w:val="24"/>
        </w:rPr>
        <w:t>. 2013.</w:t>
      </w:r>
    </w:p>
    <w:p>
      <w:pPr>
        <w:pStyle w:val="BodyText"/>
        <w:spacing w:before="10"/>
        <w:rPr>
          <w:sz w:val="20"/>
        </w:rPr>
      </w:pPr>
    </w:p>
    <w:p>
      <w:pPr>
        <w:pStyle w:val="BodyText"/>
        <w:ind w:left="319"/>
      </w:pPr>
      <w:r>
        <w:rPr/>
        <w:t>Maring, W., and I. Van Schagen, I. Age Dependence of Attitudes and Knowledge in Cyclists. In</w:t>
      </w:r>
    </w:p>
    <w:p>
      <w:pPr>
        <w:spacing w:before="0"/>
        <w:ind w:left="320" w:right="0" w:firstLine="0"/>
        <w:jc w:val="left"/>
        <w:rPr>
          <w:sz w:val="24"/>
        </w:rPr>
      </w:pPr>
      <w:r>
        <w:rPr>
          <w:i/>
          <w:sz w:val="24"/>
        </w:rPr>
        <w:t>Accident Analysis &amp; Prevention</w:t>
      </w:r>
      <w:r>
        <w:rPr>
          <w:sz w:val="24"/>
        </w:rPr>
        <w:t>, Vol. 22 No. 2, 1990, pp. 127-136.</w:t>
      </w:r>
    </w:p>
    <w:p>
      <w:pPr>
        <w:pStyle w:val="BodyText"/>
        <w:spacing w:before="10"/>
        <w:rPr>
          <w:sz w:val="20"/>
        </w:rPr>
      </w:pPr>
    </w:p>
    <w:p>
      <w:pPr>
        <w:spacing w:before="0"/>
        <w:ind w:left="320" w:right="1487" w:firstLine="0"/>
        <w:jc w:val="left"/>
        <w:rPr>
          <w:sz w:val="24"/>
        </w:rPr>
      </w:pPr>
      <w:r>
        <w:rPr>
          <w:sz w:val="24"/>
        </w:rPr>
        <w:t>Martin, A. </w:t>
      </w:r>
      <w:r>
        <w:rPr>
          <w:i/>
          <w:sz w:val="24"/>
        </w:rPr>
        <w:t>Factors Influencing Pedestrian Safety: a Literature Review</w:t>
      </w:r>
      <w:r>
        <w:rPr>
          <w:sz w:val="24"/>
        </w:rPr>
        <w:t>. Publication No. PPR241. Wokingham, Berks. TRL. 2006.</w:t>
      </w:r>
    </w:p>
    <w:p>
      <w:pPr>
        <w:pStyle w:val="BodyText"/>
        <w:spacing w:before="10"/>
        <w:rPr>
          <w:sz w:val="20"/>
        </w:rPr>
      </w:pPr>
    </w:p>
    <w:p>
      <w:pPr>
        <w:pStyle w:val="BodyText"/>
        <w:ind w:left="320" w:right="1628"/>
      </w:pPr>
      <w:r>
        <w:rPr/>
        <w:t>Martínez-Ruiz, V., P. Lardelli-Claret, E. Jiménez-Mejías, C. Amezcua-Prieto, J.J. Jimenez- Moleon, and J.D.D.L. del Castillo. Risk Factors for Causing Road Crashes Involving Cyclists: An Application of a Quasi-Induced Exposure Method. In </w:t>
      </w:r>
      <w:r>
        <w:rPr>
          <w:i/>
        </w:rPr>
        <w:t>Accident Analysis &amp; Prevention</w:t>
      </w:r>
      <w:r>
        <w:rPr/>
        <w:t>, Vol. 51, 2013, pp. 228-237.</w:t>
      </w:r>
    </w:p>
    <w:p>
      <w:pPr>
        <w:pStyle w:val="BodyText"/>
        <w:spacing w:before="10"/>
        <w:rPr>
          <w:sz w:val="20"/>
        </w:rPr>
      </w:pPr>
    </w:p>
    <w:p>
      <w:pPr>
        <w:spacing w:before="0"/>
        <w:ind w:left="320" w:right="1441" w:firstLine="0"/>
        <w:jc w:val="left"/>
        <w:rPr>
          <w:sz w:val="24"/>
        </w:rPr>
      </w:pPr>
      <w:r>
        <w:rPr>
          <w:sz w:val="24"/>
        </w:rPr>
        <w:t>McDaniel, S., M. Lowry, and M. Dixon. Using Origin-Destination Centrality to Estimate Directional Bicycle Volumes. In </w:t>
      </w:r>
      <w:r>
        <w:rPr>
          <w:i/>
          <w:sz w:val="24"/>
        </w:rPr>
        <w:t>Transportation Research Record: Journal of the Transportation </w:t>
      </w:r>
      <w:r>
        <w:rPr>
          <w:i/>
          <w:sz w:val="24"/>
        </w:rPr>
        <w:t>Research Board, No. 2430</w:t>
      </w:r>
      <w:r>
        <w:rPr>
          <w:sz w:val="24"/>
        </w:rPr>
        <w:t>, TRB, National Research Council, Washington D.C., 2014, pp. 12-19.</w:t>
      </w:r>
    </w:p>
    <w:p>
      <w:pPr>
        <w:pStyle w:val="BodyText"/>
        <w:spacing w:before="9"/>
        <w:rPr>
          <w:sz w:val="20"/>
        </w:rPr>
      </w:pPr>
    </w:p>
    <w:p>
      <w:pPr>
        <w:spacing w:before="0"/>
        <w:ind w:left="319" w:right="1968" w:firstLine="0"/>
        <w:jc w:val="left"/>
        <w:rPr>
          <w:sz w:val="24"/>
        </w:rPr>
      </w:pPr>
      <w:r>
        <w:rPr>
          <w:sz w:val="24"/>
        </w:rPr>
        <w:t>McMahon P., C. Duncan, J. Stewart, C. Zegeer, and A. Khattak. Analysis of Factors Contributing to" Walking Along Roadway" Crashes. In </w:t>
      </w:r>
      <w:r>
        <w:rPr>
          <w:i/>
          <w:sz w:val="24"/>
        </w:rPr>
        <w:t>Transportation Research Record: </w:t>
      </w:r>
      <w:r>
        <w:rPr>
          <w:i/>
          <w:sz w:val="24"/>
        </w:rPr>
        <w:t>Journal of the Transportation Research </w:t>
      </w:r>
      <w:r>
        <w:rPr>
          <w:sz w:val="24"/>
        </w:rPr>
        <w:t>Board, </w:t>
      </w:r>
      <w:r>
        <w:rPr>
          <w:i/>
          <w:sz w:val="24"/>
        </w:rPr>
        <w:t>No. 1674</w:t>
      </w:r>
      <w:r>
        <w:rPr>
          <w:sz w:val="24"/>
        </w:rPr>
        <w:t>, TRB, National Research Council, Washington D.C., 1999, pp. 41-48.</w:t>
      </w:r>
    </w:p>
    <w:p>
      <w:pPr>
        <w:pStyle w:val="BodyText"/>
        <w:spacing w:before="10"/>
        <w:rPr>
          <w:sz w:val="20"/>
        </w:rPr>
      </w:pPr>
    </w:p>
    <w:p>
      <w:pPr>
        <w:spacing w:before="0"/>
        <w:ind w:left="319" w:right="1655" w:firstLine="0"/>
        <w:jc w:val="left"/>
        <w:rPr>
          <w:sz w:val="24"/>
        </w:rPr>
      </w:pPr>
      <w:r>
        <w:rPr>
          <w:sz w:val="24"/>
        </w:rPr>
        <w:t>McMahon, P.J. </w:t>
      </w:r>
      <w:r>
        <w:rPr>
          <w:i/>
          <w:sz w:val="24"/>
        </w:rPr>
        <w:t>An Analysis of Factors Contributing to" Walking Along Roadway" Crashes: </w:t>
      </w:r>
      <w:r>
        <w:rPr>
          <w:i/>
          <w:sz w:val="24"/>
        </w:rPr>
        <w:t>Research Study and Guidelines for Sidewalks and Walkways, Vol. 1</w:t>
      </w:r>
      <w:r>
        <w:rPr>
          <w:sz w:val="24"/>
        </w:rPr>
        <w:t>. DIANE Publishing. 2002.</w:t>
      </w:r>
    </w:p>
    <w:p>
      <w:pPr>
        <w:pStyle w:val="BodyText"/>
        <w:spacing w:before="10"/>
        <w:rPr>
          <w:sz w:val="20"/>
        </w:rPr>
      </w:pPr>
    </w:p>
    <w:p>
      <w:pPr>
        <w:spacing w:before="0"/>
        <w:ind w:left="319" w:right="1741" w:firstLine="0"/>
        <w:jc w:val="left"/>
        <w:rPr>
          <w:sz w:val="24"/>
        </w:rPr>
      </w:pPr>
      <w:r>
        <w:rPr>
          <w:sz w:val="24"/>
        </w:rPr>
        <w:t>Furth, P.G., M.C. Mekuria, and H. Nixon. Network Connectivity for Low-Stress Bicycling. In </w:t>
      </w:r>
      <w:r>
        <w:rPr>
          <w:i/>
          <w:sz w:val="24"/>
        </w:rPr>
        <w:t>Transportation Research Record: Journal of the Transportation Research Board, No. 2587</w:t>
      </w:r>
      <w:r>
        <w:rPr>
          <w:sz w:val="24"/>
        </w:rPr>
        <w:t>, TRB, National Research Council, Washington D.C., 2016, pp. 41-49.</w:t>
      </w:r>
    </w:p>
    <w:p>
      <w:pPr>
        <w:spacing w:after="0"/>
        <w:jc w:val="left"/>
        <w:rPr>
          <w:sz w:val="24"/>
        </w:rPr>
        <w:sectPr>
          <w:pgSz w:w="12240" w:h="15840"/>
          <w:pgMar w:header="0" w:footer="709" w:top="920" w:bottom="980" w:left="1120" w:right="0"/>
        </w:sectPr>
      </w:pPr>
    </w:p>
    <w:p>
      <w:pPr>
        <w:pStyle w:val="BodyText"/>
        <w:spacing w:before="72"/>
        <w:ind w:left="319" w:right="1816"/>
      </w:pPr>
      <w:r>
        <w:rPr/>
        <w:t>Miranda-Moreno, L.F., P. Morency, and A.M. El-Geneidy. The Link Between Built Environment, Pedestrian Activity and Pedestrian–Vehicle Collision Occurrence at Signalized Intersections. In. </w:t>
      </w:r>
      <w:r>
        <w:rPr>
          <w:i/>
        </w:rPr>
        <w:t>Accident Analysis &amp; Prevention</w:t>
      </w:r>
      <w:r>
        <w:rPr/>
        <w:t>, Vol. 43 No. 5, 2011, pp. 1624-1634.</w:t>
      </w:r>
    </w:p>
    <w:p>
      <w:pPr>
        <w:pStyle w:val="BodyText"/>
        <w:spacing w:before="10"/>
        <w:rPr>
          <w:sz w:val="20"/>
        </w:rPr>
      </w:pPr>
    </w:p>
    <w:p>
      <w:pPr>
        <w:pStyle w:val="BodyText"/>
        <w:spacing w:before="1"/>
        <w:ind w:left="319" w:right="1789"/>
      </w:pPr>
      <w:r>
        <w:rPr/>
        <w:t>Moahn, D., Geetam T., Meleckidzedeck K., and F. Muyla Nafukho. (2006). “Risk Factors for Road Traffic Injuries.” In Road Traffic Injury Prevention: Training Manual, 21–40. Geneva: World Health Organization.</w:t>
      </w:r>
    </w:p>
    <w:p>
      <w:pPr>
        <w:pStyle w:val="BodyText"/>
        <w:spacing w:before="9"/>
        <w:rPr>
          <w:sz w:val="20"/>
        </w:rPr>
      </w:pPr>
    </w:p>
    <w:p>
      <w:pPr>
        <w:pStyle w:val="BodyText"/>
        <w:spacing w:before="1"/>
        <w:ind w:left="320" w:right="2114"/>
      </w:pPr>
      <w:r>
        <w:rPr/>
        <w:t>Mountain, L., B. Fawaz, and D. Jarrett. Accident Prediction Models for Roads with Minor Junctions. In </w:t>
      </w:r>
      <w:r>
        <w:rPr>
          <w:i/>
        </w:rPr>
        <w:t>Accident Analysis &amp; Prevention</w:t>
      </w:r>
      <w:r>
        <w:rPr/>
        <w:t>, Vol. 28 No. 6, 1996, pp. 695-707.</w:t>
      </w:r>
    </w:p>
    <w:p>
      <w:pPr>
        <w:pStyle w:val="BodyText"/>
        <w:spacing w:before="9"/>
        <w:rPr>
          <w:sz w:val="20"/>
        </w:rPr>
      </w:pPr>
    </w:p>
    <w:p>
      <w:pPr>
        <w:spacing w:before="1"/>
        <w:ind w:left="320" w:right="1521" w:firstLine="0"/>
        <w:jc w:val="left"/>
        <w:rPr>
          <w:sz w:val="24"/>
        </w:rPr>
      </w:pPr>
      <w:r>
        <w:rPr>
          <w:sz w:val="24"/>
        </w:rPr>
        <w:t>Noland, R., and M. Quddus, M. Analysis of Pedestrian and Bicycle Casualties with Regional Panel Data. In </w:t>
      </w:r>
      <w:r>
        <w:rPr>
          <w:i/>
          <w:sz w:val="24"/>
        </w:rPr>
        <w:t>Transportation Research Record: Journal of the Transportation Research Board, </w:t>
      </w:r>
      <w:r>
        <w:rPr>
          <w:i/>
          <w:sz w:val="24"/>
        </w:rPr>
        <w:t>No. 1897, </w:t>
      </w:r>
      <w:r>
        <w:rPr>
          <w:sz w:val="24"/>
        </w:rPr>
        <w:t>TRB, National Research Council, Washington D.C., 2004, pp. 28-33.</w:t>
      </w:r>
    </w:p>
    <w:p>
      <w:pPr>
        <w:pStyle w:val="BodyText"/>
        <w:spacing w:before="10"/>
        <w:rPr>
          <w:sz w:val="20"/>
        </w:rPr>
      </w:pPr>
    </w:p>
    <w:p>
      <w:pPr>
        <w:pStyle w:val="BodyText"/>
        <w:ind w:left="320" w:right="1488"/>
      </w:pPr>
      <w:r>
        <w:rPr/>
        <w:t>Nordback, K., W.E. Marshall, &amp; B.N. Janson. Bicyclist Safety Performance Functions for a U.S. City. In </w:t>
      </w:r>
      <w:r>
        <w:rPr>
          <w:i/>
        </w:rPr>
        <w:t>Accident Analysis &amp; Prevention</w:t>
      </w:r>
      <w:r>
        <w:rPr/>
        <w:t>, Vol. 65, 2014, pp. 114-122.</w:t>
      </w:r>
    </w:p>
    <w:p>
      <w:pPr>
        <w:pStyle w:val="BodyText"/>
        <w:spacing w:before="10"/>
        <w:rPr>
          <w:sz w:val="20"/>
        </w:rPr>
      </w:pPr>
    </w:p>
    <w:p>
      <w:pPr>
        <w:spacing w:before="0"/>
        <w:ind w:left="320" w:right="1861" w:firstLine="0"/>
        <w:jc w:val="left"/>
        <w:rPr>
          <w:sz w:val="24"/>
        </w:rPr>
      </w:pPr>
      <w:r>
        <w:rPr>
          <w:sz w:val="24"/>
        </w:rPr>
        <w:t>Oh, J., J. Jun, E. Kim, and M. Kim. </w:t>
      </w:r>
      <w:r>
        <w:rPr>
          <w:i/>
          <w:sz w:val="24"/>
        </w:rPr>
        <w:t>Assessing Critical Factors Associated with Bicycle </w:t>
      </w:r>
      <w:r>
        <w:rPr>
          <w:i/>
          <w:sz w:val="24"/>
        </w:rPr>
        <w:t>Collisions at Urban Signalized Intersections</w:t>
      </w:r>
      <w:r>
        <w:rPr>
          <w:sz w:val="24"/>
        </w:rPr>
        <w:t>. Transportation Research Board, TRB, National Research Council, Washington D.C., 2008, pp. 1-17.</w:t>
      </w:r>
    </w:p>
    <w:p>
      <w:pPr>
        <w:pStyle w:val="BodyText"/>
        <w:spacing w:before="10"/>
        <w:rPr>
          <w:sz w:val="20"/>
        </w:rPr>
      </w:pPr>
    </w:p>
    <w:p>
      <w:pPr>
        <w:spacing w:before="0"/>
        <w:ind w:left="320" w:right="1675" w:firstLine="0"/>
        <w:jc w:val="left"/>
        <w:rPr>
          <w:sz w:val="24"/>
        </w:rPr>
      </w:pPr>
      <w:r>
        <w:rPr>
          <w:sz w:val="24"/>
        </w:rPr>
        <w:t>Olkkonen, S., and R. Honkanen. The Role of Alcohol in Nonfatal Bicycle Injuries. In </w:t>
      </w:r>
      <w:r>
        <w:rPr>
          <w:i/>
          <w:sz w:val="24"/>
        </w:rPr>
        <w:t>Accident </w:t>
      </w:r>
      <w:r>
        <w:rPr>
          <w:i/>
          <w:sz w:val="24"/>
        </w:rPr>
        <w:t>Analysis &amp; Prevention</w:t>
      </w:r>
      <w:r>
        <w:rPr>
          <w:sz w:val="24"/>
        </w:rPr>
        <w:t>, Vol. 22 No. 1, 1990, pp. 89-96.</w:t>
      </w:r>
    </w:p>
    <w:p>
      <w:pPr>
        <w:pStyle w:val="BodyText"/>
        <w:spacing w:before="10"/>
        <w:rPr>
          <w:sz w:val="20"/>
        </w:rPr>
      </w:pPr>
    </w:p>
    <w:p>
      <w:pPr>
        <w:pStyle w:val="BodyText"/>
        <w:ind w:left="320" w:right="2461"/>
      </w:pPr>
      <w:r>
        <w:rPr/>
        <w:t>Oregon Department of Transportation (ODOT). </w:t>
      </w:r>
      <w:r>
        <w:rPr>
          <w:i/>
        </w:rPr>
        <w:t>ODOT TransGIS</w:t>
      </w:r>
      <w:r>
        <w:rPr/>
        <w:t>. 2016. Available on: </w:t>
      </w:r>
      <w:hyperlink r:id="rId52">
        <w:r>
          <w:rPr>
            <w:color w:val="0000FF"/>
            <w:u w:val="single" w:color="0000FF"/>
          </w:rPr>
          <w:t>http://gis.odot.state.or.us/TransGis Access on 2016-10-12</w:t>
        </w:r>
      </w:hyperlink>
    </w:p>
    <w:p>
      <w:pPr>
        <w:pStyle w:val="BodyText"/>
        <w:spacing w:before="10"/>
        <w:rPr>
          <w:sz w:val="20"/>
        </w:rPr>
      </w:pPr>
    </w:p>
    <w:p>
      <w:pPr>
        <w:pStyle w:val="BodyText"/>
        <w:ind w:left="320" w:right="2461"/>
      </w:pPr>
      <w:r>
        <w:rPr/>
        <w:t>Pai, C.W. Overtaking, Rear-End, and Door Crashes Involving Bicycles: An Empirical Investigation. In </w:t>
      </w:r>
      <w:r>
        <w:rPr>
          <w:i/>
        </w:rPr>
        <w:t>Accident Analysis &amp; Prevention</w:t>
      </w:r>
      <w:r>
        <w:rPr/>
        <w:t>, Vol. 43 No. 3, 2011, pp. 1228-1235.</w:t>
      </w:r>
    </w:p>
    <w:p>
      <w:pPr>
        <w:pStyle w:val="BodyText"/>
        <w:spacing w:before="10"/>
        <w:rPr>
          <w:sz w:val="20"/>
        </w:rPr>
      </w:pPr>
    </w:p>
    <w:p>
      <w:pPr>
        <w:pStyle w:val="BodyText"/>
        <w:ind w:left="320" w:right="1575"/>
      </w:pPr>
      <w:r>
        <w:rPr/>
        <w:t>Palamara, P., and M. Broughton. An Investigation of Pedestrian Crashes at Traffic Intersections in the Perth Central Business. In </w:t>
      </w:r>
      <w:r>
        <w:rPr>
          <w:i/>
        </w:rPr>
        <w:t>J Public Health</w:t>
      </w:r>
      <w:r>
        <w:rPr/>
        <w:t>, Vol. 93, 2013, pp. 1456-1463.</w:t>
      </w:r>
    </w:p>
    <w:p>
      <w:pPr>
        <w:pStyle w:val="BodyText"/>
        <w:spacing w:before="10"/>
        <w:rPr>
          <w:sz w:val="20"/>
        </w:rPr>
      </w:pPr>
    </w:p>
    <w:p>
      <w:pPr>
        <w:pStyle w:val="BodyText"/>
        <w:ind w:left="320" w:right="2661"/>
      </w:pPr>
      <w:r>
        <w:rPr/>
        <w:t>Parkin, J., M. Wardman, and M. Page. Models of Perceived Cycling Risk and Route Acceptability. In </w:t>
      </w:r>
      <w:r>
        <w:rPr>
          <w:i/>
        </w:rPr>
        <w:t>Accident Analysis &amp; Prevention</w:t>
      </w:r>
      <w:r>
        <w:rPr/>
        <w:t>, Vol. 39 No. 2, 2007, pp. 364-371.</w:t>
      </w:r>
    </w:p>
    <w:p>
      <w:pPr>
        <w:pStyle w:val="BodyText"/>
        <w:spacing w:before="9"/>
        <w:rPr>
          <w:sz w:val="20"/>
        </w:rPr>
      </w:pPr>
    </w:p>
    <w:p>
      <w:pPr>
        <w:spacing w:before="0"/>
        <w:ind w:left="320" w:right="1568" w:firstLine="0"/>
        <w:jc w:val="left"/>
        <w:rPr>
          <w:sz w:val="24"/>
        </w:rPr>
      </w:pPr>
      <w:r>
        <w:rPr>
          <w:sz w:val="24"/>
        </w:rPr>
        <w:t>Petritsch, T., B. Landis, H. Huang, and S. Challa. (2006). Sidepath Safety Model: Bicycle Sidepath Design Factors Affecting Crash Rates. In </w:t>
      </w:r>
      <w:r>
        <w:rPr>
          <w:i/>
          <w:sz w:val="24"/>
        </w:rPr>
        <w:t>Transportation Research Record: Journal of </w:t>
      </w:r>
      <w:r>
        <w:rPr>
          <w:i/>
          <w:sz w:val="24"/>
        </w:rPr>
        <w:t>the Transportation Research Board, No. 1982</w:t>
      </w:r>
      <w:r>
        <w:rPr>
          <w:sz w:val="24"/>
        </w:rPr>
        <w:t>, TRB, Washington D.C., 2006, pp. 194-201.</w:t>
      </w:r>
    </w:p>
    <w:p>
      <w:pPr>
        <w:pStyle w:val="BodyText"/>
        <w:spacing w:before="10"/>
        <w:rPr>
          <w:sz w:val="20"/>
        </w:rPr>
      </w:pPr>
    </w:p>
    <w:p>
      <w:pPr>
        <w:spacing w:before="0"/>
        <w:ind w:left="320" w:right="1993" w:firstLine="0"/>
        <w:jc w:val="left"/>
        <w:rPr>
          <w:sz w:val="24"/>
        </w:rPr>
      </w:pPr>
      <w:r>
        <w:rPr>
          <w:sz w:val="24"/>
        </w:rPr>
        <w:t>Poch, M., and F. Mannering. Negative Binomial Analysis of Intersection-Accident Frequencies. In </w:t>
      </w:r>
      <w:r>
        <w:rPr>
          <w:i/>
          <w:sz w:val="24"/>
        </w:rPr>
        <w:t>Journal of Transportation Engineering</w:t>
      </w:r>
      <w:r>
        <w:rPr>
          <w:sz w:val="24"/>
        </w:rPr>
        <w:t>, Vol. 122 No. 2, 1996, pp. 105-113.</w:t>
      </w:r>
    </w:p>
    <w:p>
      <w:pPr>
        <w:pStyle w:val="BodyText"/>
        <w:spacing w:before="10"/>
        <w:rPr>
          <w:sz w:val="20"/>
        </w:rPr>
      </w:pPr>
    </w:p>
    <w:p>
      <w:pPr>
        <w:spacing w:before="0"/>
        <w:ind w:left="320" w:right="1914" w:firstLine="0"/>
        <w:jc w:val="left"/>
        <w:rPr>
          <w:sz w:val="24"/>
        </w:rPr>
      </w:pPr>
      <w:r>
        <w:rPr>
          <w:sz w:val="24"/>
        </w:rPr>
        <w:t>Preston, H., R. Storm, J.D. Bennett, and B. Wemple. </w:t>
      </w:r>
      <w:r>
        <w:rPr>
          <w:i/>
          <w:sz w:val="24"/>
        </w:rPr>
        <w:t>Systemic Safety Project Selection Tool</w:t>
      </w:r>
      <w:r>
        <w:rPr>
          <w:sz w:val="24"/>
        </w:rPr>
        <w:t>. Publication No. FHWA-SA-13-019. 2013.</w:t>
      </w:r>
    </w:p>
    <w:p>
      <w:pPr>
        <w:pStyle w:val="BodyText"/>
        <w:spacing w:before="10"/>
        <w:rPr>
          <w:sz w:val="20"/>
        </w:rPr>
      </w:pPr>
    </w:p>
    <w:p>
      <w:pPr>
        <w:spacing w:before="0"/>
        <w:ind w:left="320" w:right="0" w:firstLine="0"/>
        <w:jc w:val="left"/>
        <w:rPr>
          <w:i/>
          <w:sz w:val="24"/>
        </w:rPr>
      </w:pPr>
      <w:r>
        <w:rPr>
          <w:sz w:val="24"/>
        </w:rPr>
        <w:t>Pulugurtha, S.S., and A.P. Nujjetty. </w:t>
      </w:r>
      <w:r>
        <w:rPr>
          <w:i/>
          <w:sz w:val="24"/>
        </w:rPr>
        <w:t>Crash Estimation Models for Intersections.</w:t>
      </w:r>
    </w:p>
    <w:p>
      <w:pPr>
        <w:spacing w:before="2"/>
        <w:ind w:left="320" w:right="1893" w:firstLine="0"/>
        <w:jc w:val="left"/>
        <w:rPr>
          <w:sz w:val="24"/>
        </w:rPr>
      </w:pPr>
      <w:r>
        <w:rPr>
          <w:i/>
          <w:sz w:val="24"/>
        </w:rPr>
        <w:t>In Transportation and Development Institute Congress 2011: Integrated Transportation and </w:t>
      </w:r>
      <w:r>
        <w:rPr>
          <w:i/>
          <w:sz w:val="24"/>
        </w:rPr>
        <w:t>Development for a Better Tomorrow</w:t>
      </w:r>
      <w:r>
        <w:rPr>
          <w:sz w:val="24"/>
        </w:rPr>
        <w:t>. 2011, pp. 1306-1314.</w:t>
      </w:r>
    </w:p>
    <w:p>
      <w:pPr>
        <w:spacing w:after="0"/>
        <w:jc w:val="left"/>
        <w:rPr>
          <w:sz w:val="24"/>
        </w:rPr>
        <w:sectPr>
          <w:pgSz w:w="12240" w:h="15840"/>
          <w:pgMar w:header="0" w:footer="709" w:top="920" w:bottom="980" w:left="1120" w:right="0"/>
        </w:sectPr>
      </w:pPr>
    </w:p>
    <w:p>
      <w:pPr>
        <w:pStyle w:val="BodyText"/>
        <w:spacing w:before="72"/>
        <w:ind w:left="320" w:right="2187"/>
      </w:pPr>
      <w:r>
        <w:rPr/>
        <w:t>Pulugurtha, S.S., and V.R. Sambhara. Pedestrian Crash Estimation Models for Signalized Intersections. In </w:t>
      </w:r>
      <w:r>
        <w:rPr>
          <w:i/>
        </w:rPr>
        <w:t>Accident Analysis &amp; Prevention</w:t>
      </w:r>
      <w:r>
        <w:rPr/>
        <w:t>, Vol. 43 No. 1, 2011, pp. 439-446.</w:t>
      </w:r>
    </w:p>
    <w:p>
      <w:pPr>
        <w:pStyle w:val="BodyText"/>
        <w:spacing w:before="10"/>
        <w:rPr>
          <w:sz w:val="20"/>
        </w:rPr>
      </w:pPr>
    </w:p>
    <w:p>
      <w:pPr>
        <w:spacing w:before="1"/>
        <w:ind w:left="320" w:right="1420" w:firstLine="0"/>
        <w:jc w:val="left"/>
        <w:rPr>
          <w:sz w:val="24"/>
        </w:rPr>
      </w:pPr>
      <w:r>
        <w:rPr>
          <w:sz w:val="24"/>
        </w:rPr>
        <w:t>Team, R.C. (2014). </w:t>
      </w:r>
      <w:r>
        <w:rPr>
          <w:i/>
          <w:sz w:val="24"/>
        </w:rPr>
        <w:t>R: A Language and Environment for Statistical Computing</w:t>
      </w:r>
      <w:r>
        <w:rPr>
          <w:sz w:val="24"/>
        </w:rPr>
        <w:t>. R Foundation for Statistical Computing, Vienna, Austria. 2013.</w:t>
      </w:r>
    </w:p>
    <w:p>
      <w:pPr>
        <w:pStyle w:val="BodyText"/>
        <w:spacing w:before="9"/>
        <w:rPr>
          <w:sz w:val="20"/>
        </w:rPr>
      </w:pPr>
    </w:p>
    <w:p>
      <w:pPr>
        <w:spacing w:before="1"/>
        <w:ind w:left="319" w:right="2115" w:firstLine="0"/>
        <w:jc w:val="left"/>
        <w:rPr>
          <w:sz w:val="24"/>
        </w:rPr>
      </w:pPr>
      <w:r>
        <w:rPr>
          <w:sz w:val="24"/>
        </w:rPr>
        <w:t>Ramsey, F., and D. Schafer. </w:t>
      </w:r>
      <w:r>
        <w:rPr>
          <w:i/>
          <w:sz w:val="24"/>
        </w:rPr>
        <w:t>The Statistical Sleuth: a Course in Methods of Data Analysis</w:t>
      </w:r>
      <w:r>
        <w:rPr>
          <w:sz w:val="24"/>
        </w:rPr>
        <w:t>. Cengage Learning. 2012.</w:t>
      </w:r>
    </w:p>
    <w:p>
      <w:pPr>
        <w:pStyle w:val="BodyText"/>
        <w:spacing w:before="9"/>
        <w:rPr>
          <w:sz w:val="20"/>
        </w:rPr>
      </w:pPr>
    </w:p>
    <w:p>
      <w:pPr>
        <w:pStyle w:val="BodyText"/>
        <w:spacing w:before="1"/>
        <w:ind w:left="319" w:right="1635"/>
      </w:pPr>
      <w:r>
        <w:rPr/>
        <w:t>Räsänen, M., and H. Summala. Attention and Expectation Problems in Bicycle–Car Collisions: an In-Depth Study. In </w:t>
      </w:r>
      <w:r>
        <w:rPr>
          <w:i/>
        </w:rPr>
        <w:t>Accident Analysis &amp; Prevention</w:t>
      </w:r>
      <w:r>
        <w:rPr/>
        <w:t>, Vol. 30 No. 5, 1998, pp. 657-666.</w:t>
      </w:r>
    </w:p>
    <w:p>
      <w:pPr>
        <w:pStyle w:val="BodyText"/>
        <w:spacing w:before="10"/>
        <w:rPr>
          <w:sz w:val="20"/>
        </w:rPr>
      </w:pPr>
    </w:p>
    <w:p>
      <w:pPr>
        <w:spacing w:before="0"/>
        <w:ind w:left="319" w:right="2895" w:firstLine="0"/>
        <w:jc w:val="left"/>
        <w:rPr>
          <w:sz w:val="24"/>
        </w:rPr>
      </w:pPr>
      <w:r>
        <w:rPr>
          <w:sz w:val="24"/>
        </w:rPr>
        <w:t>Rodgers, G.B. Bicyclist Deaths and Fatality Risk Patterns. In </w:t>
      </w:r>
      <w:r>
        <w:rPr>
          <w:i/>
          <w:sz w:val="24"/>
        </w:rPr>
        <w:t>Accident Analysis &amp; </w:t>
      </w:r>
      <w:r>
        <w:rPr>
          <w:i/>
          <w:sz w:val="24"/>
        </w:rPr>
        <w:t>Prevention</w:t>
      </w:r>
      <w:r>
        <w:rPr>
          <w:sz w:val="24"/>
        </w:rPr>
        <w:t>, Vol. 27 No. 2, 1995, pp. 215-223.</w:t>
      </w:r>
    </w:p>
    <w:p>
      <w:pPr>
        <w:pStyle w:val="BodyText"/>
        <w:spacing w:before="10"/>
        <w:rPr>
          <w:sz w:val="20"/>
        </w:rPr>
      </w:pPr>
    </w:p>
    <w:p>
      <w:pPr>
        <w:pStyle w:val="BodyText"/>
        <w:ind w:left="319" w:right="1583"/>
      </w:pPr>
      <w:r>
        <w:rPr/>
        <w:t>Schepers, J.P., P.A. Kroeze, W. Sweers, and J.C. Wüst. Road Factors and Bicycle–Motor Vehicle Crashes at Unsignalized Priority Intersections. In </w:t>
      </w:r>
      <w:r>
        <w:rPr>
          <w:i/>
        </w:rPr>
        <w:t>Accident Analysis &amp; Prevention</w:t>
      </w:r>
      <w:r>
        <w:rPr/>
        <w:t>, Vol. 43 No. 3, 2011, pp. 853-861.</w:t>
      </w:r>
    </w:p>
    <w:p>
      <w:pPr>
        <w:pStyle w:val="BodyText"/>
        <w:spacing w:before="10"/>
        <w:rPr>
          <w:sz w:val="20"/>
        </w:rPr>
      </w:pPr>
    </w:p>
    <w:p>
      <w:pPr>
        <w:pStyle w:val="BodyText"/>
        <w:ind w:left="319" w:right="2215"/>
      </w:pPr>
      <w:r>
        <w:rPr/>
        <w:t>Schepers, P., and B. den Brinker. What Do Cyclists Need to See to Avoid Single-Bicycle Crashes?. In </w:t>
      </w:r>
      <w:r>
        <w:rPr>
          <w:i/>
        </w:rPr>
        <w:t>Ergonomics</w:t>
      </w:r>
      <w:r>
        <w:rPr/>
        <w:t>, Vol. 54 No. 4, 2011, pp. 315-327.</w:t>
      </w:r>
    </w:p>
    <w:p>
      <w:pPr>
        <w:pStyle w:val="BodyText"/>
        <w:spacing w:before="10"/>
        <w:rPr>
          <w:sz w:val="20"/>
        </w:rPr>
      </w:pPr>
    </w:p>
    <w:p>
      <w:pPr>
        <w:pStyle w:val="BodyText"/>
        <w:ind w:left="320" w:right="1875"/>
      </w:pPr>
      <w:r>
        <w:rPr/>
        <w:t>Schepers, P., M. Hagenzieker, R. Methorst, B. Van Wee, and F. Wegman. A Conceptual Framework for Road Safety and Mobility Applied to Cycling Safety. In </w:t>
      </w:r>
      <w:r>
        <w:rPr>
          <w:i/>
        </w:rPr>
        <w:t>Accident Analysis &amp; </w:t>
      </w:r>
      <w:r>
        <w:rPr>
          <w:i/>
        </w:rPr>
        <w:t>Prevention</w:t>
      </w:r>
      <w:r>
        <w:rPr/>
        <w:t>, Vol. 62, 2014, pp. 331-340.</w:t>
      </w:r>
    </w:p>
    <w:p>
      <w:pPr>
        <w:pStyle w:val="BodyText"/>
        <w:spacing w:before="10"/>
        <w:rPr>
          <w:sz w:val="20"/>
        </w:rPr>
      </w:pPr>
    </w:p>
    <w:p>
      <w:pPr>
        <w:spacing w:before="0"/>
        <w:ind w:left="319" w:right="1595" w:firstLine="0"/>
        <w:jc w:val="left"/>
        <w:rPr>
          <w:sz w:val="24"/>
        </w:rPr>
      </w:pPr>
      <w:r>
        <w:rPr>
          <w:sz w:val="24"/>
        </w:rPr>
        <w:t>Schneider, R., M. Diogenes, L. Arnold, V. Attaset, J. Griswold, and D. Ragland. Association Between Roadway Intersection Characteristics and Pedestrian Crash Risk in Alameda County, California. In </w:t>
      </w:r>
      <w:r>
        <w:rPr>
          <w:i/>
          <w:sz w:val="24"/>
        </w:rPr>
        <w:t>Transportation Research Record: Journal of the Transportation Research Board, </w:t>
      </w:r>
      <w:r>
        <w:rPr>
          <w:i/>
          <w:sz w:val="24"/>
        </w:rPr>
        <w:t>No. 2198</w:t>
      </w:r>
      <w:r>
        <w:rPr>
          <w:sz w:val="24"/>
        </w:rPr>
        <w:t>, TRB, Washington D.C., 2010, pp. 41-51.</w:t>
      </w:r>
    </w:p>
    <w:p>
      <w:pPr>
        <w:pStyle w:val="BodyText"/>
        <w:spacing w:before="10"/>
        <w:rPr>
          <w:sz w:val="20"/>
        </w:rPr>
      </w:pPr>
    </w:p>
    <w:p>
      <w:pPr>
        <w:pStyle w:val="BodyText"/>
        <w:ind w:left="319" w:right="1702"/>
      </w:pPr>
      <w:r>
        <w:rPr/>
        <w:t>Schneider, R.J., R.M. Ryznar, and A.J. Khattak. An Accident Waiting to Happen: a Spatial Approach to Proactive Pedestrian Planning. In </w:t>
      </w:r>
      <w:r>
        <w:rPr>
          <w:i/>
        </w:rPr>
        <w:t>Accident Analysis &amp; Prevention</w:t>
      </w:r>
      <w:r>
        <w:rPr/>
        <w:t>, Vol. 36 No. 2, 2004, pp. 193-211.</w:t>
      </w:r>
    </w:p>
    <w:p>
      <w:pPr>
        <w:pStyle w:val="BodyText"/>
        <w:spacing w:before="9"/>
        <w:rPr>
          <w:sz w:val="20"/>
        </w:rPr>
      </w:pPr>
    </w:p>
    <w:p>
      <w:pPr>
        <w:pStyle w:val="BodyText"/>
        <w:ind w:left="320" w:right="1550"/>
      </w:pPr>
      <w:r>
        <w:rPr/>
        <w:t>Senserrick, T., S. Boufous, L. De Rome, R. Ivers, and M. Stevenson. Detailed Analysis of Pedestrian Casualty Collisions in Victoria, Australia. In </w:t>
      </w:r>
      <w:r>
        <w:rPr>
          <w:i/>
        </w:rPr>
        <w:t>Traffic Injury Prevention</w:t>
      </w:r>
      <w:r>
        <w:rPr/>
        <w:t>, Vol. 15 Sup 1, 2014, pp. S197-S205.</w:t>
      </w:r>
    </w:p>
    <w:p>
      <w:pPr>
        <w:pStyle w:val="BodyText"/>
        <w:spacing w:before="10"/>
        <w:rPr>
          <w:sz w:val="20"/>
        </w:rPr>
      </w:pPr>
    </w:p>
    <w:p>
      <w:pPr>
        <w:pStyle w:val="BodyText"/>
        <w:ind w:left="320" w:right="1841"/>
      </w:pPr>
      <w:r>
        <w:rPr/>
        <w:t>Stone, M., and J. Broughton, J. Getting Off Your Bike: Cycling Accidents in Great Britain in 1990–1999. In </w:t>
      </w:r>
      <w:r>
        <w:rPr>
          <w:i/>
        </w:rPr>
        <w:t>Accident Analysis &amp; Prevention</w:t>
      </w:r>
      <w:r>
        <w:rPr/>
        <w:t>, Vol. 35 No. 4, 2003, pp. 549-556.</w:t>
      </w:r>
    </w:p>
    <w:p>
      <w:pPr>
        <w:pStyle w:val="BodyText"/>
        <w:spacing w:before="10"/>
        <w:rPr>
          <w:sz w:val="20"/>
        </w:rPr>
      </w:pPr>
    </w:p>
    <w:p>
      <w:pPr>
        <w:spacing w:before="0"/>
        <w:ind w:left="320" w:right="1428" w:firstLine="0"/>
        <w:jc w:val="left"/>
        <w:rPr>
          <w:sz w:val="24"/>
        </w:rPr>
      </w:pPr>
      <w:r>
        <w:rPr>
          <w:sz w:val="24"/>
        </w:rPr>
        <w:t>STRAVA, </w:t>
      </w:r>
      <w:r>
        <w:rPr>
          <w:i/>
          <w:sz w:val="24"/>
        </w:rPr>
        <w:t>Oregon Bicycle Count GIS Layer</w:t>
      </w:r>
      <w:r>
        <w:rPr>
          <w:sz w:val="24"/>
        </w:rPr>
        <w:t>. STRAVA INC. Provided by Oregon Department of Transportation. TPAU Union. 2014.</w:t>
      </w:r>
    </w:p>
    <w:p>
      <w:pPr>
        <w:pStyle w:val="BodyText"/>
        <w:spacing w:before="10"/>
        <w:rPr>
          <w:sz w:val="20"/>
        </w:rPr>
      </w:pPr>
    </w:p>
    <w:p>
      <w:pPr>
        <w:pStyle w:val="BodyText"/>
        <w:ind w:left="320"/>
      </w:pPr>
      <w:r>
        <w:rPr/>
        <w:t>STRAVA. </w:t>
      </w:r>
      <w:r>
        <w:rPr>
          <w:i/>
        </w:rPr>
        <w:t>About Us</w:t>
      </w:r>
      <w:r>
        <w:rPr/>
        <w:t>. Available on: </w:t>
      </w:r>
      <w:hyperlink r:id="rId53">
        <w:r>
          <w:rPr>
            <w:color w:val="0000FF"/>
            <w:u w:val="single" w:color="0000FF"/>
          </w:rPr>
          <w:t>https://www.STRAVA.com/about</w:t>
        </w:r>
      </w:hyperlink>
      <w:r>
        <w:rPr/>
        <w:t>. Retrieved on 2016-11-2.</w:t>
      </w:r>
    </w:p>
    <w:p>
      <w:pPr>
        <w:pStyle w:val="BodyText"/>
        <w:spacing w:before="10"/>
        <w:rPr>
          <w:sz w:val="20"/>
        </w:rPr>
      </w:pPr>
    </w:p>
    <w:p>
      <w:pPr>
        <w:pStyle w:val="BodyText"/>
        <w:ind w:left="320" w:right="2827"/>
      </w:pPr>
      <w:r>
        <w:rPr/>
        <w:t>STRAVA. </w:t>
      </w:r>
      <w:r>
        <w:rPr>
          <w:i/>
        </w:rPr>
        <w:t>Global Heatmap</w:t>
      </w:r>
      <w:r>
        <w:rPr/>
        <w:t>. Available on: </w:t>
      </w:r>
      <w:hyperlink r:id="rId54">
        <w:r>
          <w:rPr>
            <w:color w:val="0000FF"/>
            <w:u w:val="single" w:color="0000FF"/>
          </w:rPr>
          <w:t>http://labs.STRAVA.com/heatmap/#5/-</w:t>
        </w:r>
      </w:hyperlink>
      <w:r>
        <w:rPr>
          <w:color w:val="0000FF"/>
        </w:rPr>
        <w:t> </w:t>
      </w:r>
      <w:hyperlink r:id="rId54">
        <w:r>
          <w:rPr>
            <w:color w:val="0000FF"/>
            <w:u w:val="single" w:color="0000FF"/>
          </w:rPr>
          <w:t>103.99658/38.44498/blue/bike</w:t>
        </w:r>
      </w:hyperlink>
      <w:r>
        <w:rPr/>
        <w:t>. Retrieved on 2016-11-2.</w:t>
      </w:r>
    </w:p>
    <w:p>
      <w:pPr>
        <w:spacing w:after="0"/>
        <w:sectPr>
          <w:pgSz w:w="12240" w:h="15840"/>
          <w:pgMar w:header="0" w:footer="709" w:top="920" w:bottom="980" w:left="1120" w:right="0"/>
        </w:sectPr>
      </w:pPr>
    </w:p>
    <w:p>
      <w:pPr>
        <w:pStyle w:val="BodyText"/>
        <w:spacing w:before="72"/>
        <w:ind w:left="320" w:right="1672"/>
      </w:pPr>
      <w:r>
        <w:rPr/>
        <w:t>Summala, H., E. Pasanen, M. Räsänen, and J. Sievänen. Bicycle Accidents and Drivers' Visual Search at Left and Right Turns. In </w:t>
      </w:r>
      <w:r>
        <w:rPr>
          <w:i/>
        </w:rPr>
        <w:t>Accident Analysis &amp; Prevention</w:t>
      </w:r>
      <w:r>
        <w:rPr/>
        <w:t>, Vol. 28 No. 2, 1996, pp.</w:t>
      </w:r>
    </w:p>
    <w:p>
      <w:pPr>
        <w:pStyle w:val="BodyText"/>
        <w:ind w:left="320"/>
      </w:pPr>
      <w:r>
        <w:rPr/>
        <w:t>147-153.</w:t>
      </w:r>
    </w:p>
    <w:p>
      <w:pPr>
        <w:pStyle w:val="BodyText"/>
        <w:spacing w:before="10"/>
        <w:rPr>
          <w:sz w:val="20"/>
        </w:rPr>
      </w:pPr>
    </w:p>
    <w:p>
      <w:pPr>
        <w:pStyle w:val="BodyText"/>
        <w:spacing w:before="1"/>
        <w:ind w:left="320" w:right="1549"/>
        <w:rPr>
          <w:i/>
        </w:rPr>
      </w:pPr>
      <w:r>
        <w:rPr/>
        <w:t>Tin, S.T., A. Woodward, and S. Ameratunga. Incidence, Risk, and Protective Factors of Bicycle Crashes: Findings From a Prospective Cohort Study in New Zealand. In </w:t>
      </w:r>
      <w:r>
        <w:rPr>
          <w:i/>
        </w:rPr>
        <w:t>Preventive</w:t>
      </w:r>
    </w:p>
    <w:p>
      <w:pPr>
        <w:pStyle w:val="BodyText"/>
        <w:ind w:left="320"/>
      </w:pPr>
      <w:r>
        <w:rPr>
          <w:i/>
        </w:rPr>
        <w:t>Medicine</w:t>
      </w:r>
      <w:r>
        <w:rPr/>
        <w:t>, Vol. 57 No. 3, 2013, pp. 152-161.</w:t>
      </w:r>
    </w:p>
    <w:p>
      <w:pPr>
        <w:pStyle w:val="BodyText"/>
        <w:spacing w:before="9"/>
        <w:rPr>
          <w:sz w:val="20"/>
        </w:rPr>
      </w:pPr>
    </w:p>
    <w:p>
      <w:pPr>
        <w:spacing w:before="1"/>
        <w:ind w:left="320" w:right="1514" w:firstLine="0"/>
        <w:jc w:val="left"/>
        <w:rPr>
          <w:sz w:val="24"/>
        </w:rPr>
      </w:pPr>
      <w:r>
        <w:rPr>
          <w:sz w:val="24"/>
        </w:rPr>
        <w:t>Torbic, D., D. Harwood, D., C. Bokenkroger, R. Srinivasan, D. Carter, C. Zegeer, and C. Lyon. Pedestrian Safety Prediction Methodology for Urban Signalized Intersections. In </w:t>
      </w:r>
      <w:r>
        <w:rPr>
          <w:i/>
          <w:sz w:val="24"/>
        </w:rPr>
        <w:t>Transportation </w:t>
      </w:r>
      <w:r>
        <w:rPr>
          <w:i/>
          <w:sz w:val="24"/>
        </w:rPr>
        <w:t>Research Record: Journal of the Transportation Research Board, No. 2198</w:t>
      </w:r>
      <w:r>
        <w:rPr>
          <w:sz w:val="24"/>
        </w:rPr>
        <w:t>, TRB, Washington D.C., 2010, pp. 65-74.</w:t>
      </w:r>
    </w:p>
    <w:p>
      <w:pPr>
        <w:pStyle w:val="BodyText"/>
        <w:spacing w:before="10"/>
        <w:rPr>
          <w:sz w:val="20"/>
        </w:rPr>
      </w:pPr>
    </w:p>
    <w:p>
      <w:pPr>
        <w:pStyle w:val="BodyText"/>
        <w:ind w:left="320" w:right="1495"/>
      </w:pPr>
      <w:r>
        <w:rPr/>
        <w:t>Vandenbulcke, G., I. Thomas, and L.I. Panis. Predicting Cycling Accident Risk in Brussels: a Spatial Case–Control Approach. In </w:t>
      </w:r>
      <w:r>
        <w:rPr>
          <w:i/>
        </w:rPr>
        <w:t>Accident Analysis &amp; Prevention</w:t>
      </w:r>
      <w:r>
        <w:rPr/>
        <w:t>, Vol. 62, 2014, pp. 341-357.</w:t>
      </w:r>
    </w:p>
    <w:p>
      <w:pPr>
        <w:pStyle w:val="BodyText"/>
        <w:spacing w:before="10"/>
        <w:rPr>
          <w:sz w:val="20"/>
        </w:rPr>
      </w:pPr>
    </w:p>
    <w:p>
      <w:pPr>
        <w:pStyle w:val="BodyText"/>
        <w:ind w:left="320" w:right="1802"/>
      </w:pPr>
      <w:r>
        <w:rPr/>
        <w:t>Walker, I. Drivers Overtaking Bicyclists: Objective Data on the Effects of Riding Position, Helmet Use, Vehicle Type and Apparent Gender. In </w:t>
      </w:r>
      <w:r>
        <w:rPr>
          <w:i/>
        </w:rPr>
        <w:t>Accident Analysis &amp; Prevention</w:t>
      </w:r>
      <w:r>
        <w:rPr/>
        <w:t>, Vol. 39 No. 2, 2007, pp. 417-425.</w:t>
      </w:r>
    </w:p>
    <w:p>
      <w:pPr>
        <w:pStyle w:val="BodyText"/>
        <w:spacing w:before="10"/>
        <w:rPr>
          <w:sz w:val="20"/>
        </w:rPr>
      </w:pPr>
    </w:p>
    <w:p>
      <w:pPr>
        <w:pStyle w:val="BodyText"/>
        <w:ind w:left="320" w:right="2075"/>
      </w:pPr>
      <w:r>
        <w:rPr/>
        <w:t>Walker, S.H., and D.B. Duncan. Estimation of the Probability of an Event as a Function of Several Independent Variables. In </w:t>
      </w:r>
      <w:r>
        <w:rPr>
          <w:i/>
        </w:rPr>
        <w:t>Biometrika</w:t>
      </w:r>
      <w:r>
        <w:rPr/>
        <w:t>, Vol. 54 Nos. 1-2, 1967, pp. 167-179.</w:t>
      </w:r>
    </w:p>
    <w:p>
      <w:pPr>
        <w:pStyle w:val="BodyText"/>
        <w:spacing w:before="10"/>
        <w:rPr>
          <w:sz w:val="20"/>
        </w:rPr>
      </w:pPr>
    </w:p>
    <w:p>
      <w:pPr>
        <w:pStyle w:val="BodyText"/>
        <w:ind w:left="320" w:right="1462"/>
      </w:pPr>
      <w:r>
        <w:rPr/>
        <w:t>Wang, Y., and N.L. Nihan. Estimating the Risk of Collisions between Bicycles and Motor Vehicles at Signalized Intersections. In </w:t>
      </w:r>
      <w:r>
        <w:rPr>
          <w:i/>
        </w:rPr>
        <w:t>Accident Analysis &amp; Prevention</w:t>
      </w:r>
      <w:r>
        <w:rPr/>
        <w:t>, Vol. 36 No. 3, 2004, pp. 313-321.</w:t>
      </w:r>
    </w:p>
    <w:p>
      <w:pPr>
        <w:pStyle w:val="BodyText"/>
        <w:spacing w:before="10"/>
        <w:rPr>
          <w:sz w:val="20"/>
        </w:rPr>
      </w:pPr>
    </w:p>
    <w:p>
      <w:pPr>
        <w:pStyle w:val="BodyText"/>
        <w:ind w:left="320" w:right="2019"/>
      </w:pPr>
      <w:r>
        <w:rPr/>
        <w:t>Wier, M., J. Weintraub, E.H. Humphreys, E. Seto, and R. Bhatia. An Area-Level Model of Vehicle-Pedestrian Injury Collisions with Implications for Land Use and Transportation Planning. In </w:t>
      </w:r>
      <w:r>
        <w:rPr>
          <w:i/>
        </w:rPr>
        <w:t>Accident Analysis &amp; Prevention</w:t>
      </w:r>
      <w:r>
        <w:rPr/>
        <w:t>, Vol. 41 No. 1, 2009, pp. 137-145.</w:t>
      </w:r>
    </w:p>
    <w:p>
      <w:pPr>
        <w:pStyle w:val="BodyText"/>
        <w:spacing w:before="10"/>
        <w:rPr>
          <w:sz w:val="20"/>
        </w:rPr>
      </w:pPr>
    </w:p>
    <w:p>
      <w:pPr>
        <w:pStyle w:val="BodyText"/>
        <w:ind w:left="320" w:right="1576"/>
      </w:pPr>
      <w:r>
        <w:rPr/>
        <w:t>Zegeer, C., J. Stewart, H. Huang, and P. Lagerwey. Safety Effects of Marked Versus Unmarked Crosswalks at Uncontrolled Locations: Analysis of Pedestrian Crashes in 30 Cities.</w:t>
      </w:r>
    </w:p>
    <w:p>
      <w:pPr>
        <w:spacing w:before="0"/>
        <w:ind w:left="320" w:right="1687" w:firstLine="0"/>
        <w:jc w:val="left"/>
        <w:rPr>
          <w:sz w:val="24"/>
        </w:rPr>
      </w:pPr>
      <w:r>
        <w:rPr>
          <w:sz w:val="24"/>
        </w:rPr>
        <w:t>In </w:t>
      </w:r>
      <w:r>
        <w:rPr>
          <w:i/>
          <w:sz w:val="24"/>
        </w:rPr>
        <w:t>Transportation Research Record: Journal of the Transportation Research Board, No. 1773</w:t>
      </w:r>
      <w:r>
        <w:rPr>
          <w:sz w:val="24"/>
        </w:rPr>
        <w:t>, TRB, Washington D.C., 2001, pp. 56-68.</w:t>
      </w:r>
    </w:p>
    <w:p>
      <w:pPr>
        <w:pStyle w:val="BodyText"/>
        <w:spacing w:before="9"/>
        <w:rPr>
          <w:sz w:val="20"/>
        </w:rPr>
      </w:pPr>
    </w:p>
    <w:p>
      <w:pPr>
        <w:spacing w:before="0"/>
        <w:ind w:left="320" w:right="1435" w:firstLine="0"/>
        <w:jc w:val="left"/>
        <w:rPr>
          <w:sz w:val="24"/>
        </w:rPr>
      </w:pPr>
      <w:r>
        <w:rPr>
          <w:sz w:val="24"/>
        </w:rPr>
        <w:t>Zegeer, C., D. Carter, W. Hunter, J. Stewart, H. Huang, A. Do, and L. Sandt. Index for Assessing Pedestrian Safety at Intersections. In </w:t>
      </w:r>
      <w:r>
        <w:rPr>
          <w:i/>
          <w:sz w:val="24"/>
        </w:rPr>
        <w:t>Transportation Research Record: Journal of the </w:t>
      </w:r>
      <w:r>
        <w:rPr>
          <w:i/>
          <w:sz w:val="24"/>
        </w:rPr>
        <w:t>Transportation Research Board, No. 1982</w:t>
      </w:r>
      <w:r>
        <w:rPr>
          <w:sz w:val="24"/>
        </w:rPr>
        <w:t>, TRB, Washington D.C., 2006, pp. 76-83.</w:t>
      </w:r>
    </w:p>
    <w:p>
      <w:pPr>
        <w:spacing w:after="0"/>
        <w:jc w:val="left"/>
        <w:rPr>
          <w:sz w:val="24"/>
        </w:rPr>
        <w:sectPr>
          <w:pgSz w:w="12240" w:h="15840"/>
          <w:pgMar w:header="0" w:footer="709" w:top="920" w:bottom="980" w:left="11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pStyle w:val="Heading1"/>
        <w:spacing w:before="85"/>
      </w:pPr>
      <w:r>
        <w:rPr/>
        <w:t>APPENDIX A</w:t>
      </w:r>
    </w:p>
    <w:p>
      <w:pPr>
        <w:pStyle w:val="BodyText"/>
        <w:rPr>
          <w:sz w:val="36"/>
        </w:rPr>
      </w:pPr>
    </w:p>
    <w:p>
      <w:pPr>
        <w:spacing w:before="0"/>
        <w:ind w:left="487" w:right="1605" w:firstLine="0"/>
        <w:jc w:val="center"/>
        <w:rPr>
          <w:sz w:val="36"/>
        </w:rPr>
      </w:pPr>
      <w:r>
        <w:rPr>
          <w:sz w:val="36"/>
        </w:rPr>
        <w:t>EXAMPLE DATA COLLECTION FOR RISK TOOL</w:t>
      </w:r>
    </w:p>
    <w:p>
      <w:pPr>
        <w:spacing w:after="0"/>
        <w:jc w:val="center"/>
        <w:rPr>
          <w:sz w:val="36"/>
        </w:rPr>
        <w:sectPr>
          <w:footerReference w:type="default" r:id="rId55"/>
          <w:pgSz w:w="12240" w:h="15840"/>
          <w:pgMar w:footer="0" w:header="0" w:top="1500" w:bottom="280" w:left="1120" w:right="0"/>
        </w:sectPr>
      </w:pPr>
    </w:p>
    <w:p>
      <w:pPr>
        <w:pStyle w:val="BodyText"/>
        <w:spacing w:before="4"/>
        <w:rPr>
          <w:sz w:val="17"/>
        </w:rPr>
      </w:pPr>
    </w:p>
    <w:p>
      <w:pPr>
        <w:spacing w:after="0"/>
        <w:rPr>
          <w:sz w:val="17"/>
        </w:rPr>
        <w:sectPr>
          <w:footerReference w:type="default" r:id="rId56"/>
          <w:pgSz w:w="12240" w:h="15840"/>
          <w:pgMar w:footer="0" w:header="0" w:top="1500" w:bottom="280" w:left="1120" w:right="0"/>
        </w:sectPr>
      </w:pPr>
    </w:p>
    <w:p>
      <w:pPr>
        <w:pStyle w:val="BodyText"/>
        <w:spacing w:before="1"/>
        <w:rPr>
          <w:sz w:val="11"/>
        </w:rPr>
      </w:pPr>
    </w:p>
    <w:p>
      <w:pPr>
        <w:pStyle w:val="Heading2"/>
        <w:spacing w:before="87"/>
        <w:ind w:left="487" w:right="1604" w:firstLine="0"/>
        <w:jc w:val="center"/>
      </w:pPr>
      <w:bookmarkStart w:name="Appendix a" w:id="312"/>
      <w:bookmarkEnd w:id="312"/>
      <w:r>
        <w:rPr>
          <w:b w:val="0"/>
        </w:rPr>
      </w:r>
      <w:r>
        <w:rPr/>
        <w:t>APPENDIX A</w:t>
      </w:r>
    </w:p>
    <w:p>
      <w:pPr>
        <w:pStyle w:val="BodyText"/>
        <w:spacing w:before="10"/>
        <w:rPr>
          <w:b/>
          <w:sz w:val="41"/>
        </w:rPr>
      </w:pPr>
    </w:p>
    <w:p>
      <w:pPr>
        <w:pStyle w:val="Heading3"/>
        <w:tabs>
          <w:tab w:pos="1760" w:val="left" w:leader="none"/>
        </w:tabs>
        <w:ind w:left="680" w:firstLine="0"/>
      </w:pPr>
      <w:bookmarkStart w:name="A.1 example DATA COLLECTION FOR RISK TOO" w:id="313"/>
      <w:bookmarkEnd w:id="313"/>
      <w:r>
        <w:rPr>
          <w:b w:val="0"/>
        </w:rPr>
      </w:r>
      <w:r>
        <w:rPr/>
        <w:t>A.1</w:t>
        <w:tab/>
        <w:t>EXAMPLE DATA COLLECTION FOR RISK</w:t>
      </w:r>
      <w:r>
        <w:rPr>
          <w:spacing w:val="-5"/>
        </w:rPr>
        <w:t> </w:t>
      </w:r>
      <w:r>
        <w:rPr/>
        <w:t>TOOL</w:t>
      </w:r>
    </w:p>
    <w:p>
      <w:pPr>
        <w:spacing w:before="240"/>
        <w:ind w:left="1040" w:right="0" w:firstLine="0"/>
        <w:jc w:val="left"/>
        <w:rPr>
          <w:b/>
          <w:sz w:val="28"/>
        </w:rPr>
      </w:pPr>
      <w:bookmarkStart w:name="A.1.1 Segment Example" w:id="314"/>
      <w:bookmarkEnd w:id="314"/>
      <w:r>
        <w:rPr/>
      </w:r>
      <w:r>
        <w:rPr>
          <w:b/>
          <w:sz w:val="28"/>
        </w:rPr>
        <w:t>A.1.1 Segment Example</w:t>
      </w:r>
    </w:p>
    <w:p>
      <w:pPr>
        <w:pStyle w:val="BodyText"/>
        <w:spacing w:before="236"/>
        <w:ind w:left="320" w:right="1582"/>
      </w:pPr>
      <w:r>
        <w:rPr/>
        <w:t>Before calculating the risk scores for the spreadsheet tool, the first thing is to collect the data needed. These data are collected from google map, ODOT transgis website, google earth and EPA smart location database. Oatfield Rd form Roethe Rd to Jennings Ave, a segment sample application in the report, is used as an example in this appendix. Table A.1 lists all the variables that can be obtained from Google map images</w:t>
      </w:r>
    </w:p>
    <w:p>
      <w:pPr>
        <w:pStyle w:val="BodyText"/>
        <w:spacing w:before="1"/>
        <w:rPr>
          <w:sz w:val="21"/>
        </w:rPr>
      </w:pPr>
    </w:p>
    <w:p>
      <w:pPr>
        <w:spacing w:before="0"/>
        <w:ind w:left="320" w:right="0" w:firstLine="0"/>
        <w:jc w:val="left"/>
        <w:rPr>
          <w:b/>
          <w:sz w:val="20"/>
        </w:rPr>
      </w:pPr>
      <w:r>
        <w:rPr>
          <w:b/>
          <w:sz w:val="20"/>
        </w:rPr>
        <w:t>Table A.1: Risk Score Variables of Oatfield Rd from Roethe Rd to Jennings Ave</w:t>
      </w:r>
    </w:p>
    <w:tbl>
      <w:tblPr>
        <w:tblW w:w="0" w:type="auto"/>
        <w:jc w:val="left"/>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6"/>
        <w:gridCol w:w="3117"/>
      </w:tblGrid>
      <w:tr>
        <w:trPr>
          <w:trHeight w:val="275" w:hRule="atLeast"/>
        </w:trPr>
        <w:tc>
          <w:tcPr>
            <w:tcW w:w="3116" w:type="dxa"/>
          </w:tcPr>
          <w:p>
            <w:pPr>
              <w:pStyle w:val="TableParagraph"/>
              <w:spacing w:line="256" w:lineRule="exact"/>
              <w:ind w:left="100" w:right="91"/>
              <w:jc w:val="center"/>
              <w:rPr>
                <w:b/>
                <w:sz w:val="24"/>
              </w:rPr>
            </w:pPr>
            <w:r>
              <w:rPr>
                <w:b/>
                <w:sz w:val="24"/>
              </w:rPr>
              <w:t>Variable</w:t>
            </w:r>
          </w:p>
        </w:tc>
        <w:tc>
          <w:tcPr>
            <w:tcW w:w="3116" w:type="dxa"/>
          </w:tcPr>
          <w:p>
            <w:pPr>
              <w:pStyle w:val="TableParagraph"/>
              <w:spacing w:line="256" w:lineRule="exact"/>
              <w:ind w:left="102" w:right="91"/>
              <w:jc w:val="center"/>
              <w:rPr>
                <w:b/>
                <w:sz w:val="24"/>
              </w:rPr>
            </w:pPr>
            <w:r>
              <w:rPr>
                <w:b/>
                <w:sz w:val="24"/>
              </w:rPr>
              <w:t>Used for</w:t>
            </w:r>
          </w:p>
        </w:tc>
        <w:tc>
          <w:tcPr>
            <w:tcW w:w="3117" w:type="dxa"/>
          </w:tcPr>
          <w:p>
            <w:pPr>
              <w:pStyle w:val="TableParagraph"/>
              <w:spacing w:line="256" w:lineRule="exact"/>
              <w:ind w:left="1079" w:right="1068"/>
              <w:jc w:val="center"/>
              <w:rPr>
                <w:b/>
                <w:sz w:val="24"/>
              </w:rPr>
            </w:pPr>
            <w:r>
              <w:rPr>
                <w:b/>
                <w:sz w:val="24"/>
              </w:rPr>
              <w:t>Value</w:t>
            </w:r>
          </w:p>
        </w:tc>
      </w:tr>
      <w:tr>
        <w:trPr>
          <w:trHeight w:val="275" w:hRule="atLeast"/>
        </w:trPr>
        <w:tc>
          <w:tcPr>
            <w:tcW w:w="3116" w:type="dxa"/>
          </w:tcPr>
          <w:p>
            <w:pPr>
              <w:pStyle w:val="TableParagraph"/>
              <w:spacing w:line="256" w:lineRule="exact"/>
              <w:ind w:left="102" w:right="91"/>
              <w:jc w:val="center"/>
              <w:rPr>
                <w:sz w:val="24"/>
              </w:rPr>
            </w:pPr>
            <w:r>
              <w:rPr>
                <w:sz w:val="24"/>
              </w:rPr>
              <w:t>Presence of On-street Parking</w:t>
            </w:r>
          </w:p>
        </w:tc>
        <w:tc>
          <w:tcPr>
            <w:tcW w:w="3116" w:type="dxa"/>
          </w:tcPr>
          <w:p>
            <w:pPr>
              <w:pStyle w:val="TableParagraph"/>
              <w:spacing w:line="256" w:lineRule="exact"/>
              <w:ind w:left="102" w:right="91"/>
              <w:jc w:val="center"/>
              <w:rPr>
                <w:sz w:val="24"/>
              </w:rPr>
            </w:pPr>
            <w:r>
              <w:rPr>
                <w:sz w:val="24"/>
              </w:rPr>
              <w:t>Pedestrian Risk Score</w:t>
            </w:r>
          </w:p>
        </w:tc>
        <w:tc>
          <w:tcPr>
            <w:tcW w:w="3117" w:type="dxa"/>
          </w:tcPr>
          <w:p>
            <w:pPr>
              <w:pStyle w:val="TableParagraph"/>
              <w:spacing w:line="256" w:lineRule="exact"/>
              <w:ind w:left="1079" w:right="1068"/>
              <w:jc w:val="center"/>
              <w:rPr>
                <w:sz w:val="24"/>
              </w:rPr>
            </w:pPr>
            <w:r>
              <w:rPr>
                <w:sz w:val="24"/>
              </w:rPr>
              <w:t>No</w:t>
            </w:r>
          </w:p>
        </w:tc>
      </w:tr>
      <w:tr>
        <w:trPr>
          <w:trHeight w:val="276" w:hRule="atLeast"/>
        </w:trPr>
        <w:tc>
          <w:tcPr>
            <w:tcW w:w="3116" w:type="dxa"/>
          </w:tcPr>
          <w:p>
            <w:pPr>
              <w:pStyle w:val="TableParagraph"/>
              <w:spacing w:line="257" w:lineRule="exact"/>
              <w:ind w:left="100" w:right="91"/>
              <w:jc w:val="center"/>
              <w:rPr>
                <w:sz w:val="24"/>
              </w:rPr>
            </w:pPr>
            <w:r>
              <w:rPr>
                <w:sz w:val="24"/>
              </w:rPr>
              <w:t>Traffic Direction</w:t>
            </w:r>
          </w:p>
        </w:tc>
        <w:tc>
          <w:tcPr>
            <w:tcW w:w="3116" w:type="dxa"/>
          </w:tcPr>
          <w:p>
            <w:pPr>
              <w:pStyle w:val="TableParagraph"/>
              <w:spacing w:line="257" w:lineRule="exact"/>
              <w:ind w:left="102" w:right="91"/>
              <w:jc w:val="center"/>
              <w:rPr>
                <w:sz w:val="24"/>
              </w:rPr>
            </w:pPr>
            <w:r>
              <w:rPr>
                <w:sz w:val="24"/>
              </w:rPr>
              <w:t>Pedestrian Risk Score</w:t>
            </w:r>
          </w:p>
        </w:tc>
        <w:tc>
          <w:tcPr>
            <w:tcW w:w="3117" w:type="dxa"/>
          </w:tcPr>
          <w:p>
            <w:pPr>
              <w:pStyle w:val="TableParagraph"/>
              <w:spacing w:line="257" w:lineRule="exact"/>
              <w:ind w:left="1079" w:right="1068"/>
              <w:jc w:val="center"/>
              <w:rPr>
                <w:sz w:val="24"/>
              </w:rPr>
            </w:pPr>
            <w:r>
              <w:rPr>
                <w:sz w:val="24"/>
              </w:rPr>
              <w:t>Two-way</w:t>
            </w:r>
          </w:p>
        </w:tc>
      </w:tr>
      <w:tr>
        <w:trPr>
          <w:trHeight w:val="275" w:hRule="atLeast"/>
        </w:trPr>
        <w:tc>
          <w:tcPr>
            <w:tcW w:w="3116" w:type="dxa"/>
          </w:tcPr>
          <w:p>
            <w:pPr>
              <w:pStyle w:val="TableParagraph"/>
              <w:spacing w:line="256" w:lineRule="exact"/>
              <w:ind w:left="99" w:right="91"/>
              <w:jc w:val="center"/>
              <w:rPr>
                <w:sz w:val="24"/>
              </w:rPr>
            </w:pPr>
            <w:r>
              <w:rPr>
                <w:sz w:val="24"/>
              </w:rPr>
              <w:t>Post Speed Limit (MPH)</w:t>
            </w:r>
          </w:p>
        </w:tc>
        <w:tc>
          <w:tcPr>
            <w:tcW w:w="3116" w:type="dxa"/>
          </w:tcPr>
          <w:p>
            <w:pPr>
              <w:pStyle w:val="TableParagraph"/>
              <w:spacing w:line="256" w:lineRule="exact"/>
              <w:ind w:left="102" w:right="91"/>
              <w:jc w:val="center"/>
              <w:rPr>
                <w:sz w:val="24"/>
              </w:rPr>
            </w:pPr>
            <w:r>
              <w:rPr>
                <w:sz w:val="24"/>
              </w:rPr>
              <w:t>Pedestrian Risk Score</w:t>
            </w:r>
          </w:p>
        </w:tc>
        <w:tc>
          <w:tcPr>
            <w:tcW w:w="3117" w:type="dxa"/>
          </w:tcPr>
          <w:p>
            <w:pPr>
              <w:pStyle w:val="TableParagraph"/>
              <w:spacing w:line="256" w:lineRule="exact"/>
              <w:ind w:left="1079" w:right="1068"/>
              <w:jc w:val="center"/>
              <w:rPr>
                <w:sz w:val="24"/>
              </w:rPr>
            </w:pPr>
            <w:r>
              <w:rPr>
                <w:sz w:val="24"/>
              </w:rPr>
              <w:t>35</w:t>
            </w:r>
          </w:p>
        </w:tc>
      </w:tr>
      <w:tr>
        <w:trPr>
          <w:trHeight w:val="275" w:hRule="atLeast"/>
        </w:trPr>
        <w:tc>
          <w:tcPr>
            <w:tcW w:w="3116" w:type="dxa"/>
          </w:tcPr>
          <w:p>
            <w:pPr>
              <w:pStyle w:val="TableParagraph"/>
              <w:spacing w:line="256" w:lineRule="exact"/>
              <w:ind w:left="99" w:right="91"/>
              <w:jc w:val="center"/>
              <w:rPr>
                <w:sz w:val="24"/>
              </w:rPr>
            </w:pPr>
            <w:r>
              <w:rPr>
                <w:sz w:val="24"/>
              </w:rPr>
              <w:t>Presence of TWLTL Lane</w:t>
            </w:r>
          </w:p>
        </w:tc>
        <w:tc>
          <w:tcPr>
            <w:tcW w:w="3116" w:type="dxa"/>
          </w:tcPr>
          <w:p>
            <w:pPr>
              <w:pStyle w:val="TableParagraph"/>
              <w:spacing w:line="256" w:lineRule="exact"/>
              <w:ind w:left="102" w:right="91"/>
              <w:jc w:val="center"/>
              <w:rPr>
                <w:sz w:val="24"/>
              </w:rPr>
            </w:pPr>
            <w:r>
              <w:rPr>
                <w:sz w:val="24"/>
              </w:rPr>
              <w:t>Pedestrian Risk Score</w:t>
            </w:r>
          </w:p>
        </w:tc>
        <w:tc>
          <w:tcPr>
            <w:tcW w:w="3117" w:type="dxa"/>
          </w:tcPr>
          <w:p>
            <w:pPr>
              <w:pStyle w:val="TableParagraph"/>
              <w:spacing w:line="256" w:lineRule="exact"/>
              <w:ind w:left="1079" w:right="1068"/>
              <w:jc w:val="center"/>
              <w:rPr>
                <w:sz w:val="24"/>
              </w:rPr>
            </w:pPr>
            <w:r>
              <w:rPr>
                <w:sz w:val="24"/>
              </w:rPr>
              <w:t>No</w:t>
            </w:r>
          </w:p>
        </w:tc>
      </w:tr>
      <w:tr>
        <w:trPr>
          <w:trHeight w:val="276" w:hRule="atLeast"/>
        </w:trPr>
        <w:tc>
          <w:tcPr>
            <w:tcW w:w="3116" w:type="dxa"/>
          </w:tcPr>
          <w:p>
            <w:pPr>
              <w:pStyle w:val="TableParagraph"/>
              <w:spacing w:line="257" w:lineRule="exact"/>
              <w:ind w:left="100" w:right="91"/>
              <w:jc w:val="center"/>
              <w:rPr>
                <w:sz w:val="24"/>
              </w:rPr>
            </w:pPr>
            <w:r>
              <w:rPr>
                <w:sz w:val="24"/>
              </w:rPr>
              <w:t>Total Traffic Lane</w:t>
            </w:r>
          </w:p>
        </w:tc>
        <w:tc>
          <w:tcPr>
            <w:tcW w:w="3116" w:type="dxa"/>
          </w:tcPr>
          <w:p>
            <w:pPr>
              <w:pStyle w:val="TableParagraph"/>
              <w:spacing w:line="257" w:lineRule="exact"/>
              <w:ind w:left="102" w:right="91"/>
              <w:jc w:val="center"/>
              <w:rPr>
                <w:sz w:val="24"/>
              </w:rPr>
            </w:pPr>
            <w:r>
              <w:rPr>
                <w:sz w:val="24"/>
              </w:rPr>
              <w:t>Pedestrian Risk Score</w:t>
            </w:r>
          </w:p>
        </w:tc>
        <w:tc>
          <w:tcPr>
            <w:tcW w:w="3117" w:type="dxa"/>
          </w:tcPr>
          <w:p>
            <w:pPr>
              <w:pStyle w:val="TableParagraph"/>
              <w:spacing w:line="257" w:lineRule="exact"/>
              <w:ind w:left="11"/>
              <w:jc w:val="center"/>
              <w:rPr>
                <w:sz w:val="24"/>
              </w:rPr>
            </w:pPr>
            <w:r>
              <w:rPr>
                <w:sz w:val="24"/>
              </w:rPr>
              <w:t>2</w:t>
            </w:r>
          </w:p>
        </w:tc>
      </w:tr>
      <w:tr>
        <w:trPr>
          <w:trHeight w:val="275" w:hRule="atLeast"/>
        </w:trPr>
        <w:tc>
          <w:tcPr>
            <w:tcW w:w="3116" w:type="dxa"/>
          </w:tcPr>
          <w:p>
            <w:pPr>
              <w:pStyle w:val="TableParagraph"/>
              <w:spacing w:line="256" w:lineRule="exact"/>
              <w:ind w:left="102" w:right="91"/>
              <w:jc w:val="center"/>
              <w:rPr>
                <w:sz w:val="24"/>
              </w:rPr>
            </w:pPr>
            <w:r>
              <w:rPr>
                <w:sz w:val="24"/>
              </w:rPr>
              <w:t>Presence of Crosswalk</w:t>
            </w:r>
          </w:p>
        </w:tc>
        <w:tc>
          <w:tcPr>
            <w:tcW w:w="3116" w:type="dxa"/>
          </w:tcPr>
          <w:p>
            <w:pPr>
              <w:pStyle w:val="TableParagraph"/>
              <w:spacing w:line="256" w:lineRule="exact"/>
              <w:ind w:left="102" w:right="91"/>
              <w:jc w:val="center"/>
              <w:rPr>
                <w:sz w:val="24"/>
              </w:rPr>
            </w:pPr>
            <w:r>
              <w:rPr>
                <w:sz w:val="24"/>
              </w:rPr>
              <w:t>Bicycle Risk Score</w:t>
            </w:r>
          </w:p>
        </w:tc>
        <w:tc>
          <w:tcPr>
            <w:tcW w:w="3117" w:type="dxa"/>
          </w:tcPr>
          <w:p>
            <w:pPr>
              <w:pStyle w:val="TableParagraph"/>
              <w:spacing w:line="256" w:lineRule="exact"/>
              <w:ind w:left="1079" w:right="1068"/>
              <w:jc w:val="center"/>
              <w:rPr>
                <w:sz w:val="24"/>
              </w:rPr>
            </w:pPr>
            <w:r>
              <w:rPr>
                <w:sz w:val="24"/>
              </w:rPr>
              <w:t>No</w:t>
            </w:r>
          </w:p>
        </w:tc>
      </w:tr>
    </w:tbl>
    <w:p>
      <w:pPr>
        <w:pStyle w:val="BodyText"/>
        <w:rPr>
          <w:b/>
          <w:sz w:val="20"/>
        </w:rPr>
      </w:pPr>
    </w:p>
    <w:p>
      <w:pPr>
        <w:pStyle w:val="BodyText"/>
        <w:rPr>
          <w:b/>
          <w:sz w:val="20"/>
        </w:rPr>
      </w:pPr>
    </w:p>
    <w:p>
      <w:pPr>
        <w:pStyle w:val="BodyText"/>
        <w:rPr>
          <w:b/>
          <w:sz w:val="20"/>
        </w:rPr>
      </w:pPr>
    </w:p>
    <w:p>
      <w:pPr>
        <w:pStyle w:val="BodyText"/>
        <w:spacing w:before="10"/>
        <w:rPr>
          <w:b/>
          <w:sz w:val="15"/>
        </w:rPr>
      </w:pPr>
      <w:r>
        <w:rPr/>
        <w:drawing>
          <wp:anchor distT="0" distB="0" distL="0" distR="0" allowOverlap="1" layoutInCell="1" locked="0" behindDoc="0" simplePos="0" relativeHeight="165">
            <wp:simplePos x="0" y="0"/>
            <wp:positionH relativeFrom="page">
              <wp:posOffset>914400</wp:posOffset>
            </wp:positionH>
            <wp:positionV relativeFrom="paragraph">
              <wp:posOffset>141224</wp:posOffset>
            </wp:positionV>
            <wp:extent cx="5897310" cy="3256121"/>
            <wp:effectExtent l="0" t="0" r="0" b="0"/>
            <wp:wrapTopAndBottom/>
            <wp:docPr id="63" name="image43.jpeg" descr=""/>
            <wp:cNvGraphicFramePr>
              <a:graphicFrameLocks noChangeAspect="1"/>
            </wp:cNvGraphicFramePr>
            <a:graphic>
              <a:graphicData uri="http://schemas.openxmlformats.org/drawingml/2006/picture">
                <pic:pic>
                  <pic:nvPicPr>
                    <pic:cNvPr id="64" name="image43.jpeg"/>
                    <pic:cNvPicPr/>
                  </pic:nvPicPr>
                  <pic:blipFill>
                    <a:blip r:embed="rId58" cstate="print"/>
                    <a:stretch>
                      <a:fillRect/>
                    </a:stretch>
                  </pic:blipFill>
                  <pic:spPr>
                    <a:xfrm>
                      <a:off x="0" y="0"/>
                      <a:ext cx="5897310" cy="3256121"/>
                    </a:xfrm>
                    <a:prstGeom prst="rect">
                      <a:avLst/>
                    </a:prstGeom>
                  </pic:spPr>
                </pic:pic>
              </a:graphicData>
            </a:graphic>
          </wp:anchor>
        </w:drawing>
      </w:r>
    </w:p>
    <w:p>
      <w:pPr>
        <w:pStyle w:val="BodyText"/>
        <w:rPr>
          <w:b/>
          <w:sz w:val="22"/>
        </w:rPr>
      </w:pPr>
    </w:p>
    <w:p>
      <w:pPr>
        <w:spacing w:before="151"/>
        <w:ind w:left="487" w:right="1604" w:firstLine="0"/>
        <w:jc w:val="center"/>
        <w:rPr>
          <w:sz w:val="20"/>
        </w:rPr>
      </w:pPr>
      <w:r>
        <w:rPr>
          <w:sz w:val="20"/>
        </w:rPr>
        <w:t>Figure A.1: Google map image of Oatfield Rd</w:t>
      </w:r>
    </w:p>
    <w:p>
      <w:pPr>
        <w:spacing w:after="0"/>
        <w:jc w:val="center"/>
        <w:rPr>
          <w:sz w:val="20"/>
        </w:rPr>
        <w:sectPr>
          <w:footerReference w:type="default" r:id="rId57"/>
          <w:pgSz w:w="12240" w:h="15840"/>
          <w:pgMar w:footer="789" w:header="0" w:top="1500" w:bottom="980" w:left="1120" w:right="0"/>
          <w:pgNumType w:start="1"/>
        </w:sectPr>
      </w:pPr>
    </w:p>
    <w:p>
      <w:pPr>
        <w:pStyle w:val="BodyText"/>
        <w:spacing w:before="72"/>
        <w:ind w:left="319" w:right="1457"/>
      </w:pPr>
      <w:bookmarkStart w:name="_bookmark68" w:id="315"/>
      <w:bookmarkEnd w:id="315"/>
      <w:r>
        <w:rPr/>
      </w:r>
      <w:r>
        <w:rPr/>
        <w:t>Social demographic variables could be extracted from Smart location database. The database is geocoded at block-size. </w:t>
      </w:r>
      <w:hyperlink w:history="true" w:anchor="_bookmark68">
        <w:r>
          <w:rPr/>
          <w:t>Figure A.1</w:t>
        </w:r>
      </w:hyperlink>
      <w:r>
        <w:rPr/>
        <w:t> is the screen shot of the smart location database shapefile and the identity box of the corresponding area. The red line is the road segment used as a sample in this example. </w:t>
      </w:r>
      <w:hyperlink w:history="true" w:anchor="_bookmark69">
        <w:r>
          <w:rPr/>
          <w:t>Table A.1</w:t>
        </w:r>
      </w:hyperlink>
      <w:r>
        <w:rPr/>
        <w:t> shows the value of these parameters obtained from Smart location database.</w:t>
      </w:r>
    </w:p>
    <w:p>
      <w:pPr>
        <w:pStyle w:val="BodyText"/>
        <w:rPr>
          <w:sz w:val="20"/>
        </w:rPr>
      </w:pPr>
    </w:p>
    <w:p>
      <w:pPr>
        <w:pStyle w:val="BodyText"/>
        <w:spacing w:before="11"/>
        <w:rPr>
          <w:sz w:val="20"/>
        </w:rPr>
      </w:pPr>
      <w:r>
        <w:rPr/>
        <w:pict>
          <v:group style="position:absolute;margin-left:78pt;margin-top:14.506836pt;width:458.3pt;height:221pt;mso-position-horizontal-relative:page;mso-position-vertical-relative:paragraph;z-index:2960;mso-wrap-distance-left:0;mso-wrap-distance-right:0" coordorigin="1560,290" coordsize="9166,4420">
            <v:shape style="position:absolute;left:1560;top:290;width:6061;height:4420" type="#_x0000_t75" stroked="false">
              <v:imagedata r:id="rId59" o:title=""/>
            </v:shape>
            <v:shape style="position:absolute;left:7620;top:329;width:3106;height:4379" type="#_x0000_t75" stroked="false">
              <v:imagedata r:id="rId60" o:title=""/>
            </v:shape>
            <v:line style="position:absolute" from="5475,4010" to="5100,3755" stroked="true" strokeweight="3pt" strokecolor="#ff0000">
              <v:stroke dashstyle="solid"/>
            </v:line>
            <w10:wrap type="topAndBottom"/>
          </v:group>
        </w:pict>
      </w:r>
    </w:p>
    <w:p>
      <w:pPr>
        <w:spacing w:before="78"/>
        <w:ind w:left="3070" w:right="0" w:firstLine="0"/>
        <w:jc w:val="left"/>
        <w:rPr>
          <w:sz w:val="20"/>
        </w:rPr>
      </w:pPr>
      <w:r>
        <w:rPr>
          <w:sz w:val="20"/>
        </w:rPr>
        <w:t>Figure A.2: Data from Smart Location Database</w:t>
      </w:r>
    </w:p>
    <w:p>
      <w:pPr>
        <w:pStyle w:val="BodyText"/>
        <w:rPr>
          <w:sz w:val="22"/>
        </w:rPr>
      </w:pPr>
    </w:p>
    <w:p>
      <w:pPr>
        <w:pStyle w:val="BodyText"/>
        <w:rPr>
          <w:sz w:val="22"/>
        </w:rPr>
      </w:pPr>
    </w:p>
    <w:p>
      <w:pPr>
        <w:pStyle w:val="BodyText"/>
        <w:spacing w:before="4"/>
        <w:rPr>
          <w:sz w:val="32"/>
        </w:rPr>
      </w:pPr>
    </w:p>
    <w:p>
      <w:pPr>
        <w:spacing w:before="0"/>
        <w:ind w:left="320" w:right="0" w:firstLine="0"/>
        <w:jc w:val="left"/>
        <w:rPr>
          <w:b/>
          <w:sz w:val="20"/>
        </w:rPr>
      </w:pPr>
      <w:bookmarkStart w:name="_bookmark69" w:id="316"/>
      <w:bookmarkEnd w:id="316"/>
      <w:r>
        <w:rPr/>
      </w:r>
      <w:r>
        <w:rPr>
          <w:b/>
          <w:sz w:val="20"/>
        </w:rPr>
        <w:t>Table A.2: Social Demographic Variables Value</w:t>
      </w:r>
    </w:p>
    <w:tbl>
      <w:tblPr>
        <w:tblW w:w="0" w:type="auto"/>
        <w:jc w:val="left"/>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6"/>
        <w:gridCol w:w="3117"/>
      </w:tblGrid>
      <w:tr>
        <w:trPr>
          <w:trHeight w:val="276" w:hRule="atLeast"/>
        </w:trPr>
        <w:tc>
          <w:tcPr>
            <w:tcW w:w="3116" w:type="dxa"/>
          </w:tcPr>
          <w:p>
            <w:pPr>
              <w:pStyle w:val="TableParagraph"/>
              <w:spacing w:line="257" w:lineRule="exact"/>
              <w:ind w:left="100" w:right="91"/>
              <w:jc w:val="center"/>
              <w:rPr>
                <w:sz w:val="24"/>
              </w:rPr>
            </w:pPr>
            <w:r>
              <w:rPr>
                <w:sz w:val="24"/>
              </w:rPr>
              <w:t>Variable</w:t>
            </w:r>
          </w:p>
        </w:tc>
        <w:tc>
          <w:tcPr>
            <w:tcW w:w="3116" w:type="dxa"/>
          </w:tcPr>
          <w:p>
            <w:pPr>
              <w:pStyle w:val="TableParagraph"/>
              <w:spacing w:line="257" w:lineRule="exact"/>
              <w:ind w:left="102" w:right="91"/>
              <w:jc w:val="center"/>
              <w:rPr>
                <w:sz w:val="24"/>
              </w:rPr>
            </w:pPr>
            <w:r>
              <w:rPr>
                <w:sz w:val="24"/>
              </w:rPr>
              <w:t>Used for…</w:t>
            </w:r>
          </w:p>
        </w:tc>
        <w:tc>
          <w:tcPr>
            <w:tcW w:w="3117" w:type="dxa"/>
          </w:tcPr>
          <w:p>
            <w:pPr>
              <w:pStyle w:val="TableParagraph"/>
              <w:spacing w:line="257" w:lineRule="exact"/>
              <w:ind w:left="1272"/>
              <w:rPr>
                <w:sz w:val="24"/>
              </w:rPr>
            </w:pPr>
            <w:r>
              <w:rPr>
                <w:sz w:val="24"/>
              </w:rPr>
              <w:t>Value</w:t>
            </w:r>
          </w:p>
        </w:tc>
      </w:tr>
      <w:tr>
        <w:trPr>
          <w:trHeight w:val="551" w:hRule="atLeast"/>
        </w:trPr>
        <w:tc>
          <w:tcPr>
            <w:tcW w:w="3116" w:type="dxa"/>
          </w:tcPr>
          <w:p>
            <w:pPr>
              <w:pStyle w:val="TableParagraph"/>
              <w:spacing w:line="276" w:lineRule="exact"/>
              <w:ind w:left="381" w:right="352" w:firstLine="2"/>
              <w:rPr>
                <w:sz w:val="24"/>
              </w:rPr>
            </w:pPr>
            <w:r>
              <w:rPr>
                <w:sz w:val="24"/>
              </w:rPr>
              <w:t>Total population density (People per square mile)</w:t>
            </w:r>
          </w:p>
        </w:tc>
        <w:tc>
          <w:tcPr>
            <w:tcW w:w="3116" w:type="dxa"/>
          </w:tcPr>
          <w:p>
            <w:pPr>
              <w:pStyle w:val="TableParagraph"/>
              <w:spacing w:line="273" w:lineRule="exact"/>
              <w:ind w:left="102" w:right="91"/>
              <w:jc w:val="center"/>
              <w:rPr>
                <w:sz w:val="24"/>
              </w:rPr>
            </w:pPr>
            <w:r>
              <w:rPr>
                <w:sz w:val="24"/>
              </w:rPr>
              <w:t>Pedestrian Risk Score</w:t>
            </w:r>
          </w:p>
        </w:tc>
        <w:tc>
          <w:tcPr>
            <w:tcW w:w="3117" w:type="dxa"/>
          </w:tcPr>
          <w:p>
            <w:pPr>
              <w:pStyle w:val="TableParagraph"/>
              <w:spacing w:line="273" w:lineRule="exact"/>
              <w:ind w:left="1229"/>
              <w:rPr>
                <w:sz w:val="24"/>
              </w:rPr>
            </w:pPr>
            <w:r>
              <w:rPr>
                <w:sz w:val="24"/>
              </w:rPr>
              <w:t>3873.6</w:t>
            </w:r>
          </w:p>
        </w:tc>
      </w:tr>
      <w:tr>
        <w:trPr>
          <w:trHeight w:val="552" w:hRule="atLeast"/>
        </w:trPr>
        <w:tc>
          <w:tcPr>
            <w:tcW w:w="3116" w:type="dxa"/>
          </w:tcPr>
          <w:p>
            <w:pPr>
              <w:pStyle w:val="TableParagraph"/>
              <w:spacing w:line="272" w:lineRule="exact"/>
              <w:ind w:left="101" w:right="91"/>
              <w:jc w:val="center"/>
              <w:rPr>
                <w:sz w:val="24"/>
              </w:rPr>
            </w:pPr>
            <w:r>
              <w:rPr>
                <w:sz w:val="24"/>
              </w:rPr>
              <w:t>Three-leg intersection density</w:t>
            </w:r>
          </w:p>
          <w:p>
            <w:pPr>
              <w:pStyle w:val="TableParagraph"/>
              <w:spacing w:line="260" w:lineRule="exact"/>
              <w:ind w:left="99" w:right="91"/>
              <w:jc w:val="center"/>
              <w:rPr>
                <w:sz w:val="24"/>
              </w:rPr>
            </w:pPr>
            <w:r>
              <w:rPr>
                <w:sz w:val="24"/>
              </w:rPr>
              <w:t>(per square mile)</w:t>
            </w:r>
          </w:p>
        </w:tc>
        <w:tc>
          <w:tcPr>
            <w:tcW w:w="3116" w:type="dxa"/>
          </w:tcPr>
          <w:p>
            <w:pPr>
              <w:pStyle w:val="TableParagraph"/>
              <w:spacing w:line="272" w:lineRule="exact"/>
              <w:ind w:left="102" w:right="91"/>
              <w:jc w:val="center"/>
              <w:rPr>
                <w:sz w:val="24"/>
              </w:rPr>
            </w:pPr>
            <w:r>
              <w:rPr>
                <w:sz w:val="24"/>
              </w:rPr>
              <w:t>Bicycle Risk Score</w:t>
            </w:r>
          </w:p>
        </w:tc>
        <w:tc>
          <w:tcPr>
            <w:tcW w:w="3117" w:type="dxa"/>
          </w:tcPr>
          <w:p>
            <w:pPr>
              <w:pStyle w:val="TableParagraph"/>
              <w:spacing w:line="272" w:lineRule="exact"/>
              <w:ind w:left="1229"/>
              <w:rPr>
                <w:sz w:val="24"/>
              </w:rPr>
            </w:pPr>
            <w:r>
              <w:rPr>
                <w:sz w:val="24"/>
              </w:rPr>
              <w:t>254.25</w:t>
            </w:r>
          </w:p>
        </w:tc>
      </w:tr>
    </w:tbl>
    <w:p>
      <w:pPr>
        <w:pStyle w:val="BodyText"/>
        <w:spacing w:before="8"/>
        <w:rPr>
          <w:b/>
          <w:sz w:val="23"/>
        </w:rPr>
      </w:pPr>
    </w:p>
    <w:p>
      <w:pPr>
        <w:pStyle w:val="BodyText"/>
        <w:ind w:left="320" w:right="1462"/>
      </w:pPr>
      <w:r>
        <w:rPr/>
        <w:t>Strava bicycle volume database is also a shape file. </w:t>
      </w:r>
      <w:hyperlink w:history="true" w:anchor="_bookmark70">
        <w:r>
          <w:rPr/>
          <w:t>Figure A.2</w:t>
        </w:r>
      </w:hyperlink>
      <w:r>
        <w:rPr/>
        <w:t> is the screen shot of identity box of sampled road segment (red line is the segment used). The variable “BIKECNT_YR” indicated the bike volume counted by strava. The volume of Oatfield Rd from Roethe Rd to Jennings Ave is 455. According to the formula in Chapter 3.2.4, bike adt could be converted as 455/3.65=124.66.</w:t>
      </w:r>
    </w:p>
    <w:p>
      <w:pPr>
        <w:spacing w:after="0"/>
        <w:sectPr>
          <w:pgSz w:w="12240" w:h="15840"/>
          <w:pgMar w:header="0" w:footer="789" w:top="920" w:bottom="980" w:left="1120" w:right="0"/>
        </w:sectPr>
      </w:pPr>
    </w:p>
    <w:p>
      <w:pPr>
        <w:pStyle w:val="BodyText"/>
        <w:ind w:left="2047"/>
        <w:rPr>
          <w:sz w:val="20"/>
        </w:rPr>
      </w:pPr>
      <w:r>
        <w:rPr>
          <w:sz w:val="20"/>
        </w:rPr>
        <w:pict>
          <v:group style="width:294.3pt;height:279pt;mso-position-horizontal-relative:char;mso-position-vertical-relative:line" coordorigin="0,0" coordsize="5886,5580">
            <v:shape style="position:absolute;left:0;top:0;width:5886;height:5580" type="#_x0000_t75" stroked="false">
              <v:imagedata r:id="rId61" o:title=""/>
            </v:shape>
            <v:line style="position:absolute" from="753,5174" to="378,4919" stroked="true" strokeweight="3pt" strokecolor="#ff0000">
              <v:stroke dashstyle="solid"/>
            </v:line>
          </v:group>
        </w:pict>
      </w:r>
      <w:r>
        <w:rPr>
          <w:sz w:val="20"/>
        </w:rPr>
      </w:r>
    </w:p>
    <w:p>
      <w:pPr>
        <w:spacing w:before="68"/>
        <w:ind w:left="3514" w:right="0" w:firstLine="0"/>
        <w:jc w:val="left"/>
        <w:rPr>
          <w:sz w:val="20"/>
        </w:rPr>
      </w:pPr>
      <w:bookmarkStart w:name="_bookmark70" w:id="317"/>
      <w:bookmarkEnd w:id="317"/>
      <w:r>
        <w:rPr/>
      </w:r>
      <w:r>
        <w:rPr>
          <w:sz w:val="20"/>
        </w:rPr>
        <w:t>Figure A.3: Data in Strava Shapefile</w:t>
      </w:r>
    </w:p>
    <w:p>
      <w:pPr>
        <w:pStyle w:val="BodyText"/>
        <w:rPr>
          <w:sz w:val="22"/>
        </w:rPr>
      </w:pPr>
    </w:p>
    <w:p>
      <w:pPr>
        <w:pStyle w:val="BodyText"/>
        <w:spacing w:before="8"/>
        <w:rPr>
          <w:sz w:val="19"/>
        </w:rPr>
      </w:pPr>
    </w:p>
    <w:p>
      <w:pPr>
        <w:pStyle w:val="BodyText"/>
        <w:ind w:left="320" w:right="1515"/>
      </w:pPr>
      <w:r>
        <w:rPr/>
        <w:t>AADT of the road segment could be extracted from variance resources. In most cases, ODOT Transgis website could be the first try. “Traffic count” should be displayed on the map and</w:t>
      </w:r>
      <w:r>
        <w:rPr>
          <w:spacing w:val="-19"/>
        </w:rPr>
        <w:t> </w:t>
      </w:r>
      <w:r>
        <w:rPr/>
        <w:t>find the count station on or very close to the sample segment (shown as “dots” on the</w:t>
      </w:r>
      <w:r>
        <w:rPr>
          <w:spacing w:val="-15"/>
        </w:rPr>
        <w:t> </w:t>
      </w:r>
      <w:r>
        <w:rPr/>
        <w:t>map).</w:t>
      </w:r>
      <w:hyperlink w:history="true" w:anchor="_bookmark71">
        <w:r>
          <w:rPr/>
          <w:t>Figure</w:t>
        </w:r>
      </w:hyperlink>
    </w:p>
    <w:p>
      <w:pPr>
        <w:pStyle w:val="BodyText"/>
        <w:ind w:left="319" w:right="1530"/>
      </w:pPr>
      <w:hyperlink w:history="true" w:anchor="_bookmark71">
        <w:r>
          <w:rPr/>
          <w:t>A.3</w:t>
        </w:r>
      </w:hyperlink>
      <w:r>
        <w:rPr/>
        <w:t> showed the layer names needed to be displayed on the website and </w:t>
      </w:r>
      <w:hyperlink w:history="true" w:anchor="_bookmark72">
        <w:r>
          <w:rPr/>
          <w:t>Figure A.4</w:t>
        </w:r>
      </w:hyperlink>
      <w:r>
        <w:rPr/>
        <w:t> showed the counted AADT of target segment, which is 8500 counted at 2015. If there are two count stations which are both close to the segment, average AADT value is calculated as the value of the segment. AADT value should be converted to a year of 2014 by AADT growth factor spreadsheet. If no AADT data is available on ODOT Transgis website, the transportation planning report from local agencies (county, city, etc.) will be the potential AADT</w:t>
      </w:r>
      <w:r>
        <w:rPr>
          <w:spacing w:val="-20"/>
        </w:rPr>
        <w:t> </w:t>
      </w:r>
      <w:r>
        <w:rPr/>
        <w:t>resources.</w:t>
      </w:r>
    </w:p>
    <w:p>
      <w:pPr>
        <w:pStyle w:val="BodyText"/>
        <w:rPr>
          <w:sz w:val="20"/>
        </w:rPr>
      </w:pPr>
    </w:p>
    <w:p>
      <w:pPr>
        <w:pStyle w:val="BodyText"/>
        <w:spacing w:before="9"/>
        <w:rPr>
          <w:sz w:val="21"/>
        </w:rPr>
      </w:pPr>
      <w:r>
        <w:rPr/>
        <w:drawing>
          <wp:anchor distT="0" distB="0" distL="0" distR="0" allowOverlap="1" layoutInCell="1" locked="0" behindDoc="0" simplePos="0" relativeHeight="168">
            <wp:simplePos x="0" y="0"/>
            <wp:positionH relativeFrom="page">
              <wp:posOffset>1548447</wp:posOffset>
            </wp:positionH>
            <wp:positionV relativeFrom="paragraph">
              <wp:posOffset>183840</wp:posOffset>
            </wp:positionV>
            <wp:extent cx="4684769" cy="2273808"/>
            <wp:effectExtent l="0" t="0" r="0" b="0"/>
            <wp:wrapTopAndBottom/>
            <wp:docPr id="65" name="image47.jpeg" descr=""/>
            <wp:cNvGraphicFramePr>
              <a:graphicFrameLocks noChangeAspect="1"/>
            </wp:cNvGraphicFramePr>
            <a:graphic>
              <a:graphicData uri="http://schemas.openxmlformats.org/drawingml/2006/picture">
                <pic:pic>
                  <pic:nvPicPr>
                    <pic:cNvPr id="66" name="image47.jpeg"/>
                    <pic:cNvPicPr/>
                  </pic:nvPicPr>
                  <pic:blipFill>
                    <a:blip r:embed="rId62" cstate="print"/>
                    <a:stretch>
                      <a:fillRect/>
                    </a:stretch>
                  </pic:blipFill>
                  <pic:spPr>
                    <a:xfrm>
                      <a:off x="0" y="0"/>
                      <a:ext cx="4684769" cy="2273808"/>
                    </a:xfrm>
                    <a:prstGeom prst="rect">
                      <a:avLst/>
                    </a:prstGeom>
                  </pic:spPr>
                </pic:pic>
              </a:graphicData>
            </a:graphic>
          </wp:anchor>
        </w:drawing>
      </w:r>
    </w:p>
    <w:p>
      <w:pPr>
        <w:spacing w:before="81"/>
        <w:ind w:left="487" w:right="1604" w:firstLine="0"/>
        <w:jc w:val="center"/>
        <w:rPr>
          <w:sz w:val="20"/>
        </w:rPr>
      </w:pPr>
      <w:bookmarkStart w:name="_bookmark71" w:id="318"/>
      <w:bookmarkEnd w:id="318"/>
      <w:r>
        <w:rPr/>
      </w:r>
      <w:r>
        <w:rPr>
          <w:sz w:val="20"/>
        </w:rPr>
        <w:t>Figure A.4Traffic Count Layer on ODOT TransGIS Website</w:t>
      </w:r>
    </w:p>
    <w:p>
      <w:pPr>
        <w:spacing w:after="0"/>
        <w:jc w:val="center"/>
        <w:rPr>
          <w:sz w:val="20"/>
        </w:rPr>
        <w:sectPr>
          <w:pgSz w:w="12240" w:h="15840"/>
          <w:pgMar w:header="0" w:footer="789" w:top="1000" w:bottom="980" w:left="1120" w:right="0"/>
        </w:sectPr>
      </w:pPr>
    </w:p>
    <w:p>
      <w:pPr>
        <w:pStyle w:val="BodyText"/>
        <w:ind w:left="560"/>
        <w:rPr>
          <w:sz w:val="20"/>
        </w:rPr>
      </w:pPr>
      <w:r>
        <w:rPr>
          <w:sz w:val="20"/>
        </w:rPr>
        <w:drawing>
          <wp:inline distT="0" distB="0" distL="0" distR="0">
            <wp:extent cx="5647907" cy="4276344"/>
            <wp:effectExtent l="0" t="0" r="0" b="0"/>
            <wp:docPr id="67" name="image48.png" descr=""/>
            <wp:cNvGraphicFramePr>
              <a:graphicFrameLocks noChangeAspect="1"/>
            </wp:cNvGraphicFramePr>
            <a:graphic>
              <a:graphicData uri="http://schemas.openxmlformats.org/drawingml/2006/picture">
                <pic:pic>
                  <pic:nvPicPr>
                    <pic:cNvPr id="68" name="image48.png"/>
                    <pic:cNvPicPr/>
                  </pic:nvPicPr>
                  <pic:blipFill>
                    <a:blip r:embed="rId63" cstate="print"/>
                    <a:stretch>
                      <a:fillRect/>
                    </a:stretch>
                  </pic:blipFill>
                  <pic:spPr>
                    <a:xfrm>
                      <a:off x="0" y="0"/>
                      <a:ext cx="5647907" cy="4276344"/>
                    </a:xfrm>
                    <a:prstGeom prst="rect">
                      <a:avLst/>
                    </a:prstGeom>
                  </pic:spPr>
                </pic:pic>
              </a:graphicData>
            </a:graphic>
          </wp:inline>
        </w:drawing>
      </w:r>
      <w:r>
        <w:rPr>
          <w:sz w:val="20"/>
        </w:rPr>
      </w:r>
    </w:p>
    <w:p>
      <w:pPr>
        <w:spacing w:before="98"/>
        <w:ind w:left="3008" w:right="0" w:firstLine="0"/>
        <w:jc w:val="left"/>
        <w:rPr>
          <w:sz w:val="20"/>
        </w:rPr>
      </w:pPr>
      <w:bookmarkStart w:name="_bookmark72" w:id="319"/>
      <w:bookmarkEnd w:id="319"/>
      <w:r>
        <w:rPr/>
      </w:r>
      <w:r>
        <w:rPr>
          <w:sz w:val="20"/>
        </w:rPr>
        <w:t>Figure A.5: AADT Information from Count Point</w:t>
      </w:r>
    </w:p>
    <w:p>
      <w:pPr>
        <w:pStyle w:val="BodyText"/>
        <w:rPr>
          <w:sz w:val="22"/>
        </w:rPr>
      </w:pPr>
    </w:p>
    <w:p>
      <w:pPr>
        <w:pStyle w:val="BodyText"/>
        <w:rPr>
          <w:sz w:val="20"/>
        </w:rPr>
      </w:pPr>
    </w:p>
    <w:p>
      <w:pPr>
        <w:pStyle w:val="Heading3"/>
        <w:ind w:left="1040" w:firstLine="0"/>
      </w:pPr>
      <w:bookmarkStart w:name="A.1.2 Intersection Example" w:id="320"/>
      <w:bookmarkEnd w:id="320"/>
      <w:r>
        <w:rPr>
          <w:b w:val="0"/>
        </w:rPr>
      </w:r>
      <w:r>
        <w:rPr/>
        <w:t>A.1.2 Intersection Example</w:t>
      </w:r>
    </w:p>
    <w:p>
      <w:pPr>
        <w:pStyle w:val="BodyText"/>
        <w:spacing w:before="237"/>
        <w:ind w:left="320" w:right="1436"/>
      </w:pPr>
      <w:r>
        <w:rPr/>
        <w:t>Similar to segment example, one intersection in Chapter 8.1 of the report, River Rd Ne and Sam Orcutt Way Ne in City of Keizer, is used here as a demonstration of how and where to collect the data needed. First google map images are used to collect geometric-related information.</w:t>
      </w:r>
    </w:p>
    <w:p>
      <w:pPr>
        <w:pStyle w:val="BodyText"/>
        <w:spacing w:before="9"/>
        <w:rPr>
          <w:sz w:val="20"/>
        </w:rPr>
      </w:pPr>
    </w:p>
    <w:p>
      <w:pPr>
        <w:pStyle w:val="BodyText"/>
        <w:spacing w:before="1"/>
        <w:ind w:left="320" w:right="1583"/>
      </w:pPr>
      <w:hyperlink w:history="true" w:anchor="_bookmark73">
        <w:r>
          <w:rPr/>
          <w:t>Figure A.5</w:t>
        </w:r>
      </w:hyperlink>
      <w:r>
        <w:rPr/>
        <w:t> and </w:t>
      </w:r>
      <w:hyperlink w:history="true" w:anchor="_bookmark74">
        <w:r>
          <w:rPr/>
          <w:t>Figure A.6</w:t>
        </w:r>
      </w:hyperlink>
      <w:r>
        <w:rPr/>
        <w:t> show the google map image of major road and minor roads of the intersection. </w:t>
      </w:r>
      <w:hyperlink w:history="true" w:anchor="_bookmark75">
        <w:r>
          <w:rPr/>
          <w:t>Table A.2</w:t>
        </w:r>
      </w:hyperlink>
      <w:r>
        <w:rPr/>
        <w:t> is the summary of the variable values, which can be obtained from these two images.</w:t>
      </w:r>
    </w:p>
    <w:p>
      <w:pPr>
        <w:spacing w:after="0"/>
        <w:sectPr>
          <w:pgSz w:w="12240" w:h="15840"/>
          <w:pgMar w:header="0" w:footer="789" w:top="1000" w:bottom="980" w:left="1120" w:right="0"/>
        </w:sectPr>
      </w:pPr>
    </w:p>
    <w:p>
      <w:pPr>
        <w:pStyle w:val="BodyText"/>
        <w:ind w:left="320"/>
        <w:rPr>
          <w:sz w:val="20"/>
        </w:rPr>
      </w:pPr>
      <w:r>
        <w:rPr>
          <w:sz w:val="20"/>
        </w:rPr>
        <w:drawing>
          <wp:inline distT="0" distB="0" distL="0" distR="0">
            <wp:extent cx="5940901" cy="3532155"/>
            <wp:effectExtent l="0" t="0" r="0" b="0"/>
            <wp:docPr id="69" name="image49.jpeg" descr=""/>
            <wp:cNvGraphicFramePr>
              <a:graphicFrameLocks noChangeAspect="1"/>
            </wp:cNvGraphicFramePr>
            <a:graphic>
              <a:graphicData uri="http://schemas.openxmlformats.org/drawingml/2006/picture">
                <pic:pic>
                  <pic:nvPicPr>
                    <pic:cNvPr id="70" name="image49.jpeg"/>
                    <pic:cNvPicPr/>
                  </pic:nvPicPr>
                  <pic:blipFill>
                    <a:blip r:embed="rId64" cstate="print"/>
                    <a:stretch>
                      <a:fillRect/>
                    </a:stretch>
                  </pic:blipFill>
                  <pic:spPr>
                    <a:xfrm>
                      <a:off x="0" y="0"/>
                      <a:ext cx="5940901" cy="3532155"/>
                    </a:xfrm>
                    <a:prstGeom prst="rect">
                      <a:avLst/>
                    </a:prstGeom>
                  </pic:spPr>
                </pic:pic>
              </a:graphicData>
            </a:graphic>
          </wp:inline>
        </w:drawing>
      </w:r>
      <w:r>
        <w:rPr>
          <w:sz w:val="20"/>
        </w:rPr>
      </w:r>
    </w:p>
    <w:p>
      <w:pPr>
        <w:spacing w:before="10"/>
        <w:ind w:left="487" w:right="1604" w:firstLine="0"/>
        <w:jc w:val="center"/>
        <w:rPr>
          <w:sz w:val="20"/>
        </w:rPr>
      </w:pPr>
      <w:bookmarkStart w:name="_bookmark73" w:id="321"/>
      <w:bookmarkEnd w:id="321"/>
      <w:r>
        <w:rPr/>
      </w:r>
      <w:r>
        <w:rPr>
          <w:sz w:val="20"/>
        </w:rPr>
        <w:t>Figure A.5: Google Map Image of River Rd NE (Major Road)</w:t>
      </w:r>
    </w:p>
    <w:p>
      <w:pPr>
        <w:pStyle w:val="BodyText"/>
        <w:spacing w:before="10"/>
        <w:rPr>
          <w:sz w:val="20"/>
        </w:rPr>
      </w:pPr>
      <w:r>
        <w:rPr/>
        <w:drawing>
          <wp:anchor distT="0" distB="0" distL="0" distR="0" allowOverlap="1" layoutInCell="1" locked="0" behindDoc="0" simplePos="0" relativeHeight="169">
            <wp:simplePos x="0" y="0"/>
            <wp:positionH relativeFrom="page">
              <wp:posOffset>914400</wp:posOffset>
            </wp:positionH>
            <wp:positionV relativeFrom="paragraph">
              <wp:posOffset>177431</wp:posOffset>
            </wp:positionV>
            <wp:extent cx="5976665" cy="3933062"/>
            <wp:effectExtent l="0" t="0" r="0" b="0"/>
            <wp:wrapTopAndBottom/>
            <wp:docPr id="71" name="image50.jpeg" descr=""/>
            <wp:cNvGraphicFramePr>
              <a:graphicFrameLocks noChangeAspect="1"/>
            </wp:cNvGraphicFramePr>
            <a:graphic>
              <a:graphicData uri="http://schemas.openxmlformats.org/drawingml/2006/picture">
                <pic:pic>
                  <pic:nvPicPr>
                    <pic:cNvPr id="72" name="image50.jpeg"/>
                    <pic:cNvPicPr/>
                  </pic:nvPicPr>
                  <pic:blipFill>
                    <a:blip r:embed="rId65" cstate="print"/>
                    <a:stretch>
                      <a:fillRect/>
                    </a:stretch>
                  </pic:blipFill>
                  <pic:spPr>
                    <a:xfrm>
                      <a:off x="0" y="0"/>
                      <a:ext cx="5976665" cy="3933062"/>
                    </a:xfrm>
                    <a:prstGeom prst="rect">
                      <a:avLst/>
                    </a:prstGeom>
                  </pic:spPr>
                </pic:pic>
              </a:graphicData>
            </a:graphic>
          </wp:anchor>
        </w:drawing>
      </w:r>
    </w:p>
    <w:p>
      <w:pPr>
        <w:spacing w:before="53"/>
        <w:ind w:left="487" w:right="1604" w:firstLine="0"/>
        <w:jc w:val="center"/>
        <w:rPr>
          <w:sz w:val="20"/>
        </w:rPr>
      </w:pPr>
      <w:bookmarkStart w:name="_bookmark74" w:id="322"/>
      <w:bookmarkEnd w:id="322"/>
      <w:r>
        <w:rPr/>
      </w:r>
      <w:r>
        <w:rPr>
          <w:sz w:val="20"/>
        </w:rPr>
        <w:t>Figure A.6: Google Image of Sam Orcutt Way NE (Minor Road)</w:t>
      </w:r>
    </w:p>
    <w:p>
      <w:pPr>
        <w:spacing w:after="0"/>
        <w:jc w:val="center"/>
        <w:rPr>
          <w:sz w:val="20"/>
        </w:rPr>
        <w:sectPr>
          <w:pgSz w:w="12240" w:h="15840"/>
          <w:pgMar w:header="0" w:footer="789" w:top="1000" w:bottom="980" w:left="1120" w:right="0"/>
        </w:sectPr>
      </w:pPr>
    </w:p>
    <w:p>
      <w:pPr>
        <w:spacing w:before="71"/>
        <w:ind w:left="320" w:right="0" w:firstLine="0"/>
        <w:jc w:val="left"/>
        <w:rPr>
          <w:b/>
          <w:sz w:val="20"/>
        </w:rPr>
      </w:pPr>
      <w:bookmarkStart w:name="_bookmark75" w:id="323"/>
      <w:bookmarkEnd w:id="323"/>
      <w:r>
        <w:rPr/>
      </w:r>
      <w:r>
        <w:rPr>
          <w:b/>
          <w:sz w:val="20"/>
        </w:rPr>
        <w:t>Table A.3: Geometric Variables of Intersection Example</w:t>
      </w:r>
    </w:p>
    <w:tbl>
      <w:tblPr>
        <w:tblW w:w="0" w:type="auto"/>
        <w:jc w:val="left"/>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6"/>
        <w:gridCol w:w="3116"/>
        <w:gridCol w:w="3117"/>
      </w:tblGrid>
      <w:tr>
        <w:trPr>
          <w:trHeight w:val="275" w:hRule="atLeast"/>
        </w:trPr>
        <w:tc>
          <w:tcPr>
            <w:tcW w:w="3116" w:type="dxa"/>
          </w:tcPr>
          <w:p>
            <w:pPr>
              <w:pStyle w:val="TableParagraph"/>
              <w:spacing w:line="256" w:lineRule="exact"/>
              <w:ind w:left="100" w:right="91"/>
              <w:jc w:val="center"/>
              <w:rPr>
                <w:sz w:val="24"/>
              </w:rPr>
            </w:pPr>
            <w:r>
              <w:rPr>
                <w:sz w:val="24"/>
              </w:rPr>
              <w:t>Variable</w:t>
            </w:r>
          </w:p>
        </w:tc>
        <w:tc>
          <w:tcPr>
            <w:tcW w:w="3116" w:type="dxa"/>
          </w:tcPr>
          <w:p>
            <w:pPr>
              <w:pStyle w:val="TableParagraph"/>
              <w:spacing w:line="256" w:lineRule="exact"/>
              <w:ind w:left="102" w:right="91"/>
              <w:jc w:val="center"/>
              <w:rPr>
                <w:sz w:val="24"/>
              </w:rPr>
            </w:pPr>
            <w:r>
              <w:rPr>
                <w:sz w:val="24"/>
              </w:rPr>
              <w:t>Used for…</w:t>
            </w:r>
          </w:p>
        </w:tc>
        <w:tc>
          <w:tcPr>
            <w:tcW w:w="3117" w:type="dxa"/>
          </w:tcPr>
          <w:p>
            <w:pPr>
              <w:pStyle w:val="TableParagraph"/>
              <w:spacing w:line="256" w:lineRule="exact"/>
              <w:ind w:left="1079" w:right="1068"/>
              <w:jc w:val="center"/>
              <w:rPr>
                <w:sz w:val="24"/>
              </w:rPr>
            </w:pPr>
            <w:r>
              <w:rPr>
                <w:sz w:val="24"/>
              </w:rPr>
              <w:t>Value</w:t>
            </w:r>
          </w:p>
        </w:tc>
      </w:tr>
      <w:tr>
        <w:trPr>
          <w:trHeight w:val="551" w:hRule="atLeast"/>
        </w:trPr>
        <w:tc>
          <w:tcPr>
            <w:tcW w:w="3116" w:type="dxa"/>
          </w:tcPr>
          <w:p>
            <w:pPr>
              <w:pStyle w:val="TableParagraph"/>
              <w:spacing w:line="273" w:lineRule="exact"/>
              <w:ind w:left="99" w:right="91"/>
              <w:jc w:val="center"/>
              <w:rPr>
                <w:sz w:val="24"/>
              </w:rPr>
            </w:pPr>
            <w:r>
              <w:rPr>
                <w:sz w:val="24"/>
              </w:rPr>
              <w:t>Presence of Median on Major</w:t>
            </w:r>
          </w:p>
          <w:p>
            <w:pPr>
              <w:pStyle w:val="TableParagraph"/>
              <w:spacing w:line="259" w:lineRule="exact"/>
              <w:ind w:left="99" w:right="91"/>
              <w:jc w:val="center"/>
              <w:rPr>
                <w:sz w:val="24"/>
              </w:rPr>
            </w:pPr>
            <w:r>
              <w:rPr>
                <w:sz w:val="24"/>
              </w:rPr>
              <w:t>Road</w:t>
            </w:r>
          </w:p>
        </w:tc>
        <w:tc>
          <w:tcPr>
            <w:tcW w:w="3116" w:type="dxa"/>
          </w:tcPr>
          <w:p>
            <w:pPr>
              <w:pStyle w:val="TableParagraph"/>
              <w:spacing w:line="273" w:lineRule="exact"/>
              <w:ind w:left="102" w:right="91"/>
              <w:jc w:val="center"/>
              <w:rPr>
                <w:sz w:val="24"/>
              </w:rPr>
            </w:pPr>
            <w:r>
              <w:rPr>
                <w:sz w:val="24"/>
              </w:rPr>
              <w:t>Pedestrian Risk Score</w:t>
            </w:r>
          </w:p>
        </w:tc>
        <w:tc>
          <w:tcPr>
            <w:tcW w:w="3117" w:type="dxa"/>
          </w:tcPr>
          <w:p>
            <w:pPr>
              <w:pStyle w:val="TableParagraph"/>
              <w:spacing w:line="273" w:lineRule="exact"/>
              <w:ind w:left="1079" w:right="1068"/>
              <w:jc w:val="center"/>
              <w:rPr>
                <w:sz w:val="24"/>
              </w:rPr>
            </w:pPr>
            <w:r>
              <w:rPr>
                <w:sz w:val="24"/>
              </w:rPr>
              <w:t>No</w:t>
            </w:r>
          </w:p>
        </w:tc>
      </w:tr>
      <w:tr>
        <w:trPr>
          <w:trHeight w:val="552" w:hRule="atLeast"/>
        </w:trPr>
        <w:tc>
          <w:tcPr>
            <w:tcW w:w="3116" w:type="dxa"/>
          </w:tcPr>
          <w:p>
            <w:pPr>
              <w:pStyle w:val="TableParagraph"/>
              <w:spacing w:line="276" w:lineRule="exact" w:before="1"/>
              <w:ind w:left="711" w:right="303" w:hanging="381"/>
              <w:rPr>
                <w:sz w:val="24"/>
              </w:rPr>
            </w:pPr>
            <w:r>
              <w:rPr>
                <w:sz w:val="24"/>
              </w:rPr>
              <w:t>Minor Road, Presence Of Right Turn Lanes</w:t>
            </w:r>
          </w:p>
        </w:tc>
        <w:tc>
          <w:tcPr>
            <w:tcW w:w="3116" w:type="dxa"/>
          </w:tcPr>
          <w:p>
            <w:pPr>
              <w:pStyle w:val="TableParagraph"/>
              <w:spacing w:line="276" w:lineRule="exact" w:before="1"/>
              <w:ind w:left="638" w:right="475" w:hanging="134"/>
              <w:rPr>
                <w:sz w:val="24"/>
              </w:rPr>
            </w:pPr>
            <w:r>
              <w:rPr>
                <w:sz w:val="24"/>
              </w:rPr>
              <w:t>Pedestrian Risk Score Bicycle Risk Score</w:t>
            </w:r>
          </w:p>
        </w:tc>
        <w:tc>
          <w:tcPr>
            <w:tcW w:w="3117" w:type="dxa"/>
          </w:tcPr>
          <w:p>
            <w:pPr>
              <w:pStyle w:val="TableParagraph"/>
              <w:spacing w:line="274" w:lineRule="exact"/>
              <w:ind w:left="1079" w:right="1068"/>
              <w:jc w:val="center"/>
              <w:rPr>
                <w:sz w:val="24"/>
              </w:rPr>
            </w:pPr>
            <w:r>
              <w:rPr>
                <w:sz w:val="24"/>
              </w:rPr>
              <w:t>No</w:t>
            </w:r>
          </w:p>
        </w:tc>
      </w:tr>
      <w:tr>
        <w:trPr>
          <w:trHeight w:val="551" w:hRule="atLeast"/>
        </w:trPr>
        <w:tc>
          <w:tcPr>
            <w:tcW w:w="3116" w:type="dxa"/>
          </w:tcPr>
          <w:p>
            <w:pPr>
              <w:pStyle w:val="TableParagraph"/>
              <w:spacing w:line="272" w:lineRule="exact"/>
              <w:ind w:left="101" w:right="91"/>
              <w:jc w:val="center"/>
              <w:rPr>
                <w:sz w:val="24"/>
              </w:rPr>
            </w:pPr>
            <w:r>
              <w:rPr>
                <w:sz w:val="24"/>
              </w:rPr>
              <w:t>Major Road, Presence Of</w:t>
            </w:r>
          </w:p>
          <w:p>
            <w:pPr>
              <w:pStyle w:val="TableParagraph"/>
              <w:spacing w:line="259" w:lineRule="exact"/>
              <w:ind w:left="100" w:right="91"/>
              <w:jc w:val="center"/>
              <w:rPr>
                <w:sz w:val="24"/>
              </w:rPr>
            </w:pPr>
            <w:r>
              <w:rPr>
                <w:sz w:val="24"/>
              </w:rPr>
              <w:t>Right Turn Lanes</w:t>
            </w:r>
          </w:p>
        </w:tc>
        <w:tc>
          <w:tcPr>
            <w:tcW w:w="3116" w:type="dxa"/>
          </w:tcPr>
          <w:p>
            <w:pPr>
              <w:pStyle w:val="TableParagraph"/>
              <w:spacing w:line="272" w:lineRule="exact"/>
              <w:ind w:left="102" w:right="91"/>
              <w:jc w:val="center"/>
              <w:rPr>
                <w:sz w:val="24"/>
              </w:rPr>
            </w:pPr>
            <w:r>
              <w:rPr>
                <w:sz w:val="24"/>
              </w:rPr>
              <w:t>Pedestrian Risk Score</w:t>
            </w:r>
          </w:p>
        </w:tc>
        <w:tc>
          <w:tcPr>
            <w:tcW w:w="3117" w:type="dxa"/>
          </w:tcPr>
          <w:p>
            <w:pPr>
              <w:pStyle w:val="TableParagraph"/>
              <w:spacing w:line="272" w:lineRule="exact"/>
              <w:ind w:left="1079" w:right="1068"/>
              <w:jc w:val="center"/>
              <w:rPr>
                <w:sz w:val="24"/>
              </w:rPr>
            </w:pPr>
            <w:r>
              <w:rPr>
                <w:sz w:val="24"/>
              </w:rPr>
              <w:t>No</w:t>
            </w:r>
          </w:p>
        </w:tc>
      </w:tr>
      <w:tr>
        <w:trPr>
          <w:trHeight w:val="551" w:hRule="atLeast"/>
        </w:trPr>
        <w:tc>
          <w:tcPr>
            <w:tcW w:w="3116" w:type="dxa"/>
          </w:tcPr>
          <w:p>
            <w:pPr>
              <w:pStyle w:val="TableParagraph"/>
              <w:spacing w:line="276" w:lineRule="exact"/>
              <w:ind w:left="908" w:right="109" w:hanging="771"/>
              <w:rPr>
                <w:sz w:val="24"/>
              </w:rPr>
            </w:pPr>
            <w:r>
              <w:rPr>
                <w:sz w:val="24"/>
              </w:rPr>
              <w:t>Minor Road Total Number of Traffic Lanes</w:t>
            </w:r>
          </w:p>
        </w:tc>
        <w:tc>
          <w:tcPr>
            <w:tcW w:w="3116" w:type="dxa"/>
          </w:tcPr>
          <w:p>
            <w:pPr>
              <w:pStyle w:val="TableParagraph"/>
              <w:spacing w:line="273" w:lineRule="exact"/>
              <w:ind w:left="102" w:right="91"/>
              <w:jc w:val="center"/>
              <w:rPr>
                <w:sz w:val="24"/>
              </w:rPr>
            </w:pPr>
            <w:r>
              <w:rPr>
                <w:sz w:val="24"/>
              </w:rPr>
              <w:t>Bicycle Risk Score</w:t>
            </w:r>
          </w:p>
        </w:tc>
        <w:tc>
          <w:tcPr>
            <w:tcW w:w="3117" w:type="dxa"/>
          </w:tcPr>
          <w:p>
            <w:pPr>
              <w:pStyle w:val="TableParagraph"/>
              <w:spacing w:line="273" w:lineRule="exact"/>
              <w:ind w:left="11"/>
              <w:jc w:val="center"/>
              <w:rPr>
                <w:sz w:val="24"/>
              </w:rPr>
            </w:pPr>
            <w:r>
              <w:rPr>
                <w:sz w:val="24"/>
              </w:rPr>
              <w:t>3</w:t>
            </w:r>
          </w:p>
        </w:tc>
      </w:tr>
    </w:tbl>
    <w:p>
      <w:pPr>
        <w:pStyle w:val="BodyText"/>
        <w:spacing w:before="8"/>
        <w:rPr>
          <w:b/>
          <w:sz w:val="23"/>
        </w:rPr>
      </w:pPr>
    </w:p>
    <w:p>
      <w:pPr>
        <w:pStyle w:val="BodyText"/>
        <w:ind w:left="320" w:right="1615"/>
      </w:pPr>
      <w:r>
        <w:rPr/>
        <w:t>Transit information is collected from Google Earth. After pinning the intersection on google earth map, the number of transit lines going through this intersection can be obtained from the information of the closest transit station. </w:t>
      </w:r>
      <w:hyperlink w:history="true" w:anchor="_bookmark76">
        <w:r>
          <w:rPr/>
          <w:t>Figure A.7</w:t>
        </w:r>
      </w:hyperlink>
      <w:r>
        <w:rPr/>
        <w:t> is the Google Earth map of the intersection in the example. The transit information provided by ODOT Transgis website could be used to check when you are not sure what you get from Google Earth.</w:t>
      </w:r>
    </w:p>
    <w:p>
      <w:pPr>
        <w:pStyle w:val="BodyText"/>
        <w:rPr>
          <w:sz w:val="20"/>
        </w:rPr>
      </w:pPr>
    </w:p>
    <w:p>
      <w:pPr>
        <w:pStyle w:val="BodyText"/>
        <w:spacing w:before="9"/>
        <w:rPr>
          <w:sz w:val="21"/>
        </w:rPr>
      </w:pPr>
      <w:r>
        <w:rPr/>
        <w:drawing>
          <wp:anchor distT="0" distB="0" distL="0" distR="0" allowOverlap="1" layoutInCell="1" locked="0" behindDoc="0" simplePos="0" relativeHeight="170">
            <wp:simplePos x="0" y="0"/>
            <wp:positionH relativeFrom="page">
              <wp:posOffset>914400</wp:posOffset>
            </wp:positionH>
            <wp:positionV relativeFrom="paragraph">
              <wp:posOffset>184162</wp:posOffset>
            </wp:positionV>
            <wp:extent cx="5910585" cy="4359687"/>
            <wp:effectExtent l="0" t="0" r="0" b="0"/>
            <wp:wrapTopAndBottom/>
            <wp:docPr id="73" name="image51.jpeg" descr=""/>
            <wp:cNvGraphicFramePr>
              <a:graphicFrameLocks noChangeAspect="1"/>
            </wp:cNvGraphicFramePr>
            <a:graphic>
              <a:graphicData uri="http://schemas.openxmlformats.org/drawingml/2006/picture">
                <pic:pic>
                  <pic:nvPicPr>
                    <pic:cNvPr id="74" name="image51.jpeg"/>
                    <pic:cNvPicPr/>
                  </pic:nvPicPr>
                  <pic:blipFill>
                    <a:blip r:embed="rId66" cstate="print"/>
                    <a:stretch>
                      <a:fillRect/>
                    </a:stretch>
                  </pic:blipFill>
                  <pic:spPr>
                    <a:xfrm>
                      <a:off x="0" y="0"/>
                      <a:ext cx="5910585" cy="4359687"/>
                    </a:xfrm>
                    <a:prstGeom prst="rect">
                      <a:avLst/>
                    </a:prstGeom>
                  </pic:spPr>
                </pic:pic>
              </a:graphicData>
            </a:graphic>
          </wp:anchor>
        </w:drawing>
      </w:r>
    </w:p>
    <w:p>
      <w:pPr>
        <w:spacing w:before="126"/>
        <w:ind w:left="3138" w:right="0" w:firstLine="0"/>
        <w:jc w:val="left"/>
        <w:rPr>
          <w:sz w:val="20"/>
        </w:rPr>
      </w:pPr>
      <w:bookmarkStart w:name="_bookmark76" w:id="324"/>
      <w:bookmarkEnd w:id="324"/>
      <w:r>
        <w:rPr/>
      </w:r>
      <w:r>
        <w:rPr>
          <w:sz w:val="20"/>
        </w:rPr>
        <w:t>Figure A.7: Google Earth Map of Intersection</w:t>
      </w:r>
    </w:p>
    <w:p>
      <w:pPr>
        <w:spacing w:after="0"/>
        <w:jc w:val="left"/>
        <w:rPr>
          <w:sz w:val="20"/>
        </w:rPr>
        <w:sectPr>
          <w:pgSz w:w="12240" w:h="15840"/>
          <w:pgMar w:header="0" w:footer="789" w:top="1440" w:bottom="980" w:left="1120" w:right="0"/>
        </w:sectPr>
      </w:pPr>
    </w:p>
    <w:p>
      <w:pPr>
        <w:pStyle w:val="BodyText"/>
        <w:spacing w:before="72"/>
        <w:ind w:left="320" w:right="1442"/>
      </w:pPr>
      <w:r>
        <w:rPr/>
        <w:t>Similar to segment example, the value of total population density is collected from the EPA Smart Location Database. AADT of the major road is from ODOT Transgis website and bike volume per day is get from the Strava database (the summation of major road and minor road). Finally, the functional classification of the minor road is extracted from ODOT TransGIS website. </w:t>
      </w:r>
      <w:hyperlink w:history="true" w:anchor="_bookmark77">
        <w:r>
          <w:rPr/>
          <w:t>Figure A.8</w:t>
        </w:r>
      </w:hyperlink>
      <w:r>
        <w:rPr/>
        <w:t> showed we need to display classification layers on the website and the minor road of the target intersection is an Urban Collector Road.</w:t>
      </w:r>
    </w:p>
    <w:p>
      <w:pPr>
        <w:pStyle w:val="BodyText"/>
        <w:rPr>
          <w:sz w:val="20"/>
        </w:rPr>
      </w:pPr>
    </w:p>
    <w:p>
      <w:pPr>
        <w:pStyle w:val="BodyText"/>
        <w:spacing w:before="9"/>
        <w:rPr>
          <w:sz w:val="21"/>
        </w:rPr>
      </w:pPr>
      <w:r>
        <w:rPr/>
        <w:drawing>
          <wp:anchor distT="0" distB="0" distL="0" distR="0" allowOverlap="1" layoutInCell="1" locked="0" behindDoc="0" simplePos="0" relativeHeight="171">
            <wp:simplePos x="0" y="0"/>
            <wp:positionH relativeFrom="page">
              <wp:posOffset>914400</wp:posOffset>
            </wp:positionH>
            <wp:positionV relativeFrom="paragraph">
              <wp:posOffset>184251</wp:posOffset>
            </wp:positionV>
            <wp:extent cx="5945569" cy="3041904"/>
            <wp:effectExtent l="0" t="0" r="0" b="0"/>
            <wp:wrapTopAndBottom/>
            <wp:docPr id="75" name="image52.jpeg" descr=""/>
            <wp:cNvGraphicFramePr>
              <a:graphicFrameLocks noChangeAspect="1"/>
            </wp:cNvGraphicFramePr>
            <a:graphic>
              <a:graphicData uri="http://schemas.openxmlformats.org/drawingml/2006/picture">
                <pic:pic>
                  <pic:nvPicPr>
                    <pic:cNvPr id="76" name="image52.jpeg"/>
                    <pic:cNvPicPr/>
                  </pic:nvPicPr>
                  <pic:blipFill>
                    <a:blip r:embed="rId67" cstate="print"/>
                    <a:stretch>
                      <a:fillRect/>
                    </a:stretch>
                  </pic:blipFill>
                  <pic:spPr>
                    <a:xfrm>
                      <a:off x="0" y="0"/>
                      <a:ext cx="5945569" cy="3041904"/>
                    </a:xfrm>
                    <a:prstGeom prst="rect">
                      <a:avLst/>
                    </a:prstGeom>
                  </pic:spPr>
                </pic:pic>
              </a:graphicData>
            </a:graphic>
          </wp:anchor>
        </w:drawing>
      </w:r>
    </w:p>
    <w:p>
      <w:pPr>
        <w:spacing w:before="97"/>
        <w:ind w:left="3320" w:right="0" w:firstLine="0"/>
        <w:jc w:val="left"/>
        <w:rPr>
          <w:sz w:val="20"/>
        </w:rPr>
      </w:pPr>
      <w:bookmarkStart w:name="_bookmark77" w:id="325"/>
      <w:bookmarkEnd w:id="325"/>
      <w:r>
        <w:rPr/>
      </w:r>
      <w:r>
        <w:rPr>
          <w:sz w:val="20"/>
        </w:rPr>
        <w:t>Figure A.8: Classification of Minor Road</w:t>
      </w:r>
    </w:p>
    <w:sectPr>
      <w:pgSz w:w="12240" w:h="15840"/>
      <w:pgMar w:header="0" w:footer="789" w:top="920" w:bottom="980" w:left="11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MS PGothic">
    <w:altName w:val="MS PGothic"/>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4.320007pt;margin-top:741.546631pt;width:5.35pt;height:15.3pt;mso-position-horizontal-relative:page;mso-position-vertical-relative:page;z-index:-257752" type="#_x0000_t202" filled="false" stroked="false">
          <v:textbox inset="0,0,0,0">
            <w:txbxContent>
              <w:p>
                <w:pPr>
                  <w:pStyle w:val="BodyText"/>
                  <w:spacing w:before="10"/>
                  <w:ind w:left="20"/>
                </w:pPr>
                <w:r>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6.959991pt;margin-top:741.546631pt;width:20.1pt;height:15.3pt;mso-position-horizontal-relative:page;mso-position-vertical-relative:page;z-index:-257728" type="#_x0000_t202" filled="false" stroked="false">
          <v:textbox inset="0,0,0,0">
            <w:txbxContent>
              <w:p>
                <w:pPr>
                  <w:pStyle w:val="BodyText"/>
                  <w:spacing w:before="10"/>
                  <w:ind w:left="40"/>
                </w:pPr>
                <w:r>
                  <w:rPr/>
                  <w:fldChar w:fldCharType="begin"/>
                </w:r>
                <w:r>
                  <w:rPr/>
                  <w:instrText> PAGE  \* roman </w:instrText>
                </w:r>
                <w:r>
                  <w:rPr/>
                  <w:fldChar w:fldCharType="separate"/>
                </w:r>
                <w:r>
                  <w:rPr/>
                  <w:t>viii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 style="position:absolute;margin-left:289pt;margin-top:741.546631pt;width:16pt;height:15.3pt;mso-position-horizontal-relative:page;mso-position-vertical-relative:page;z-index:-257704" type="#_x0000_t202" filled="false" stroked="false">
          <v:textbox inset="0,0,0,0">
            <w:txbxContent>
              <w:p>
                <w:pPr>
                  <w:pStyle w:val="BodyText"/>
                  <w:spacing w:before="10"/>
                  <w:ind w:left="40"/>
                </w:pPr>
                <w:r>
                  <w:rPr/>
                  <w:fldChar w:fldCharType="begin"/>
                </w:r>
                <w:r>
                  <w:rPr/>
                  <w:instrText> PAGE </w:instrText>
                </w:r>
                <w:r>
                  <w:rPr/>
                  <w:fldChar w:fldCharType="separate"/>
                </w:r>
                <w:r>
                  <w:rPr/>
                  <w:t>52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6.640015pt;margin-top:741.546631pt;width:21.7pt;height:15.3pt;mso-position-horizontal-relative:page;mso-position-vertical-relative:page;z-index:-257680" type="#_x0000_t202" filled="false" stroked="false">
          <v:textbox inset="0,0,0,0">
            <w:txbxContent>
              <w:p>
                <w:pPr>
                  <w:pStyle w:val="BodyText"/>
                  <w:spacing w:before="10"/>
                  <w:ind w:left="20"/>
                </w:pPr>
                <w:r>
                  <w:rPr/>
                  <w:t>A-</w:t>
                </w:r>
                <w:r>
                  <w:rPr/>
                  <w:fldChar w:fldCharType="begin"/>
                </w:r>
                <w:r>
                  <w:rPr/>
                  <w:instrText> PAGE </w:instrText>
                </w:r>
                <w:r>
                  <w:rPr/>
                  <w:fldChar w:fldCharType="separate"/>
                </w:r>
                <w:r>
                  <w:rPr/>
                  <w:t>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2">
    <w:multiLevelType w:val="hybridMultilevel"/>
    <w:lvl w:ilvl="0">
      <w:start w:val="9"/>
      <w:numFmt w:val="decimal"/>
      <w:lvlText w:val="%1"/>
      <w:lvlJc w:val="left"/>
      <w:pPr>
        <w:ind w:left="4186" w:hanging="720"/>
        <w:jc w:val="left"/>
      </w:pPr>
      <w:rPr>
        <w:rFonts w:hint="default"/>
        <w:lang w:val="en-us" w:eastAsia="en-us" w:bidi="en-us"/>
      </w:rPr>
    </w:lvl>
    <w:lvl w:ilvl="1">
      <w:start w:val="0"/>
      <w:numFmt w:val="decimal"/>
      <w:lvlText w:val="%1.%2"/>
      <w:lvlJc w:val="left"/>
      <w:pPr>
        <w:ind w:left="4186" w:hanging="720"/>
        <w:jc w:val="right"/>
      </w:pPr>
      <w:rPr>
        <w:rFonts w:hint="default"/>
        <w:b/>
        <w:bCs/>
        <w:spacing w:val="-1"/>
        <w:w w:val="100"/>
        <w:lang w:val="en-us" w:eastAsia="en-us" w:bidi="en-us"/>
      </w:rPr>
    </w:lvl>
    <w:lvl w:ilvl="2">
      <w:start w:val="0"/>
      <w:numFmt w:val="bullet"/>
      <w:lvlText w:val="•"/>
      <w:lvlJc w:val="left"/>
      <w:pPr>
        <w:ind w:left="5568" w:hanging="720"/>
      </w:pPr>
      <w:rPr>
        <w:rFonts w:hint="default"/>
        <w:lang w:val="en-us" w:eastAsia="en-us" w:bidi="en-us"/>
      </w:rPr>
    </w:lvl>
    <w:lvl w:ilvl="3">
      <w:start w:val="0"/>
      <w:numFmt w:val="bullet"/>
      <w:lvlText w:val="•"/>
      <w:lvlJc w:val="left"/>
      <w:pPr>
        <w:ind w:left="6262" w:hanging="720"/>
      </w:pPr>
      <w:rPr>
        <w:rFonts w:hint="default"/>
        <w:lang w:val="en-us" w:eastAsia="en-us" w:bidi="en-us"/>
      </w:rPr>
    </w:lvl>
    <w:lvl w:ilvl="4">
      <w:start w:val="0"/>
      <w:numFmt w:val="bullet"/>
      <w:lvlText w:val="•"/>
      <w:lvlJc w:val="left"/>
      <w:pPr>
        <w:ind w:left="6956" w:hanging="720"/>
      </w:pPr>
      <w:rPr>
        <w:rFonts w:hint="default"/>
        <w:lang w:val="en-us" w:eastAsia="en-us" w:bidi="en-us"/>
      </w:rPr>
    </w:lvl>
    <w:lvl w:ilvl="5">
      <w:start w:val="0"/>
      <w:numFmt w:val="bullet"/>
      <w:lvlText w:val="•"/>
      <w:lvlJc w:val="left"/>
      <w:pPr>
        <w:ind w:left="7650" w:hanging="720"/>
      </w:pPr>
      <w:rPr>
        <w:rFonts w:hint="default"/>
        <w:lang w:val="en-us" w:eastAsia="en-us" w:bidi="en-us"/>
      </w:rPr>
    </w:lvl>
    <w:lvl w:ilvl="6">
      <w:start w:val="0"/>
      <w:numFmt w:val="bullet"/>
      <w:lvlText w:val="•"/>
      <w:lvlJc w:val="left"/>
      <w:pPr>
        <w:ind w:left="8344" w:hanging="720"/>
      </w:pPr>
      <w:rPr>
        <w:rFonts w:hint="default"/>
        <w:lang w:val="en-us" w:eastAsia="en-us" w:bidi="en-us"/>
      </w:rPr>
    </w:lvl>
    <w:lvl w:ilvl="7">
      <w:start w:val="0"/>
      <w:numFmt w:val="bullet"/>
      <w:lvlText w:val="•"/>
      <w:lvlJc w:val="left"/>
      <w:pPr>
        <w:ind w:left="9038" w:hanging="720"/>
      </w:pPr>
      <w:rPr>
        <w:rFonts w:hint="default"/>
        <w:lang w:val="en-us" w:eastAsia="en-us" w:bidi="en-us"/>
      </w:rPr>
    </w:lvl>
    <w:lvl w:ilvl="8">
      <w:start w:val="0"/>
      <w:numFmt w:val="bullet"/>
      <w:lvlText w:val="•"/>
      <w:lvlJc w:val="left"/>
      <w:pPr>
        <w:ind w:left="9732" w:hanging="720"/>
      </w:pPr>
      <w:rPr>
        <w:rFonts w:hint="default"/>
        <w:lang w:val="en-us" w:eastAsia="en-us" w:bidi="en-us"/>
      </w:rPr>
    </w:lvl>
  </w:abstractNum>
  <w:abstractNum w:abstractNumId="31">
    <w:multiLevelType w:val="hybridMultilevel"/>
    <w:lvl w:ilvl="0">
      <w:start w:val="8"/>
      <w:numFmt w:val="decimal"/>
      <w:lvlText w:val="%1"/>
      <w:lvlJc w:val="left"/>
      <w:pPr>
        <w:ind w:left="3465" w:hanging="720"/>
        <w:jc w:val="left"/>
      </w:pPr>
      <w:rPr>
        <w:rFonts w:hint="default"/>
        <w:lang w:val="en-us" w:eastAsia="en-us" w:bidi="en-us"/>
      </w:rPr>
    </w:lvl>
    <w:lvl w:ilvl="1">
      <w:start w:val="0"/>
      <w:numFmt w:val="decimal"/>
      <w:lvlText w:val="%1.%2"/>
      <w:lvlJc w:val="left"/>
      <w:pPr>
        <w:ind w:left="3465" w:hanging="720"/>
        <w:jc w:val="right"/>
      </w:pPr>
      <w:rPr>
        <w:rFonts w:hint="default"/>
        <w:b/>
        <w:bCs/>
        <w:spacing w:val="-1"/>
        <w:w w:val="100"/>
        <w:lang w:val="en-us" w:eastAsia="en-us" w:bidi="en-us"/>
      </w:rPr>
    </w:lvl>
    <w:lvl w:ilvl="2">
      <w:start w:val="0"/>
      <w:numFmt w:val="bullet"/>
      <w:lvlText w:val="•"/>
      <w:lvlJc w:val="left"/>
      <w:pPr>
        <w:ind w:left="4992" w:hanging="720"/>
      </w:pPr>
      <w:rPr>
        <w:rFonts w:hint="default"/>
        <w:lang w:val="en-us" w:eastAsia="en-us" w:bidi="en-us"/>
      </w:rPr>
    </w:lvl>
    <w:lvl w:ilvl="3">
      <w:start w:val="0"/>
      <w:numFmt w:val="bullet"/>
      <w:lvlText w:val="•"/>
      <w:lvlJc w:val="left"/>
      <w:pPr>
        <w:ind w:left="5758" w:hanging="720"/>
      </w:pPr>
      <w:rPr>
        <w:rFonts w:hint="default"/>
        <w:lang w:val="en-us" w:eastAsia="en-us" w:bidi="en-us"/>
      </w:rPr>
    </w:lvl>
    <w:lvl w:ilvl="4">
      <w:start w:val="0"/>
      <w:numFmt w:val="bullet"/>
      <w:lvlText w:val="•"/>
      <w:lvlJc w:val="left"/>
      <w:pPr>
        <w:ind w:left="6524" w:hanging="720"/>
      </w:pPr>
      <w:rPr>
        <w:rFonts w:hint="default"/>
        <w:lang w:val="en-us" w:eastAsia="en-us" w:bidi="en-us"/>
      </w:rPr>
    </w:lvl>
    <w:lvl w:ilvl="5">
      <w:start w:val="0"/>
      <w:numFmt w:val="bullet"/>
      <w:lvlText w:val="•"/>
      <w:lvlJc w:val="left"/>
      <w:pPr>
        <w:ind w:left="7290" w:hanging="720"/>
      </w:pPr>
      <w:rPr>
        <w:rFonts w:hint="default"/>
        <w:lang w:val="en-us" w:eastAsia="en-us" w:bidi="en-us"/>
      </w:rPr>
    </w:lvl>
    <w:lvl w:ilvl="6">
      <w:start w:val="0"/>
      <w:numFmt w:val="bullet"/>
      <w:lvlText w:val="•"/>
      <w:lvlJc w:val="left"/>
      <w:pPr>
        <w:ind w:left="8056" w:hanging="720"/>
      </w:pPr>
      <w:rPr>
        <w:rFonts w:hint="default"/>
        <w:lang w:val="en-us" w:eastAsia="en-us" w:bidi="en-us"/>
      </w:rPr>
    </w:lvl>
    <w:lvl w:ilvl="7">
      <w:start w:val="0"/>
      <w:numFmt w:val="bullet"/>
      <w:lvlText w:val="•"/>
      <w:lvlJc w:val="left"/>
      <w:pPr>
        <w:ind w:left="8822" w:hanging="720"/>
      </w:pPr>
      <w:rPr>
        <w:rFonts w:hint="default"/>
        <w:lang w:val="en-us" w:eastAsia="en-us" w:bidi="en-us"/>
      </w:rPr>
    </w:lvl>
    <w:lvl w:ilvl="8">
      <w:start w:val="0"/>
      <w:numFmt w:val="bullet"/>
      <w:lvlText w:val="•"/>
      <w:lvlJc w:val="left"/>
      <w:pPr>
        <w:ind w:left="9588" w:hanging="720"/>
      </w:pPr>
      <w:rPr>
        <w:rFonts w:hint="default"/>
        <w:lang w:val="en-us" w:eastAsia="en-us" w:bidi="en-us"/>
      </w:rPr>
    </w:lvl>
  </w:abstractNum>
  <w:abstractNum w:abstractNumId="30">
    <w:multiLevelType w:val="hybridMultilevel"/>
    <w:lvl w:ilvl="0">
      <w:start w:val="7"/>
      <w:numFmt w:val="decimal"/>
      <w:lvlText w:val="%1"/>
      <w:lvlJc w:val="left"/>
      <w:pPr>
        <w:ind w:left="3671" w:hanging="720"/>
        <w:jc w:val="left"/>
      </w:pPr>
      <w:rPr>
        <w:rFonts w:hint="default"/>
        <w:lang w:val="en-us" w:eastAsia="en-us" w:bidi="en-us"/>
      </w:rPr>
    </w:lvl>
    <w:lvl w:ilvl="1">
      <w:start w:val="0"/>
      <w:numFmt w:val="decimal"/>
      <w:lvlText w:val="%1.%2"/>
      <w:lvlJc w:val="left"/>
      <w:pPr>
        <w:ind w:left="3671"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b/>
        <w:bCs/>
        <w:spacing w:val="-1"/>
        <w:w w:val="99"/>
        <w:lang w:val="en-us" w:eastAsia="en-us" w:bidi="en-us"/>
      </w:rPr>
    </w:lvl>
    <w:lvl w:ilvl="3">
      <w:start w:val="0"/>
      <w:numFmt w:val="bullet"/>
      <w:lvlText w:val=""/>
      <w:lvlJc w:val="left"/>
      <w:pPr>
        <w:ind w:left="1040" w:hanging="360"/>
      </w:pPr>
      <w:rPr>
        <w:rFonts w:hint="default" w:ascii="Symbol" w:hAnsi="Symbol" w:eastAsia="Symbol" w:cs="Symbol"/>
        <w:w w:val="100"/>
        <w:sz w:val="24"/>
        <w:szCs w:val="24"/>
        <w:lang w:val="en-us" w:eastAsia="en-us" w:bidi="en-us"/>
      </w:rPr>
    </w:lvl>
    <w:lvl w:ilvl="4">
      <w:start w:val="0"/>
      <w:numFmt w:val="bullet"/>
      <w:lvlText w:val="•"/>
      <w:lvlJc w:val="left"/>
      <w:pPr>
        <w:ind w:left="6160" w:hanging="360"/>
      </w:pPr>
      <w:rPr>
        <w:rFonts w:hint="default"/>
        <w:lang w:val="en-us" w:eastAsia="en-us" w:bidi="en-us"/>
      </w:rPr>
    </w:lvl>
    <w:lvl w:ilvl="5">
      <w:start w:val="0"/>
      <w:numFmt w:val="bullet"/>
      <w:lvlText w:val="•"/>
      <w:lvlJc w:val="left"/>
      <w:pPr>
        <w:ind w:left="6986" w:hanging="360"/>
      </w:pPr>
      <w:rPr>
        <w:rFonts w:hint="default"/>
        <w:lang w:val="en-us" w:eastAsia="en-us" w:bidi="en-us"/>
      </w:rPr>
    </w:lvl>
    <w:lvl w:ilvl="6">
      <w:start w:val="0"/>
      <w:numFmt w:val="bullet"/>
      <w:lvlText w:val="•"/>
      <w:lvlJc w:val="left"/>
      <w:pPr>
        <w:ind w:left="7813" w:hanging="360"/>
      </w:pPr>
      <w:rPr>
        <w:rFonts w:hint="default"/>
        <w:lang w:val="en-us" w:eastAsia="en-us" w:bidi="en-us"/>
      </w:rPr>
    </w:lvl>
    <w:lvl w:ilvl="7">
      <w:start w:val="0"/>
      <w:numFmt w:val="bullet"/>
      <w:lvlText w:val="•"/>
      <w:lvlJc w:val="left"/>
      <w:pPr>
        <w:ind w:left="8640" w:hanging="360"/>
      </w:pPr>
      <w:rPr>
        <w:rFonts w:hint="default"/>
        <w:lang w:val="en-us" w:eastAsia="en-us" w:bidi="en-us"/>
      </w:rPr>
    </w:lvl>
    <w:lvl w:ilvl="8">
      <w:start w:val="0"/>
      <w:numFmt w:val="bullet"/>
      <w:lvlText w:val="•"/>
      <w:lvlJc w:val="left"/>
      <w:pPr>
        <w:ind w:left="9466" w:hanging="360"/>
      </w:pPr>
      <w:rPr>
        <w:rFonts w:hint="default"/>
        <w:lang w:val="en-us" w:eastAsia="en-us" w:bidi="en-us"/>
      </w:rPr>
    </w:lvl>
  </w:abstractNum>
  <w:abstractNum w:abstractNumId="29">
    <w:multiLevelType w:val="hybridMultilevel"/>
    <w:lvl w:ilvl="0">
      <w:start w:val="6"/>
      <w:numFmt w:val="decimal"/>
      <w:lvlText w:val="%1"/>
      <w:lvlJc w:val="left"/>
      <w:pPr>
        <w:ind w:left="3699" w:hanging="720"/>
        <w:jc w:val="left"/>
      </w:pPr>
      <w:rPr>
        <w:rFonts w:hint="default"/>
        <w:lang w:val="en-us" w:eastAsia="en-us" w:bidi="en-us"/>
      </w:rPr>
    </w:lvl>
    <w:lvl w:ilvl="1">
      <w:start w:val="0"/>
      <w:numFmt w:val="decimal"/>
      <w:lvlText w:val="%1.%2"/>
      <w:lvlJc w:val="left"/>
      <w:pPr>
        <w:ind w:left="3699"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b/>
        <w:bCs/>
        <w:spacing w:val="-1"/>
        <w:w w:val="99"/>
        <w:lang w:val="en-us" w:eastAsia="en-us" w:bidi="en-us"/>
      </w:rPr>
    </w:lvl>
    <w:lvl w:ilvl="3">
      <w:start w:val="0"/>
      <w:numFmt w:val="bullet"/>
      <w:lvlText w:val="•"/>
      <w:lvlJc w:val="left"/>
      <w:pPr>
        <w:ind w:left="5348" w:hanging="720"/>
      </w:pPr>
      <w:rPr>
        <w:rFonts w:hint="default"/>
        <w:lang w:val="en-us" w:eastAsia="en-us" w:bidi="en-us"/>
      </w:rPr>
    </w:lvl>
    <w:lvl w:ilvl="4">
      <w:start w:val="0"/>
      <w:numFmt w:val="bullet"/>
      <w:lvlText w:val="•"/>
      <w:lvlJc w:val="left"/>
      <w:pPr>
        <w:ind w:left="6173" w:hanging="720"/>
      </w:pPr>
      <w:rPr>
        <w:rFonts w:hint="default"/>
        <w:lang w:val="en-us" w:eastAsia="en-us" w:bidi="en-us"/>
      </w:rPr>
    </w:lvl>
    <w:lvl w:ilvl="5">
      <w:start w:val="0"/>
      <w:numFmt w:val="bullet"/>
      <w:lvlText w:val="•"/>
      <w:lvlJc w:val="left"/>
      <w:pPr>
        <w:ind w:left="6997" w:hanging="720"/>
      </w:pPr>
      <w:rPr>
        <w:rFonts w:hint="default"/>
        <w:lang w:val="en-us" w:eastAsia="en-us" w:bidi="en-us"/>
      </w:rPr>
    </w:lvl>
    <w:lvl w:ilvl="6">
      <w:start w:val="0"/>
      <w:numFmt w:val="bullet"/>
      <w:lvlText w:val="•"/>
      <w:lvlJc w:val="left"/>
      <w:pPr>
        <w:ind w:left="7822" w:hanging="720"/>
      </w:pPr>
      <w:rPr>
        <w:rFonts w:hint="default"/>
        <w:lang w:val="en-us" w:eastAsia="en-us" w:bidi="en-us"/>
      </w:rPr>
    </w:lvl>
    <w:lvl w:ilvl="7">
      <w:start w:val="0"/>
      <w:numFmt w:val="bullet"/>
      <w:lvlText w:val="•"/>
      <w:lvlJc w:val="left"/>
      <w:pPr>
        <w:ind w:left="8646" w:hanging="720"/>
      </w:pPr>
      <w:rPr>
        <w:rFonts w:hint="default"/>
        <w:lang w:val="en-us" w:eastAsia="en-us" w:bidi="en-us"/>
      </w:rPr>
    </w:lvl>
    <w:lvl w:ilvl="8">
      <w:start w:val="0"/>
      <w:numFmt w:val="bullet"/>
      <w:lvlText w:val="•"/>
      <w:lvlJc w:val="left"/>
      <w:pPr>
        <w:ind w:left="9471" w:hanging="720"/>
      </w:pPr>
      <w:rPr>
        <w:rFonts w:hint="default"/>
        <w:lang w:val="en-us" w:eastAsia="en-us" w:bidi="en-us"/>
      </w:rPr>
    </w:lvl>
  </w:abstractNum>
  <w:abstractNum w:abstractNumId="28">
    <w:multiLevelType w:val="hybridMultilevel"/>
    <w:lvl w:ilvl="0">
      <w:start w:val="5"/>
      <w:numFmt w:val="decimal"/>
      <w:lvlText w:val="%1"/>
      <w:lvlJc w:val="left"/>
      <w:pPr>
        <w:ind w:left="4035" w:hanging="720"/>
        <w:jc w:val="left"/>
      </w:pPr>
      <w:rPr>
        <w:rFonts w:hint="default"/>
        <w:lang w:val="en-us" w:eastAsia="en-us" w:bidi="en-us"/>
      </w:rPr>
    </w:lvl>
    <w:lvl w:ilvl="1">
      <w:start w:val="0"/>
      <w:numFmt w:val="decimal"/>
      <w:lvlText w:val="%1.%2"/>
      <w:lvlJc w:val="left"/>
      <w:pPr>
        <w:ind w:left="4035"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0"/>
      <w:numFmt w:val="bullet"/>
      <w:lvlText w:val=""/>
      <w:lvlJc w:val="left"/>
      <w:pPr>
        <w:ind w:left="1040" w:hanging="360"/>
      </w:pPr>
      <w:rPr>
        <w:rFonts w:hint="default" w:ascii="Symbol" w:hAnsi="Symbol" w:eastAsia="Symbol" w:cs="Symbol"/>
        <w:w w:val="100"/>
        <w:sz w:val="24"/>
        <w:szCs w:val="24"/>
        <w:lang w:val="en-us" w:eastAsia="en-us" w:bidi="en-us"/>
      </w:rPr>
    </w:lvl>
    <w:lvl w:ilvl="4">
      <w:start w:val="0"/>
      <w:numFmt w:val="bullet"/>
      <w:lvlText w:val="•"/>
      <w:lvlJc w:val="left"/>
      <w:pPr>
        <w:ind w:left="6400" w:hanging="360"/>
      </w:pPr>
      <w:rPr>
        <w:rFonts w:hint="default"/>
        <w:lang w:val="en-us" w:eastAsia="en-us" w:bidi="en-us"/>
      </w:rPr>
    </w:lvl>
    <w:lvl w:ilvl="5">
      <w:start w:val="0"/>
      <w:numFmt w:val="bullet"/>
      <w:lvlText w:val="•"/>
      <w:lvlJc w:val="left"/>
      <w:pPr>
        <w:ind w:left="7186" w:hanging="360"/>
      </w:pPr>
      <w:rPr>
        <w:rFonts w:hint="default"/>
        <w:lang w:val="en-us" w:eastAsia="en-us" w:bidi="en-us"/>
      </w:rPr>
    </w:lvl>
    <w:lvl w:ilvl="6">
      <w:start w:val="0"/>
      <w:numFmt w:val="bullet"/>
      <w:lvlText w:val="•"/>
      <w:lvlJc w:val="left"/>
      <w:pPr>
        <w:ind w:left="7973" w:hanging="360"/>
      </w:pPr>
      <w:rPr>
        <w:rFonts w:hint="default"/>
        <w:lang w:val="en-us" w:eastAsia="en-us" w:bidi="en-us"/>
      </w:rPr>
    </w:lvl>
    <w:lvl w:ilvl="7">
      <w:start w:val="0"/>
      <w:numFmt w:val="bullet"/>
      <w:lvlText w:val="•"/>
      <w:lvlJc w:val="left"/>
      <w:pPr>
        <w:ind w:left="8760" w:hanging="360"/>
      </w:pPr>
      <w:rPr>
        <w:rFonts w:hint="default"/>
        <w:lang w:val="en-us" w:eastAsia="en-us" w:bidi="en-us"/>
      </w:rPr>
    </w:lvl>
    <w:lvl w:ilvl="8">
      <w:start w:val="0"/>
      <w:numFmt w:val="bullet"/>
      <w:lvlText w:val="•"/>
      <w:lvlJc w:val="left"/>
      <w:pPr>
        <w:ind w:left="9546" w:hanging="360"/>
      </w:pPr>
      <w:rPr>
        <w:rFonts w:hint="default"/>
        <w:lang w:val="en-us" w:eastAsia="en-us" w:bidi="en-us"/>
      </w:rPr>
    </w:lvl>
  </w:abstractNum>
  <w:abstractNum w:abstractNumId="27">
    <w:multiLevelType w:val="hybridMultilevel"/>
    <w:lvl w:ilvl="0">
      <w:start w:val="4"/>
      <w:numFmt w:val="decimal"/>
      <w:lvlText w:val="%1"/>
      <w:lvlJc w:val="left"/>
      <w:pPr>
        <w:ind w:left="2979" w:hanging="720"/>
        <w:jc w:val="left"/>
      </w:pPr>
      <w:rPr>
        <w:rFonts w:hint="default"/>
        <w:lang w:val="en-us" w:eastAsia="en-us" w:bidi="en-us"/>
      </w:rPr>
    </w:lvl>
    <w:lvl w:ilvl="1">
      <w:start w:val="0"/>
      <w:numFmt w:val="decimal"/>
      <w:lvlText w:val="%1.%2"/>
      <w:lvlJc w:val="left"/>
      <w:pPr>
        <w:ind w:left="2979"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0"/>
      <w:numFmt w:val="bullet"/>
      <w:lvlText w:val="•"/>
      <w:lvlJc w:val="left"/>
      <w:pPr>
        <w:ind w:left="3997" w:hanging="720"/>
      </w:pPr>
      <w:rPr>
        <w:rFonts w:hint="default"/>
        <w:lang w:val="en-us" w:eastAsia="en-us" w:bidi="en-us"/>
      </w:rPr>
    </w:lvl>
    <w:lvl w:ilvl="4">
      <w:start w:val="0"/>
      <w:numFmt w:val="bullet"/>
      <w:lvlText w:val="•"/>
      <w:lvlJc w:val="left"/>
      <w:pPr>
        <w:ind w:left="5015" w:hanging="720"/>
      </w:pPr>
      <w:rPr>
        <w:rFonts w:hint="default"/>
        <w:lang w:val="en-us" w:eastAsia="en-us" w:bidi="en-us"/>
      </w:rPr>
    </w:lvl>
    <w:lvl w:ilvl="5">
      <w:start w:val="0"/>
      <w:numFmt w:val="bullet"/>
      <w:lvlText w:val="•"/>
      <w:lvlJc w:val="left"/>
      <w:pPr>
        <w:ind w:left="6032" w:hanging="720"/>
      </w:pPr>
      <w:rPr>
        <w:rFonts w:hint="default"/>
        <w:lang w:val="en-us" w:eastAsia="en-us" w:bidi="en-us"/>
      </w:rPr>
    </w:lvl>
    <w:lvl w:ilvl="6">
      <w:start w:val="0"/>
      <w:numFmt w:val="bullet"/>
      <w:lvlText w:val="•"/>
      <w:lvlJc w:val="left"/>
      <w:pPr>
        <w:ind w:left="7050" w:hanging="720"/>
      </w:pPr>
      <w:rPr>
        <w:rFonts w:hint="default"/>
        <w:lang w:val="en-us" w:eastAsia="en-us" w:bidi="en-us"/>
      </w:rPr>
    </w:lvl>
    <w:lvl w:ilvl="7">
      <w:start w:val="0"/>
      <w:numFmt w:val="bullet"/>
      <w:lvlText w:val="•"/>
      <w:lvlJc w:val="left"/>
      <w:pPr>
        <w:ind w:left="8067" w:hanging="720"/>
      </w:pPr>
      <w:rPr>
        <w:rFonts w:hint="default"/>
        <w:lang w:val="en-us" w:eastAsia="en-us" w:bidi="en-us"/>
      </w:rPr>
    </w:lvl>
    <w:lvl w:ilvl="8">
      <w:start w:val="0"/>
      <w:numFmt w:val="bullet"/>
      <w:lvlText w:val="•"/>
      <w:lvlJc w:val="left"/>
      <w:pPr>
        <w:ind w:left="9085" w:hanging="720"/>
      </w:pPr>
      <w:rPr>
        <w:rFonts w:hint="default"/>
        <w:lang w:val="en-us" w:eastAsia="en-us" w:bidi="en-us"/>
      </w:rPr>
    </w:lvl>
  </w:abstractNum>
  <w:abstractNum w:abstractNumId="26">
    <w:multiLevelType w:val="hybridMultilevel"/>
    <w:lvl w:ilvl="0">
      <w:start w:val="3"/>
      <w:numFmt w:val="decimal"/>
      <w:lvlText w:val="%1"/>
      <w:lvlJc w:val="left"/>
      <w:pPr>
        <w:ind w:left="895" w:hanging="576"/>
        <w:jc w:val="left"/>
      </w:pPr>
      <w:rPr>
        <w:rFonts w:hint="default"/>
        <w:lang w:val="en-us" w:eastAsia="en-us" w:bidi="en-us"/>
      </w:rPr>
    </w:lvl>
    <w:lvl w:ilvl="1">
      <w:start w:val="2"/>
      <w:numFmt w:val="decimal"/>
      <w:lvlText w:val="%1.%2"/>
      <w:lvlJc w:val="left"/>
      <w:pPr>
        <w:ind w:left="895" w:hanging="576"/>
        <w:jc w:val="left"/>
      </w:pPr>
      <w:rPr>
        <w:rFonts w:hint="default" w:ascii="Times New Roman" w:hAnsi="Times New Roman" w:eastAsia="Times New Roman" w:cs="Times New Roman"/>
        <w:b/>
        <w:bCs/>
        <w:spacing w:val="-1"/>
        <w:w w:val="99"/>
        <w:sz w:val="28"/>
        <w:szCs w:val="28"/>
        <w:lang w:val="en-us" w:eastAsia="en-us" w:bidi="en-us"/>
      </w:rPr>
    </w:lvl>
    <w:lvl w:ilvl="2">
      <w:start w:val="1"/>
      <w:numFmt w:val="decimal"/>
      <w:lvlText w:val="%1.%2.%3"/>
      <w:lvlJc w:val="left"/>
      <w:pPr>
        <w:ind w:left="1039" w:hanging="720"/>
        <w:jc w:val="left"/>
      </w:pPr>
      <w:rPr>
        <w:rFonts w:hint="default"/>
        <w:b/>
        <w:bCs/>
        <w:spacing w:val="-1"/>
        <w:w w:val="99"/>
        <w:lang w:val="en-us" w:eastAsia="en-us" w:bidi="en-us"/>
      </w:rPr>
    </w:lvl>
    <w:lvl w:ilvl="3">
      <w:start w:val="1"/>
      <w:numFmt w:val="decimal"/>
      <w:lvlText w:val="%1.%2.%3.%4"/>
      <w:lvlJc w:val="left"/>
      <w:pPr>
        <w:ind w:left="1760" w:hanging="720"/>
        <w:jc w:val="left"/>
      </w:pPr>
      <w:rPr>
        <w:rFonts w:hint="default" w:ascii="Times New Roman" w:hAnsi="Times New Roman" w:eastAsia="Times New Roman" w:cs="Times New Roman"/>
        <w:b/>
        <w:bCs/>
        <w:i/>
        <w:spacing w:val="-1"/>
        <w:w w:val="99"/>
        <w:sz w:val="24"/>
        <w:szCs w:val="24"/>
        <w:lang w:val="en-us" w:eastAsia="en-us" w:bidi="en-us"/>
      </w:rPr>
    </w:lvl>
    <w:lvl w:ilvl="4">
      <w:start w:val="0"/>
      <w:numFmt w:val="bullet"/>
      <w:lvlText w:val="•"/>
      <w:lvlJc w:val="left"/>
      <w:pPr>
        <w:ind w:left="4100" w:hanging="720"/>
      </w:pPr>
      <w:rPr>
        <w:rFonts w:hint="default"/>
        <w:lang w:val="en-us" w:eastAsia="en-us" w:bidi="en-us"/>
      </w:rPr>
    </w:lvl>
    <w:lvl w:ilvl="5">
      <w:start w:val="0"/>
      <w:numFmt w:val="bullet"/>
      <w:lvlText w:val="•"/>
      <w:lvlJc w:val="left"/>
      <w:pPr>
        <w:ind w:left="5270" w:hanging="720"/>
      </w:pPr>
      <w:rPr>
        <w:rFonts w:hint="default"/>
        <w:lang w:val="en-us" w:eastAsia="en-us" w:bidi="en-us"/>
      </w:rPr>
    </w:lvl>
    <w:lvl w:ilvl="6">
      <w:start w:val="0"/>
      <w:numFmt w:val="bullet"/>
      <w:lvlText w:val="•"/>
      <w:lvlJc w:val="left"/>
      <w:pPr>
        <w:ind w:left="6440" w:hanging="720"/>
      </w:pPr>
      <w:rPr>
        <w:rFonts w:hint="default"/>
        <w:lang w:val="en-us" w:eastAsia="en-us" w:bidi="en-us"/>
      </w:rPr>
    </w:lvl>
    <w:lvl w:ilvl="7">
      <w:start w:val="0"/>
      <w:numFmt w:val="bullet"/>
      <w:lvlText w:val="•"/>
      <w:lvlJc w:val="left"/>
      <w:pPr>
        <w:ind w:left="7610" w:hanging="720"/>
      </w:pPr>
      <w:rPr>
        <w:rFonts w:hint="default"/>
        <w:lang w:val="en-us" w:eastAsia="en-us" w:bidi="en-us"/>
      </w:rPr>
    </w:lvl>
    <w:lvl w:ilvl="8">
      <w:start w:val="0"/>
      <w:numFmt w:val="bullet"/>
      <w:lvlText w:val="•"/>
      <w:lvlJc w:val="left"/>
      <w:pPr>
        <w:ind w:left="8780" w:hanging="720"/>
      </w:pPr>
      <w:rPr>
        <w:rFonts w:hint="default"/>
        <w:lang w:val="en-us" w:eastAsia="en-us" w:bidi="en-us"/>
      </w:rPr>
    </w:lvl>
  </w:abstractNum>
  <w:abstractNum w:abstractNumId="25">
    <w:multiLevelType w:val="hybridMultilevel"/>
    <w:lvl w:ilvl="0">
      <w:start w:val="3"/>
      <w:numFmt w:val="decimal"/>
      <w:lvlText w:val="%1"/>
      <w:lvlJc w:val="left"/>
      <w:pPr>
        <w:ind w:left="3813" w:hanging="720"/>
        <w:jc w:val="left"/>
      </w:pPr>
      <w:rPr>
        <w:rFonts w:hint="default"/>
        <w:lang w:val="en-us" w:eastAsia="en-us" w:bidi="en-us"/>
      </w:rPr>
    </w:lvl>
    <w:lvl w:ilvl="1">
      <w:start w:val="0"/>
      <w:numFmt w:val="decimal"/>
      <w:lvlText w:val="%1.%2"/>
      <w:lvlJc w:val="left"/>
      <w:pPr>
        <w:ind w:left="3813"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0"/>
      <w:numFmt w:val="bullet"/>
      <w:lvlText w:val=""/>
      <w:lvlJc w:val="left"/>
      <w:pPr>
        <w:ind w:left="1040" w:hanging="360"/>
      </w:pPr>
      <w:rPr>
        <w:rFonts w:hint="default" w:ascii="Symbol" w:hAnsi="Symbol" w:eastAsia="Symbol" w:cs="Symbol"/>
        <w:w w:val="100"/>
        <w:sz w:val="24"/>
        <w:szCs w:val="24"/>
        <w:lang w:val="en-us" w:eastAsia="en-us" w:bidi="en-us"/>
      </w:rPr>
    </w:lvl>
    <w:lvl w:ilvl="4">
      <w:start w:val="0"/>
      <w:numFmt w:val="bullet"/>
      <w:lvlText w:val="•"/>
      <w:lvlJc w:val="left"/>
      <w:pPr>
        <w:ind w:left="6253" w:hanging="360"/>
      </w:pPr>
      <w:rPr>
        <w:rFonts w:hint="default"/>
        <w:lang w:val="en-us" w:eastAsia="en-us" w:bidi="en-us"/>
      </w:rPr>
    </w:lvl>
    <w:lvl w:ilvl="5">
      <w:start w:val="0"/>
      <w:numFmt w:val="bullet"/>
      <w:lvlText w:val="•"/>
      <w:lvlJc w:val="left"/>
      <w:pPr>
        <w:ind w:left="7064" w:hanging="360"/>
      </w:pPr>
      <w:rPr>
        <w:rFonts w:hint="default"/>
        <w:lang w:val="en-us" w:eastAsia="en-us" w:bidi="en-us"/>
      </w:rPr>
    </w:lvl>
    <w:lvl w:ilvl="6">
      <w:start w:val="0"/>
      <w:numFmt w:val="bullet"/>
      <w:lvlText w:val="•"/>
      <w:lvlJc w:val="left"/>
      <w:pPr>
        <w:ind w:left="7875" w:hanging="360"/>
      </w:pPr>
      <w:rPr>
        <w:rFonts w:hint="default"/>
        <w:lang w:val="en-us" w:eastAsia="en-us" w:bidi="en-us"/>
      </w:rPr>
    </w:lvl>
    <w:lvl w:ilvl="7">
      <w:start w:val="0"/>
      <w:numFmt w:val="bullet"/>
      <w:lvlText w:val="•"/>
      <w:lvlJc w:val="left"/>
      <w:pPr>
        <w:ind w:left="8686" w:hanging="360"/>
      </w:pPr>
      <w:rPr>
        <w:rFonts w:hint="default"/>
        <w:lang w:val="en-us" w:eastAsia="en-us" w:bidi="en-us"/>
      </w:rPr>
    </w:lvl>
    <w:lvl w:ilvl="8">
      <w:start w:val="0"/>
      <w:numFmt w:val="bullet"/>
      <w:lvlText w:val="•"/>
      <w:lvlJc w:val="left"/>
      <w:pPr>
        <w:ind w:left="9497" w:hanging="360"/>
      </w:pPr>
      <w:rPr>
        <w:rFonts w:hint="default"/>
        <w:lang w:val="en-us" w:eastAsia="en-us" w:bidi="en-us"/>
      </w:rPr>
    </w:lvl>
  </w:abstractNum>
  <w:abstractNum w:abstractNumId="24">
    <w:multiLevelType w:val="hybridMultilevel"/>
    <w:lvl w:ilvl="0">
      <w:start w:val="0"/>
      <w:numFmt w:val="bullet"/>
      <w:lvlText w:val=""/>
      <w:lvlJc w:val="left"/>
      <w:pPr>
        <w:ind w:left="444" w:hanging="360"/>
      </w:pPr>
      <w:rPr>
        <w:rFonts w:hint="default" w:ascii="Symbol" w:hAnsi="Symbol" w:eastAsia="Symbol" w:cs="Symbol"/>
        <w:w w:val="100"/>
        <w:sz w:val="20"/>
        <w:szCs w:val="20"/>
        <w:lang w:val="en-us" w:eastAsia="en-us" w:bidi="en-us"/>
      </w:rPr>
    </w:lvl>
    <w:lvl w:ilvl="1">
      <w:start w:val="0"/>
      <w:numFmt w:val="bullet"/>
      <w:lvlText w:val="•"/>
      <w:lvlJc w:val="left"/>
      <w:pPr>
        <w:ind w:left="707" w:hanging="360"/>
      </w:pPr>
      <w:rPr>
        <w:rFonts w:hint="default"/>
        <w:lang w:val="en-us" w:eastAsia="en-us" w:bidi="en-us"/>
      </w:rPr>
    </w:lvl>
    <w:lvl w:ilvl="2">
      <w:start w:val="0"/>
      <w:numFmt w:val="bullet"/>
      <w:lvlText w:val="•"/>
      <w:lvlJc w:val="left"/>
      <w:pPr>
        <w:ind w:left="974" w:hanging="360"/>
      </w:pPr>
      <w:rPr>
        <w:rFonts w:hint="default"/>
        <w:lang w:val="en-us" w:eastAsia="en-us" w:bidi="en-us"/>
      </w:rPr>
    </w:lvl>
    <w:lvl w:ilvl="3">
      <w:start w:val="0"/>
      <w:numFmt w:val="bullet"/>
      <w:lvlText w:val="•"/>
      <w:lvlJc w:val="left"/>
      <w:pPr>
        <w:ind w:left="1241" w:hanging="360"/>
      </w:pPr>
      <w:rPr>
        <w:rFonts w:hint="default"/>
        <w:lang w:val="en-us" w:eastAsia="en-us" w:bidi="en-us"/>
      </w:rPr>
    </w:lvl>
    <w:lvl w:ilvl="4">
      <w:start w:val="0"/>
      <w:numFmt w:val="bullet"/>
      <w:lvlText w:val="•"/>
      <w:lvlJc w:val="left"/>
      <w:pPr>
        <w:ind w:left="1509" w:hanging="360"/>
      </w:pPr>
      <w:rPr>
        <w:rFonts w:hint="default"/>
        <w:lang w:val="en-us" w:eastAsia="en-us" w:bidi="en-us"/>
      </w:rPr>
    </w:lvl>
    <w:lvl w:ilvl="5">
      <w:start w:val="0"/>
      <w:numFmt w:val="bullet"/>
      <w:lvlText w:val="•"/>
      <w:lvlJc w:val="left"/>
      <w:pPr>
        <w:ind w:left="1776" w:hanging="360"/>
      </w:pPr>
      <w:rPr>
        <w:rFonts w:hint="default"/>
        <w:lang w:val="en-us" w:eastAsia="en-us" w:bidi="en-us"/>
      </w:rPr>
    </w:lvl>
    <w:lvl w:ilvl="6">
      <w:start w:val="0"/>
      <w:numFmt w:val="bullet"/>
      <w:lvlText w:val="•"/>
      <w:lvlJc w:val="left"/>
      <w:pPr>
        <w:ind w:left="2043" w:hanging="360"/>
      </w:pPr>
      <w:rPr>
        <w:rFonts w:hint="default"/>
        <w:lang w:val="en-us" w:eastAsia="en-us" w:bidi="en-us"/>
      </w:rPr>
    </w:lvl>
    <w:lvl w:ilvl="7">
      <w:start w:val="0"/>
      <w:numFmt w:val="bullet"/>
      <w:lvlText w:val="•"/>
      <w:lvlJc w:val="left"/>
      <w:pPr>
        <w:ind w:left="2311" w:hanging="360"/>
      </w:pPr>
      <w:rPr>
        <w:rFonts w:hint="default"/>
        <w:lang w:val="en-us" w:eastAsia="en-us" w:bidi="en-us"/>
      </w:rPr>
    </w:lvl>
    <w:lvl w:ilvl="8">
      <w:start w:val="0"/>
      <w:numFmt w:val="bullet"/>
      <w:lvlText w:val="•"/>
      <w:lvlJc w:val="left"/>
      <w:pPr>
        <w:ind w:left="2578" w:hanging="360"/>
      </w:pPr>
      <w:rPr>
        <w:rFonts w:hint="default"/>
        <w:lang w:val="en-us" w:eastAsia="en-us" w:bidi="en-us"/>
      </w:rPr>
    </w:lvl>
  </w:abstractNum>
  <w:abstractNum w:abstractNumId="23">
    <w:multiLevelType w:val="hybridMultilevel"/>
    <w:lvl w:ilvl="0">
      <w:start w:val="0"/>
      <w:numFmt w:val="bullet"/>
      <w:lvlText w:val=""/>
      <w:lvlJc w:val="left"/>
      <w:pPr>
        <w:ind w:left="444" w:hanging="360"/>
      </w:pPr>
      <w:rPr>
        <w:rFonts w:hint="default" w:ascii="Symbol" w:hAnsi="Symbol" w:eastAsia="Symbol" w:cs="Symbol"/>
        <w:w w:val="100"/>
        <w:sz w:val="20"/>
        <w:szCs w:val="20"/>
        <w:lang w:val="en-us" w:eastAsia="en-us" w:bidi="en-us"/>
      </w:rPr>
    </w:lvl>
    <w:lvl w:ilvl="1">
      <w:start w:val="0"/>
      <w:numFmt w:val="bullet"/>
      <w:lvlText w:val="•"/>
      <w:lvlJc w:val="left"/>
      <w:pPr>
        <w:ind w:left="706" w:hanging="360"/>
      </w:pPr>
      <w:rPr>
        <w:rFonts w:hint="default"/>
        <w:lang w:val="en-us" w:eastAsia="en-us" w:bidi="en-us"/>
      </w:rPr>
    </w:lvl>
    <w:lvl w:ilvl="2">
      <w:start w:val="0"/>
      <w:numFmt w:val="bullet"/>
      <w:lvlText w:val="•"/>
      <w:lvlJc w:val="left"/>
      <w:pPr>
        <w:ind w:left="973" w:hanging="360"/>
      </w:pPr>
      <w:rPr>
        <w:rFonts w:hint="default"/>
        <w:lang w:val="en-us" w:eastAsia="en-us" w:bidi="en-us"/>
      </w:rPr>
    </w:lvl>
    <w:lvl w:ilvl="3">
      <w:start w:val="0"/>
      <w:numFmt w:val="bullet"/>
      <w:lvlText w:val="•"/>
      <w:lvlJc w:val="left"/>
      <w:pPr>
        <w:ind w:left="1240" w:hanging="360"/>
      </w:pPr>
      <w:rPr>
        <w:rFonts w:hint="default"/>
        <w:lang w:val="en-us" w:eastAsia="en-us" w:bidi="en-us"/>
      </w:rPr>
    </w:lvl>
    <w:lvl w:ilvl="4">
      <w:start w:val="0"/>
      <w:numFmt w:val="bullet"/>
      <w:lvlText w:val="•"/>
      <w:lvlJc w:val="left"/>
      <w:pPr>
        <w:ind w:left="1506" w:hanging="360"/>
      </w:pPr>
      <w:rPr>
        <w:rFonts w:hint="default"/>
        <w:lang w:val="en-us" w:eastAsia="en-us" w:bidi="en-us"/>
      </w:rPr>
    </w:lvl>
    <w:lvl w:ilvl="5">
      <w:start w:val="0"/>
      <w:numFmt w:val="bullet"/>
      <w:lvlText w:val="•"/>
      <w:lvlJc w:val="left"/>
      <w:pPr>
        <w:ind w:left="1773" w:hanging="360"/>
      </w:pPr>
      <w:rPr>
        <w:rFonts w:hint="default"/>
        <w:lang w:val="en-us" w:eastAsia="en-us" w:bidi="en-us"/>
      </w:rPr>
    </w:lvl>
    <w:lvl w:ilvl="6">
      <w:start w:val="0"/>
      <w:numFmt w:val="bullet"/>
      <w:lvlText w:val="•"/>
      <w:lvlJc w:val="left"/>
      <w:pPr>
        <w:ind w:left="2040" w:hanging="360"/>
      </w:pPr>
      <w:rPr>
        <w:rFonts w:hint="default"/>
        <w:lang w:val="en-us" w:eastAsia="en-us" w:bidi="en-us"/>
      </w:rPr>
    </w:lvl>
    <w:lvl w:ilvl="7">
      <w:start w:val="0"/>
      <w:numFmt w:val="bullet"/>
      <w:lvlText w:val="•"/>
      <w:lvlJc w:val="left"/>
      <w:pPr>
        <w:ind w:left="2306" w:hanging="360"/>
      </w:pPr>
      <w:rPr>
        <w:rFonts w:hint="default"/>
        <w:lang w:val="en-us" w:eastAsia="en-us" w:bidi="en-us"/>
      </w:rPr>
    </w:lvl>
    <w:lvl w:ilvl="8">
      <w:start w:val="0"/>
      <w:numFmt w:val="bullet"/>
      <w:lvlText w:val="•"/>
      <w:lvlJc w:val="left"/>
      <w:pPr>
        <w:ind w:left="2573" w:hanging="360"/>
      </w:pPr>
      <w:rPr>
        <w:rFonts w:hint="default"/>
        <w:lang w:val="en-us" w:eastAsia="en-us" w:bidi="en-us"/>
      </w:rPr>
    </w:lvl>
  </w:abstractNum>
  <w:abstractNum w:abstractNumId="22">
    <w:multiLevelType w:val="hybridMultilevel"/>
    <w:lvl w:ilvl="0">
      <w:start w:val="0"/>
      <w:numFmt w:val="bullet"/>
      <w:lvlText w:val=""/>
      <w:lvlJc w:val="left"/>
      <w:pPr>
        <w:ind w:left="464" w:hanging="360"/>
      </w:pPr>
      <w:rPr>
        <w:rFonts w:hint="default" w:ascii="Symbol" w:hAnsi="Symbol" w:eastAsia="Symbol" w:cs="Symbol"/>
        <w:w w:val="100"/>
        <w:sz w:val="20"/>
        <w:szCs w:val="20"/>
        <w:lang w:val="en-us" w:eastAsia="en-us" w:bidi="en-us"/>
      </w:rPr>
    </w:lvl>
    <w:lvl w:ilvl="1">
      <w:start w:val="0"/>
      <w:numFmt w:val="bullet"/>
      <w:lvlText w:val="•"/>
      <w:lvlJc w:val="left"/>
      <w:pPr>
        <w:ind w:left="726" w:hanging="360"/>
      </w:pPr>
      <w:rPr>
        <w:rFonts w:hint="default"/>
        <w:lang w:val="en-us" w:eastAsia="en-us" w:bidi="en-us"/>
      </w:rPr>
    </w:lvl>
    <w:lvl w:ilvl="2">
      <w:start w:val="0"/>
      <w:numFmt w:val="bullet"/>
      <w:lvlText w:val="•"/>
      <w:lvlJc w:val="left"/>
      <w:pPr>
        <w:ind w:left="993" w:hanging="360"/>
      </w:pPr>
      <w:rPr>
        <w:rFonts w:hint="default"/>
        <w:lang w:val="en-us" w:eastAsia="en-us" w:bidi="en-us"/>
      </w:rPr>
    </w:lvl>
    <w:lvl w:ilvl="3">
      <w:start w:val="0"/>
      <w:numFmt w:val="bullet"/>
      <w:lvlText w:val="•"/>
      <w:lvlJc w:val="left"/>
      <w:pPr>
        <w:ind w:left="1259" w:hanging="360"/>
      </w:pPr>
      <w:rPr>
        <w:rFonts w:hint="default"/>
        <w:lang w:val="en-us" w:eastAsia="en-us" w:bidi="en-us"/>
      </w:rPr>
    </w:lvl>
    <w:lvl w:ilvl="4">
      <w:start w:val="0"/>
      <w:numFmt w:val="bullet"/>
      <w:lvlText w:val="•"/>
      <w:lvlJc w:val="left"/>
      <w:pPr>
        <w:ind w:left="1526" w:hanging="360"/>
      </w:pPr>
      <w:rPr>
        <w:rFonts w:hint="default"/>
        <w:lang w:val="en-us" w:eastAsia="en-us" w:bidi="en-us"/>
      </w:rPr>
    </w:lvl>
    <w:lvl w:ilvl="5">
      <w:start w:val="0"/>
      <w:numFmt w:val="bullet"/>
      <w:lvlText w:val="•"/>
      <w:lvlJc w:val="left"/>
      <w:pPr>
        <w:ind w:left="1793" w:hanging="360"/>
      </w:pPr>
      <w:rPr>
        <w:rFonts w:hint="default"/>
        <w:lang w:val="en-us" w:eastAsia="en-us" w:bidi="en-us"/>
      </w:rPr>
    </w:lvl>
    <w:lvl w:ilvl="6">
      <w:start w:val="0"/>
      <w:numFmt w:val="bullet"/>
      <w:lvlText w:val="•"/>
      <w:lvlJc w:val="left"/>
      <w:pPr>
        <w:ind w:left="2059" w:hanging="360"/>
      </w:pPr>
      <w:rPr>
        <w:rFonts w:hint="default"/>
        <w:lang w:val="en-us" w:eastAsia="en-us" w:bidi="en-us"/>
      </w:rPr>
    </w:lvl>
    <w:lvl w:ilvl="7">
      <w:start w:val="0"/>
      <w:numFmt w:val="bullet"/>
      <w:lvlText w:val="•"/>
      <w:lvlJc w:val="left"/>
      <w:pPr>
        <w:ind w:left="2326" w:hanging="360"/>
      </w:pPr>
      <w:rPr>
        <w:rFonts w:hint="default"/>
        <w:lang w:val="en-us" w:eastAsia="en-us" w:bidi="en-us"/>
      </w:rPr>
    </w:lvl>
    <w:lvl w:ilvl="8">
      <w:start w:val="0"/>
      <w:numFmt w:val="bullet"/>
      <w:lvlText w:val="•"/>
      <w:lvlJc w:val="left"/>
      <w:pPr>
        <w:ind w:left="2592" w:hanging="360"/>
      </w:pPr>
      <w:rPr>
        <w:rFonts w:hint="default"/>
        <w:lang w:val="en-us" w:eastAsia="en-us" w:bidi="en-us"/>
      </w:rPr>
    </w:lvl>
  </w:abstractNum>
  <w:abstractNum w:abstractNumId="21">
    <w:multiLevelType w:val="hybridMultilevel"/>
    <w:lvl w:ilvl="0">
      <w:start w:val="0"/>
      <w:numFmt w:val="bullet"/>
      <w:lvlText w:val=""/>
      <w:lvlJc w:val="left"/>
      <w:pPr>
        <w:ind w:left="443" w:hanging="360"/>
      </w:pPr>
      <w:rPr>
        <w:rFonts w:hint="default" w:ascii="Symbol" w:hAnsi="Symbol" w:eastAsia="Symbol" w:cs="Symbol"/>
        <w:w w:val="100"/>
        <w:sz w:val="20"/>
        <w:szCs w:val="20"/>
        <w:lang w:val="en-us" w:eastAsia="en-us" w:bidi="en-us"/>
      </w:rPr>
    </w:lvl>
    <w:lvl w:ilvl="1">
      <w:start w:val="0"/>
      <w:numFmt w:val="bullet"/>
      <w:lvlText w:val="•"/>
      <w:lvlJc w:val="left"/>
      <w:pPr>
        <w:ind w:left="707" w:hanging="360"/>
      </w:pPr>
      <w:rPr>
        <w:rFonts w:hint="default"/>
        <w:lang w:val="en-us" w:eastAsia="en-us" w:bidi="en-us"/>
      </w:rPr>
    </w:lvl>
    <w:lvl w:ilvl="2">
      <w:start w:val="0"/>
      <w:numFmt w:val="bullet"/>
      <w:lvlText w:val="•"/>
      <w:lvlJc w:val="left"/>
      <w:pPr>
        <w:ind w:left="974" w:hanging="360"/>
      </w:pPr>
      <w:rPr>
        <w:rFonts w:hint="default"/>
        <w:lang w:val="en-us" w:eastAsia="en-us" w:bidi="en-us"/>
      </w:rPr>
    </w:lvl>
    <w:lvl w:ilvl="3">
      <w:start w:val="0"/>
      <w:numFmt w:val="bullet"/>
      <w:lvlText w:val="•"/>
      <w:lvlJc w:val="left"/>
      <w:pPr>
        <w:ind w:left="1241" w:hanging="360"/>
      </w:pPr>
      <w:rPr>
        <w:rFonts w:hint="default"/>
        <w:lang w:val="en-us" w:eastAsia="en-us" w:bidi="en-us"/>
      </w:rPr>
    </w:lvl>
    <w:lvl w:ilvl="4">
      <w:start w:val="0"/>
      <w:numFmt w:val="bullet"/>
      <w:lvlText w:val="•"/>
      <w:lvlJc w:val="left"/>
      <w:pPr>
        <w:ind w:left="1509" w:hanging="360"/>
      </w:pPr>
      <w:rPr>
        <w:rFonts w:hint="default"/>
        <w:lang w:val="en-us" w:eastAsia="en-us" w:bidi="en-us"/>
      </w:rPr>
    </w:lvl>
    <w:lvl w:ilvl="5">
      <w:start w:val="0"/>
      <w:numFmt w:val="bullet"/>
      <w:lvlText w:val="•"/>
      <w:lvlJc w:val="left"/>
      <w:pPr>
        <w:ind w:left="1776" w:hanging="360"/>
      </w:pPr>
      <w:rPr>
        <w:rFonts w:hint="default"/>
        <w:lang w:val="en-us" w:eastAsia="en-us" w:bidi="en-us"/>
      </w:rPr>
    </w:lvl>
    <w:lvl w:ilvl="6">
      <w:start w:val="0"/>
      <w:numFmt w:val="bullet"/>
      <w:lvlText w:val="•"/>
      <w:lvlJc w:val="left"/>
      <w:pPr>
        <w:ind w:left="2043" w:hanging="360"/>
      </w:pPr>
      <w:rPr>
        <w:rFonts w:hint="default"/>
        <w:lang w:val="en-us" w:eastAsia="en-us" w:bidi="en-us"/>
      </w:rPr>
    </w:lvl>
    <w:lvl w:ilvl="7">
      <w:start w:val="0"/>
      <w:numFmt w:val="bullet"/>
      <w:lvlText w:val="•"/>
      <w:lvlJc w:val="left"/>
      <w:pPr>
        <w:ind w:left="2311" w:hanging="360"/>
      </w:pPr>
      <w:rPr>
        <w:rFonts w:hint="default"/>
        <w:lang w:val="en-us" w:eastAsia="en-us" w:bidi="en-us"/>
      </w:rPr>
    </w:lvl>
    <w:lvl w:ilvl="8">
      <w:start w:val="0"/>
      <w:numFmt w:val="bullet"/>
      <w:lvlText w:val="•"/>
      <w:lvlJc w:val="left"/>
      <w:pPr>
        <w:ind w:left="2578" w:hanging="360"/>
      </w:pPr>
      <w:rPr>
        <w:rFonts w:hint="default"/>
        <w:lang w:val="en-us" w:eastAsia="en-us" w:bidi="en-us"/>
      </w:rPr>
    </w:lvl>
  </w:abstractNum>
  <w:abstractNum w:abstractNumId="20">
    <w:multiLevelType w:val="hybridMultilevel"/>
    <w:lvl w:ilvl="0">
      <w:start w:val="0"/>
      <w:numFmt w:val="bullet"/>
      <w:lvlText w:val=""/>
      <w:lvlJc w:val="left"/>
      <w:pPr>
        <w:ind w:left="444" w:hanging="360"/>
      </w:pPr>
      <w:rPr>
        <w:rFonts w:hint="default" w:ascii="Symbol" w:hAnsi="Symbol" w:eastAsia="Symbol" w:cs="Symbol"/>
        <w:w w:val="100"/>
        <w:sz w:val="20"/>
        <w:szCs w:val="20"/>
        <w:lang w:val="en-us" w:eastAsia="en-us" w:bidi="en-us"/>
      </w:rPr>
    </w:lvl>
    <w:lvl w:ilvl="1">
      <w:start w:val="0"/>
      <w:numFmt w:val="bullet"/>
      <w:lvlText w:val="•"/>
      <w:lvlJc w:val="left"/>
      <w:pPr>
        <w:ind w:left="706" w:hanging="360"/>
      </w:pPr>
      <w:rPr>
        <w:rFonts w:hint="default"/>
        <w:lang w:val="en-us" w:eastAsia="en-us" w:bidi="en-us"/>
      </w:rPr>
    </w:lvl>
    <w:lvl w:ilvl="2">
      <w:start w:val="0"/>
      <w:numFmt w:val="bullet"/>
      <w:lvlText w:val="•"/>
      <w:lvlJc w:val="left"/>
      <w:pPr>
        <w:ind w:left="973" w:hanging="360"/>
      </w:pPr>
      <w:rPr>
        <w:rFonts w:hint="default"/>
        <w:lang w:val="en-us" w:eastAsia="en-us" w:bidi="en-us"/>
      </w:rPr>
    </w:lvl>
    <w:lvl w:ilvl="3">
      <w:start w:val="0"/>
      <w:numFmt w:val="bullet"/>
      <w:lvlText w:val="•"/>
      <w:lvlJc w:val="left"/>
      <w:pPr>
        <w:ind w:left="1240" w:hanging="360"/>
      </w:pPr>
      <w:rPr>
        <w:rFonts w:hint="default"/>
        <w:lang w:val="en-us" w:eastAsia="en-us" w:bidi="en-us"/>
      </w:rPr>
    </w:lvl>
    <w:lvl w:ilvl="4">
      <w:start w:val="0"/>
      <w:numFmt w:val="bullet"/>
      <w:lvlText w:val="•"/>
      <w:lvlJc w:val="left"/>
      <w:pPr>
        <w:ind w:left="1506" w:hanging="360"/>
      </w:pPr>
      <w:rPr>
        <w:rFonts w:hint="default"/>
        <w:lang w:val="en-us" w:eastAsia="en-us" w:bidi="en-us"/>
      </w:rPr>
    </w:lvl>
    <w:lvl w:ilvl="5">
      <w:start w:val="0"/>
      <w:numFmt w:val="bullet"/>
      <w:lvlText w:val="•"/>
      <w:lvlJc w:val="left"/>
      <w:pPr>
        <w:ind w:left="1773" w:hanging="360"/>
      </w:pPr>
      <w:rPr>
        <w:rFonts w:hint="default"/>
        <w:lang w:val="en-us" w:eastAsia="en-us" w:bidi="en-us"/>
      </w:rPr>
    </w:lvl>
    <w:lvl w:ilvl="6">
      <w:start w:val="0"/>
      <w:numFmt w:val="bullet"/>
      <w:lvlText w:val="•"/>
      <w:lvlJc w:val="left"/>
      <w:pPr>
        <w:ind w:left="2040" w:hanging="360"/>
      </w:pPr>
      <w:rPr>
        <w:rFonts w:hint="default"/>
        <w:lang w:val="en-us" w:eastAsia="en-us" w:bidi="en-us"/>
      </w:rPr>
    </w:lvl>
    <w:lvl w:ilvl="7">
      <w:start w:val="0"/>
      <w:numFmt w:val="bullet"/>
      <w:lvlText w:val="•"/>
      <w:lvlJc w:val="left"/>
      <w:pPr>
        <w:ind w:left="2306" w:hanging="360"/>
      </w:pPr>
      <w:rPr>
        <w:rFonts w:hint="default"/>
        <w:lang w:val="en-us" w:eastAsia="en-us" w:bidi="en-us"/>
      </w:rPr>
    </w:lvl>
    <w:lvl w:ilvl="8">
      <w:start w:val="0"/>
      <w:numFmt w:val="bullet"/>
      <w:lvlText w:val="•"/>
      <w:lvlJc w:val="left"/>
      <w:pPr>
        <w:ind w:left="2573" w:hanging="360"/>
      </w:pPr>
      <w:rPr>
        <w:rFonts w:hint="default"/>
        <w:lang w:val="en-us" w:eastAsia="en-us" w:bidi="en-us"/>
      </w:rPr>
    </w:lvl>
  </w:abstractNum>
  <w:abstractNum w:abstractNumId="19">
    <w:multiLevelType w:val="hybridMultilevel"/>
    <w:lvl w:ilvl="0">
      <w:start w:val="0"/>
      <w:numFmt w:val="bullet"/>
      <w:lvlText w:val=""/>
      <w:lvlJc w:val="left"/>
      <w:pPr>
        <w:ind w:left="464" w:hanging="360"/>
      </w:pPr>
      <w:rPr>
        <w:rFonts w:hint="default" w:ascii="Symbol" w:hAnsi="Symbol" w:eastAsia="Symbol" w:cs="Symbol"/>
        <w:w w:val="100"/>
        <w:sz w:val="20"/>
        <w:szCs w:val="20"/>
        <w:lang w:val="en-us" w:eastAsia="en-us" w:bidi="en-us"/>
      </w:rPr>
    </w:lvl>
    <w:lvl w:ilvl="1">
      <w:start w:val="0"/>
      <w:numFmt w:val="bullet"/>
      <w:lvlText w:val="•"/>
      <w:lvlJc w:val="left"/>
      <w:pPr>
        <w:ind w:left="726" w:hanging="360"/>
      </w:pPr>
      <w:rPr>
        <w:rFonts w:hint="default"/>
        <w:lang w:val="en-us" w:eastAsia="en-us" w:bidi="en-us"/>
      </w:rPr>
    </w:lvl>
    <w:lvl w:ilvl="2">
      <w:start w:val="0"/>
      <w:numFmt w:val="bullet"/>
      <w:lvlText w:val="•"/>
      <w:lvlJc w:val="left"/>
      <w:pPr>
        <w:ind w:left="993" w:hanging="360"/>
      </w:pPr>
      <w:rPr>
        <w:rFonts w:hint="default"/>
        <w:lang w:val="en-us" w:eastAsia="en-us" w:bidi="en-us"/>
      </w:rPr>
    </w:lvl>
    <w:lvl w:ilvl="3">
      <w:start w:val="0"/>
      <w:numFmt w:val="bullet"/>
      <w:lvlText w:val="•"/>
      <w:lvlJc w:val="left"/>
      <w:pPr>
        <w:ind w:left="1259" w:hanging="360"/>
      </w:pPr>
      <w:rPr>
        <w:rFonts w:hint="default"/>
        <w:lang w:val="en-us" w:eastAsia="en-us" w:bidi="en-us"/>
      </w:rPr>
    </w:lvl>
    <w:lvl w:ilvl="4">
      <w:start w:val="0"/>
      <w:numFmt w:val="bullet"/>
      <w:lvlText w:val="•"/>
      <w:lvlJc w:val="left"/>
      <w:pPr>
        <w:ind w:left="1526" w:hanging="360"/>
      </w:pPr>
      <w:rPr>
        <w:rFonts w:hint="default"/>
        <w:lang w:val="en-us" w:eastAsia="en-us" w:bidi="en-us"/>
      </w:rPr>
    </w:lvl>
    <w:lvl w:ilvl="5">
      <w:start w:val="0"/>
      <w:numFmt w:val="bullet"/>
      <w:lvlText w:val="•"/>
      <w:lvlJc w:val="left"/>
      <w:pPr>
        <w:ind w:left="1793" w:hanging="360"/>
      </w:pPr>
      <w:rPr>
        <w:rFonts w:hint="default"/>
        <w:lang w:val="en-us" w:eastAsia="en-us" w:bidi="en-us"/>
      </w:rPr>
    </w:lvl>
    <w:lvl w:ilvl="6">
      <w:start w:val="0"/>
      <w:numFmt w:val="bullet"/>
      <w:lvlText w:val="•"/>
      <w:lvlJc w:val="left"/>
      <w:pPr>
        <w:ind w:left="2059" w:hanging="360"/>
      </w:pPr>
      <w:rPr>
        <w:rFonts w:hint="default"/>
        <w:lang w:val="en-us" w:eastAsia="en-us" w:bidi="en-us"/>
      </w:rPr>
    </w:lvl>
    <w:lvl w:ilvl="7">
      <w:start w:val="0"/>
      <w:numFmt w:val="bullet"/>
      <w:lvlText w:val="•"/>
      <w:lvlJc w:val="left"/>
      <w:pPr>
        <w:ind w:left="2326" w:hanging="360"/>
      </w:pPr>
      <w:rPr>
        <w:rFonts w:hint="default"/>
        <w:lang w:val="en-us" w:eastAsia="en-us" w:bidi="en-us"/>
      </w:rPr>
    </w:lvl>
    <w:lvl w:ilvl="8">
      <w:start w:val="0"/>
      <w:numFmt w:val="bullet"/>
      <w:lvlText w:val="•"/>
      <w:lvlJc w:val="left"/>
      <w:pPr>
        <w:ind w:left="2592" w:hanging="360"/>
      </w:pPr>
      <w:rPr>
        <w:rFonts w:hint="default"/>
        <w:lang w:val="en-us" w:eastAsia="en-us" w:bidi="en-us"/>
      </w:rPr>
    </w:lvl>
  </w:abstractNum>
  <w:abstractNum w:abstractNumId="18">
    <w:multiLevelType w:val="hybridMultilevel"/>
    <w:lvl w:ilvl="0">
      <w:start w:val="0"/>
      <w:numFmt w:val="bullet"/>
      <w:lvlText w:val=""/>
      <w:lvlJc w:val="left"/>
      <w:pPr>
        <w:ind w:left="466" w:hanging="360"/>
      </w:pPr>
      <w:rPr>
        <w:rFonts w:hint="default" w:ascii="Symbol" w:hAnsi="Symbol" w:eastAsia="Symbol" w:cs="Symbol"/>
        <w:w w:val="100"/>
        <w:sz w:val="20"/>
        <w:szCs w:val="20"/>
        <w:lang w:val="en-us" w:eastAsia="en-us" w:bidi="en-us"/>
      </w:rPr>
    </w:lvl>
    <w:lvl w:ilvl="1">
      <w:start w:val="0"/>
      <w:numFmt w:val="bullet"/>
      <w:lvlText w:val="•"/>
      <w:lvlJc w:val="left"/>
      <w:pPr>
        <w:ind w:left="725" w:hanging="360"/>
      </w:pPr>
      <w:rPr>
        <w:rFonts w:hint="default"/>
        <w:lang w:val="en-us" w:eastAsia="en-us" w:bidi="en-us"/>
      </w:rPr>
    </w:lvl>
    <w:lvl w:ilvl="2">
      <w:start w:val="0"/>
      <w:numFmt w:val="bullet"/>
      <w:lvlText w:val="•"/>
      <w:lvlJc w:val="left"/>
      <w:pPr>
        <w:ind w:left="990" w:hanging="360"/>
      </w:pPr>
      <w:rPr>
        <w:rFonts w:hint="default"/>
        <w:lang w:val="en-us" w:eastAsia="en-us" w:bidi="en-us"/>
      </w:rPr>
    </w:lvl>
    <w:lvl w:ilvl="3">
      <w:start w:val="0"/>
      <w:numFmt w:val="bullet"/>
      <w:lvlText w:val="•"/>
      <w:lvlJc w:val="left"/>
      <w:pPr>
        <w:ind w:left="1255" w:hanging="360"/>
      </w:pPr>
      <w:rPr>
        <w:rFonts w:hint="default"/>
        <w:lang w:val="en-us" w:eastAsia="en-us" w:bidi="en-us"/>
      </w:rPr>
    </w:lvl>
    <w:lvl w:ilvl="4">
      <w:start w:val="0"/>
      <w:numFmt w:val="bullet"/>
      <w:lvlText w:val="•"/>
      <w:lvlJc w:val="left"/>
      <w:pPr>
        <w:ind w:left="1521" w:hanging="360"/>
      </w:pPr>
      <w:rPr>
        <w:rFonts w:hint="default"/>
        <w:lang w:val="en-us" w:eastAsia="en-us" w:bidi="en-us"/>
      </w:rPr>
    </w:lvl>
    <w:lvl w:ilvl="5">
      <w:start w:val="0"/>
      <w:numFmt w:val="bullet"/>
      <w:lvlText w:val="•"/>
      <w:lvlJc w:val="left"/>
      <w:pPr>
        <w:ind w:left="1786" w:hanging="360"/>
      </w:pPr>
      <w:rPr>
        <w:rFonts w:hint="default"/>
        <w:lang w:val="en-us" w:eastAsia="en-us" w:bidi="en-us"/>
      </w:rPr>
    </w:lvl>
    <w:lvl w:ilvl="6">
      <w:start w:val="0"/>
      <w:numFmt w:val="bullet"/>
      <w:lvlText w:val="•"/>
      <w:lvlJc w:val="left"/>
      <w:pPr>
        <w:ind w:left="2051" w:hanging="360"/>
      </w:pPr>
      <w:rPr>
        <w:rFonts w:hint="default"/>
        <w:lang w:val="en-us" w:eastAsia="en-us" w:bidi="en-us"/>
      </w:rPr>
    </w:lvl>
    <w:lvl w:ilvl="7">
      <w:start w:val="0"/>
      <w:numFmt w:val="bullet"/>
      <w:lvlText w:val="•"/>
      <w:lvlJc w:val="left"/>
      <w:pPr>
        <w:ind w:left="2317" w:hanging="360"/>
      </w:pPr>
      <w:rPr>
        <w:rFonts w:hint="default"/>
        <w:lang w:val="en-us" w:eastAsia="en-us" w:bidi="en-us"/>
      </w:rPr>
    </w:lvl>
    <w:lvl w:ilvl="8">
      <w:start w:val="0"/>
      <w:numFmt w:val="bullet"/>
      <w:lvlText w:val="•"/>
      <w:lvlJc w:val="left"/>
      <w:pPr>
        <w:ind w:left="2582" w:hanging="360"/>
      </w:pPr>
      <w:rPr>
        <w:rFonts w:hint="default"/>
        <w:lang w:val="en-us" w:eastAsia="en-us" w:bidi="en-us"/>
      </w:rPr>
    </w:lvl>
  </w:abstractNum>
  <w:abstractNum w:abstractNumId="17">
    <w:multiLevelType w:val="hybridMultilevel"/>
    <w:lvl w:ilvl="0">
      <w:start w:val="0"/>
      <w:numFmt w:val="bullet"/>
      <w:lvlText w:val=""/>
      <w:lvlJc w:val="left"/>
      <w:pPr>
        <w:ind w:left="467" w:hanging="360"/>
      </w:pPr>
      <w:rPr>
        <w:rFonts w:hint="default" w:ascii="Symbol" w:hAnsi="Symbol" w:eastAsia="Symbol" w:cs="Symbol"/>
        <w:w w:val="100"/>
        <w:sz w:val="20"/>
        <w:szCs w:val="20"/>
        <w:lang w:val="en-us" w:eastAsia="en-us" w:bidi="en-us"/>
      </w:rPr>
    </w:lvl>
    <w:lvl w:ilvl="1">
      <w:start w:val="0"/>
      <w:numFmt w:val="bullet"/>
      <w:lvlText w:val="•"/>
      <w:lvlJc w:val="left"/>
      <w:pPr>
        <w:ind w:left="724" w:hanging="360"/>
      </w:pPr>
      <w:rPr>
        <w:rFonts w:hint="default"/>
        <w:lang w:val="en-us" w:eastAsia="en-us" w:bidi="en-us"/>
      </w:rPr>
    </w:lvl>
    <w:lvl w:ilvl="2">
      <w:start w:val="0"/>
      <w:numFmt w:val="bullet"/>
      <w:lvlText w:val="•"/>
      <w:lvlJc w:val="left"/>
      <w:pPr>
        <w:ind w:left="989" w:hanging="360"/>
      </w:pPr>
      <w:rPr>
        <w:rFonts w:hint="default"/>
        <w:lang w:val="en-us" w:eastAsia="en-us" w:bidi="en-us"/>
      </w:rPr>
    </w:lvl>
    <w:lvl w:ilvl="3">
      <w:start w:val="0"/>
      <w:numFmt w:val="bullet"/>
      <w:lvlText w:val="•"/>
      <w:lvlJc w:val="left"/>
      <w:pPr>
        <w:ind w:left="1254" w:hanging="360"/>
      </w:pPr>
      <w:rPr>
        <w:rFonts w:hint="default"/>
        <w:lang w:val="en-us" w:eastAsia="en-us" w:bidi="en-us"/>
      </w:rPr>
    </w:lvl>
    <w:lvl w:ilvl="4">
      <w:start w:val="0"/>
      <w:numFmt w:val="bullet"/>
      <w:lvlText w:val="•"/>
      <w:lvlJc w:val="left"/>
      <w:pPr>
        <w:ind w:left="1518" w:hanging="360"/>
      </w:pPr>
      <w:rPr>
        <w:rFonts w:hint="default"/>
        <w:lang w:val="en-us" w:eastAsia="en-us" w:bidi="en-us"/>
      </w:rPr>
    </w:lvl>
    <w:lvl w:ilvl="5">
      <w:start w:val="0"/>
      <w:numFmt w:val="bullet"/>
      <w:lvlText w:val="•"/>
      <w:lvlJc w:val="left"/>
      <w:pPr>
        <w:ind w:left="1783" w:hanging="360"/>
      </w:pPr>
      <w:rPr>
        <w:rFonts w:hint="default"/>
        <w:lang w:val="en-us" w:eastAsia="en-us" w:bidi="en-us"/>
      </w:rPr>
    </w:lvl>
    <w:lvl w:ilvl="6">
      <w:start w:val="0"/>
      <w:numFmt w:val="bullet"/>
      <w:lvlText w:val="•"/>
      <w:lvlJc w:val="left"/>
      <w:pPr>
        <w:ind w:left="2048" w:hanging="360"/>
      </w:pPr>
      <w:rPr>
        <w:rFonts w:hint="default"/>
        <w:lang w:val="en-us" w:eastAsia="en-us" w:bidi="en-us"/>
      </w:rPr>
    </w:lvl>
    <w:lvl w:ilvl="7">
      <w:start w:val="0"/>
      <w:numFmt w:val="bullet"/>
      <w:lvlText w:val="•"/>
      <w:lvlJc w:val="left"/>
      <w:pPr>
        <w:ind w:left="2312" w:hanging="360"/>
      </w:pPr>
      <w:rPr>
        <w:rFonts w:hint="default"/>
        <w:lang w:val="en-us" w:eastAsia="en-us" w:bidi="en-us"/>
      </w:rPr>
    </w:lvl>
    <w:lvl w:ilvl="8">
      <w:start w:val="0"/>
      <w:numFmt w:val="bullet"/>
      <w:lvlText w:val="•"/>
      <w:lvlJc w:val="left"/>
      <w:pPr>
        <w:ind w:left="2577" w:hanging="360"/>
      </w:pPr>
      <w:rPr>
        <w:rFonts w:hint="default"/>
        <w:lang w:val="en-us" w:eastAsia="en-us" w:bidi="en-us"/>
      </w:rPr>
    </w:lvl>
  </w:abstractNum>
  <w:abstractNum w:abstractNumId="16">
    <w:multiLevelType w:val="hybridMultilevel"/>
    <w:lvl w:ilvl="0">
      <w:start w:val="0"/>
      <w:numFmt w:val="bullet"/>
      <w:lvlText w:val=""/>
      <w:lvlJc w:val="left"/>
      <w:pPr>
        <w:ind w:left="487" w:hanging="360"/>
      </w:pPr>
      <w:rPr>
        <w:rFonts w:hint="default" w:ascii="Symbol" w:hAnsi="Symbol" w:eastAsia="Symbol" w:cs="Symbol"/>
        <w:w w:val="100"/>
        <w:sz w:val="20"/>
        <w:szCs w:val="20"/>
        <w:lang w:val="en-us" w:eastAsia="en-us" w:bidi="en-us"/>
      </w:rPr>
    </w:lvl>
    <w:lvl w:ilvl="1">
      <w:start w:val="0"/>
      <w:numFmt w:val="bullet"/>
      <w:lvlText w:val="•"/>
      <w:lvlJc w:val="left"/>
      <w:pPr>
        <w:ind w:left="744" w:hanging="360"/>
      </w:pPr>
      <w:rPr>
        <w:rFonts w:hint="default"/>
        <w:lang w:val="en-us" w:eastAsia="en-us" w:bidi="en-us"/>
      </w:rPr>
    </w:lvl>
    <w:lvl w:ilvl="2">
      <w:start w:val="0"/>
      <w:numFmt w:val="bullet"/>
      <w:lvlText w:val="•"/>
      <w:lvlJc w:val="left"/>
      <w:pPr>
        <w:ind w:left="1009" w:hanging="360"/>
      </w:pPr>
      <w:rPr>
        <w:rFonts w:hint="default"/>
        <w:lang w:val="en-us" w:eastAsia="en-us" w:bidi="en-us"/>
      </w:rPr>
    </w:lvl>
    <w:lvl w:ilvl="3">
      <w:start w:val="0"/>
      <w:numFmt w:val="bullet"/>
      <w:lvlText w:val="•"/>
      <w:lvlJc w:val="left"/>
      <w:pPr>
        <w:ind w:left="1273" w:hanging="360"/>
      </w:pPr>
      <w:rPr>
        <w:rFonts w:hint="default"/>
        <w:lang w:val="en-us" w:eastAsia="en-us" w:bidi="en-us"/>
      </w:rPr>
    </w:lvl>
    <w:lvl w:ilvl="4">
      <w:start w:val="0"/>
      <w:numFmt w:val="bullet"/>
      <w:lvlText w:val="•"/>
      <w:lvlJc w:val="left"/>
      <w:pPr>
        <w:ind w:left="1538" w:hanging="360"/>
      </w:pPr>
      <w:rPr>
        <w:rFonts w:hint="default"/>
        <w:lang w:val="en-us" w:eastAsia="en-us" w:bidi="en-us"/>
      </w:rPr>
    </w:lvl>
    <w:lvl w:ilvl="5">
      <w:start w:val="0"/>
      <w:numFmt w:val="bullet"/>
      <w:lvlText w:val="•"/>
      <w:lvlJc w:val="left"/>
      <w:pPr>
        <w:ind w:left="1803" w:hanging="360"/>
      </w:pPr>
      <w:rPr>
        <w:rFonts w:hint="default"/>
        <w:lang w:val="en-us" w:eastAsia="en-us" w:bidi="en-us"/>
      </w:rPr>
    </w:lvl>
    <w:lvl w:ilvl="6">
      <w:start w:val="0"/>
      <w:numFmt w:val="bullet"/>
      <w:lvlText w:val="•"/>
      <w:lvlJc w:val="left"/>
      <w:pPr>
        <w:ind w:left="2067" w:hanging="360"/>
      </w:pPr>
      <w:rPr>
        <w:rFonts w:hint="default"/>
        <w:lang w:val="en-us" w:eastAsia="en-us" w:bidi="en-us"/>
      </w:rPr>
    </w:lvl>
    <w:lvl w:ilvl="7">
      <w:start w:val="0"/>
      <w:numFmt w:val="bullet"/>
      <w:lvlText w:val="•"/>
      <w:lvlJc w:val="left"/>
      <w:pPr>
        <w:ind w:left="2332" w:hanging="360"/>
      </w:pPr>
      <w:rPr>
        <w:rFonts w:hint="default"/>
        <w:lang w:val="en-us" w:eastAsia="en-us" w:bidi="en-us"/>
      </w:rPr>
    </w:lvl>
    <w:lvl w:ilvl="8">
      <w:start w:val="0"/>
      <w:numFmt w:val="bullet"/>
      <w:lvlText w:val="•"/>
      <w:lvlJc w:val="left"/>
      <w:pPr>
        <w:ind w:left="2596" w:hanging="360"/>
      </w:pPr>
      <w:rPr>
        <w:rFonts w:hint="default"/>
        <w:lang w:val="en-us" w:eastAsia="en-us" w:bidi="en-us"/>
      </w:rPr>
    </w:lvl>
  </w:abstractNum>
  <w:abstractNum w:abstractNumId="15">
    <w:multiLevelType w:val="hybridMultilevel"/>
    <w:lvl w:ilvl="0">
      <w:start w:val="0"/>
      <w:numFmt w:val="bullet"/>
      <w:lvlText w:val=""/>
      <w:lvlJc w:val="left"/>
      <w:pPr>
        <w:ind w:left="466" w:hanging="360"/>
      </w:pPr>
      <w:rPr>
        <w:rFonts w:hint="default" w:ascii="Symbol" w:hAnsi="Symbol" w:eastAsia="Symbol" w:cs="Symbol"/>
        <w:w w:val="100"/>
        <w:sz w:val="20"/>
        <w:szCs w:val="20"/>
        <w:lang w:val="en-us" w:eastAsia="en-us" w:bidi="en-us"/>
      </w:rPr>
    </w:lvl>
    <w:lvl w:ilvl="1">
      <w:start w:val="0"/>
      <w:numFmt w:val="bullet"/>
      <w:lvlText w:val="•"/>
      <w:lvlJc w:val="left"/>
      <w:pPr>
        <w:ind w:left="725" w:hanging="360"/>
      </w:pPr>
      <w:rPr>
        <w:rFonts w:hint="default"/>
        <w:lang w:val="en-us" w:eastAsia="en-us" w:bidi="en-us"/>
      </w:rPr>
    </w:lvl>
    <w:lvl w:ilvl="2">
      <w:start w:val="0"/>
      <w:numFmt w:val="bullet"/>
      <w:lvlText w:val="•"/>
      <w:lvlJc w:val="left"/>
      <w:pPr>
        <w:ind w:left="990" w:hanging="360"/>
      </w:pPr>
      <w:rPr>
        <w:rFonts w:hint="default"/>
        <w:lang w:val="en-us" w:eastAsia="en-us" w:bidi="en-us"/>
      </w:rPr>
    </w:lvl>
    <w:lvl w:ilvl="3">
      <w:start w:val="0"/>
      <w:numFmt w:val="bullet"/>
      <w:lvlText w:val="•"/>
      <w:lvlJc w:val="left"/>
      <w:pPr>
        <w:ind w:left="1255" w:hanging="360"/>
      </w:pPr>
      <w:rPr>
        <w:rFonts w:hint="default"/>
        <w:lang w:val="en-us" w:eastAsia="en-us" w:bidi="en-us"/>
      </w:rPr>
    </w:lvl>
    <w:lvl w:ilvl="4">
      <w:start w:val="0"/>
      <w:numFmt w:val="bullet"/>
      <w:lvlText w:val="•"/>
      <w:lvlJc w:val="left"/>
      <w:pPr>
        <w:ind w:left="1521" w:hanging="360"/>
      </w:pPr>
      <w:rPr>
        <w:rFonts w:hint="default"/>
        <w:lang w:val="en-us" w:eastAsia="en-us" w:bidi="en-us"/>
      </w:rPr>
    </w:lvl>
    <w:lvl w:ilvl="5">
      <w:start w:val="0"/>
      <w:numFmt w:val="bullet"/>
      <w:lvlText w:val="•"/>
      <w:lvlJc w:val="left"/>
      <w:pPr>
        <w:ind w:left="1786" w:hanging="360"/>
      </w:pPr>
      <w:rPr>
        <w:rFonts w:hint="default"/>
        <w:lang w:val="en-us" w:eastAsia="en-us" w:bidi="en-us"/>
      </w:rPr>
    </w:lvl>
    <w:lvl w:ilvl="6">
      <w:start w:val="0"/>
      <w:numFmt w:val="bullet"/>
      <w:lvlText w:val="•"/>
      <w:lvlJc w:val="left"/>
      <w:pPr>
        <w:ind w:left="2051" w:hanging="360"/>
      </w:pPr>
      <w:rPr>
        <w:rFonts w:hint="default"/>
        <w:lang w:val="en-us" w:eastAsia="en-us" w:bidi="en-us"/>
      </w:rPr>
    </w:lvl>
    <w:lvl w:ilvl="7">
      <w:start w:val="0"/>
      <w:numFmt w:val="bullet"/>
      <w:lvlText w:val="•"/>
      <w:lvlJc w:val="left"/>
      <w:pPr>
        <w:ind w:left="2317" w:hanging="360"/>
      </w:pPr>
      <w:rPr>
        <w:rFonts w:hint="default"/>
        <w:lang w:val="en-us" w:eastAsia="en-us" w:bidi="en-us"/>
      </w:rPr>
    </w:lvl>
    <w:lvl w:ilvl="8">
      <w:start w:val="0"/>
      <w:numFmt w:val="bullet"/>
      <w:lvlText w:val="•"/>
      <w:lvlJc w:val="left"/>
      <w:pPr>
        <w:ind w:left="2582" w:hanging="360"/>
      </w:pPr>
      <w:rPr>
        <w:rFonts w:hint="default"/>
        <w:lang w:val="en-us" w:eastAsia="en-us" w:bidi="en-us"/>
      </w:rPr>
    </w:lvl>
  </w:abstractNum>
  <w:abstractNum w:abstractNumId="14">
    <w:multiLevelType w:val="hybridMultilevel"/>
    <w:lvl w:ilvl="0">
      <w:start w:val="0"/>
      <w:numFmt w:val="bullet"/>
      <w:lvlText w:val=""/>
      <w:lvlJc w:val="left"/>
      <w:pPr>
        <w:ind w:left="467" w:hanging="360"/>
      </w:pPr>
      <w:rPr>
        <w:rFonts w:hint="default" w:ascii="Symbol" w:hAnsi="Symbol" w:eastAsia="Symbol" w:cs="Symbol"/>
        <w:w w:val="100"/>
        <w:sz w:val="20"/>
        <w:szCs w:val="20"/>
        <w:lang w:val="en-us" w:eastAsia="en-us" w:bidi="en-us"/>
      </w:rPr>
    </w:lvl>
    <w:lvl w:ilvl="1">
      <w:start w:val="0"/>
      <w:numFmt w:val="bullet"/>
      <w:lvlText w:val="•"/>
      <w:lvlJc w:val="left"/>
      <w:pPr>
        <w:ind w:left="724" w:hanging="360"/>
      </w:pPr>
      <w:rPr>
        <w:rFonts w:hint="default"/>
        <w:lang w:val="en-us" w:eastAsia="en-us" w:bidi="en-us"/>
      </w:rPr>
    </w:lvl>
    <w:lvl w:ilvl="2">
      <w:start w:val="0"/>
      <w:numFmt w:val="bullet"/>
      <w:lvlText w:val="•"/>
      <w:lvlJc w:val="left"/>
      <w:pPr>
        <w:ind w:left="989" w:hanging="360"/>
      </w:pPr>
      <w:rPr>
        <w:rFonts w:hint="default"/>
        <w:lang w:val="en-us" w:eastAsia="en-us" w:bidi="en-us"/>
      </w:rPr>
    </w:lvl>
    <w:lvl w:ilvl="3">
      <w:start w:val="0"/>
      <w:numFmt w:val="bullet"/>
      <w:lvlText w:val="•"/>
      <w:lvlJc w:val="left"/>
      <w:pPr>
        <w:ind w:left="1254" w:hanging="360"/>
      </w:pPr>
      <w:rPr>
        <w:rFonts w:hint="default"/>
        <w:lang w:val="en-us" w:eastAsia="en-us" w:bidi="en-us"/>
      </w:rPr>
    </w:lvl>
    <w:lvl w:ilvl="4">
      <w:start w:val="0"/>
      <w:numFmt w:val="bullet"/>
      <w:lvlText w:val="•"/>
      <w:lvlJc w:val="left"/>
      <w:pPr>
        <w:ind w:left="1518" w:hanging="360"/>
      </w:pPr>
      <w:rPr>
        <w:rFonts w:hint="default"/>
        <w:lang w:val="en-us" w:eastAsia="en-us" w:bidi="en-us"/>
      </w:rPr>
    </w:lvl>
    <w:lvl w:ilvl="5">
      <w:start w:val="0"/>
      <w:numFmt w:val="bullet"/>
      <w:lvlText w:val="•"/>
      <w:lvlJc w:val="left"/>
      <w:pPr>
        <w:ind w:left="1783" w:hanging="360"/>
      </w:pPr>
      <w:rPr>
        <w:rFonts w:hint="default"/>
        <w:lang w:val="en-us" w:eastAsia="en-us" w:bidi="en-us"/>
      </w:rPr>
    </w:lvl>
    <w:lvl w:ilvl="6">
      <w:start w:val="0"/>
      <w:numFmt w:val="bullet"/>
      <w:lvlText w:val="•"/>
      <w:lvlJc w:val="left"/>
      <w:pPr>
        <w:ind w:left="2048" w:hanging="360"/>
      </w:pPr>
      <w:rPr>
        <w:rFonts w:hint="default"/>
        <w:lang w:val="en-us" w:eastAsia="en-us" w:bidi="en-us"/>
      </w:rPr>
    </w:lvl>
    <w:lvl w:ilvl="7">
      <w:start w:val="0"/>
      <w:numFmt w:val="bullet"/>
      <w:lvlText w:val="•"/>
      <w:lvlJc w:val="left"/>
      <w:pPr>
        <w:ind w:left="2312" w:hanging="360"/>
      </w:pPr>
      <w:rPr>
        <w:rFonts w:hint="default"/>
        <w:lang w:val="en-us" w:eastAsia="en-us" w:bidi="en-us"/>
      </w:rPr>
    </w:lvl>
    <w:lvl w:ilvl="8">
      <w:start w:val="0"/>
      <w:numFmt w:val="bullet"/>
      <w:lvlText w:val="•"/>
      <w:lvlJc w:val="left"/>
      <w:pPr>
        <w:ind w:left="2577" w:hanging="360"/>
      </w:pPr>
      <w:rPr>
        <w:rFonts w:hint="default"/>
        <w:lang w:val="en-us" w:eastAsia="en-us" w:bidi="en-us"/>
      </w:rPr>
    </w:lvl>
  </w:abstractNum>
  <w:abstractNum w:abstractNumId="13">
    <w:multiLevelType w:val="hybridMultilevel"/>
    <w:lvl w:ilvl="0">
      <w:start w:val="0"/>
      <w:numFmt w:val="bullet"/>
      <w:lvlText w:val=""/>
      <w:lvlJc w:val="left"/>
      <w:pPr>
        <w:ind w:left="487" w:hanging="360"/>
      </w:pPr>
      <w:rPr>
        <w:rFonts w:hint="default" w:ascii="Symbol" w:hAnsi="Symbol" w:eastAsia="Symbol" w:cs="Symbol"/>
        <w:w w:val="100"/>
        <w:sz w:val="20"/>
        <w:szCs w:val="20"/>
        <w:lang w:val="en-us" w:eastAsia="en-us" w:bidi="en-us"/>
      </w:rPr>
    </w:lvl>
    <w:lvl w:ilvl="1">
      <w:start w:val="0"/>
      <w:numFmt w:val="bullet"/>
      <w:lvlText w:val="•"/>
      <w:lvlJc w:val="left"/>
      <w:pPr>
        <w:ind w:left="744" w:hanging="360"/>
      </w:pPr>
      <w:rPr>
        <w:rFonts w:hint="default"/>
        <w:lang w:val="en-us" w:eastAsia="en-us" w:bidi="en-us"/>
      </w:rPr>
    </w:lvl>
    <w:lvl w:ilvl="2">
      <w:start w:val="0"/>
      <w:numFmt w:val="bullet"/>
      <w:lvlText w:val="•"/>
      <w:lvlJc w:val="left"/>
      <w:pPr>
        <w:ind w:left="1009" w:hanging="360"/>
      </w:pPr>
      <w:rPr>
        <w:rFonts w:hint="default"/>
        <w:lang w:val="en-us" w:eastAsia="en-us" w:bidi="en-us"/>
      </w:rPr>
    </w:lvl>
    <w:lvl w:ilvl="3">
      <w:start w:val="0"/>
      <w:numFmt w:val="bullet"/>
      <w:lvlText w:val="•"/>
      <w:lvlJc w:val="left"/>
      <w:pPr>
        <w:ind w:left="1273" w:hanging="360"/>
      </w:pPr>
      <w:rPr>
        <w:rFonts w:hint="default"/>
        <w:lang w:val="en-us" w:eastAsia="en-us" w:bidi="en-us"/>
      </w:rPr>
    </w:lvl>
    <w:lvl w:ilvl="4">
      <w:start w:val="0"/>
      <w:numFmt w:val="bullet"/>
      <w:lvlText w:val="•"/>
      <w:lvlJc w:val="left"/>
      <w:pPr>
        <w:ind w:left="1538" w:hanging="360"/>
      </w:pPr>
      <w:rPr>
        <w:rFonts w:hint="default"/>
        <w:lang w:val="en-us" w:eastAsia="en-us" w:bidi="en-us"/>
      </w:rPr>
    </w:lvl>
    <w:lvl w:ilvl="5">
      <w:start w:val="0"/>
      <w:numFmt w:val="bullet"/>
      <w:lvlText w:val="•"/>
      <w:lvlJc w:val="left"/>
      <w:pPr>
        <w:ind w:left="1803" w:hanging="360"/>
      </w:pPr>
      <w:rPr>
        <w:rFonts w:hint="default"/>
        <w:lang w:val="en-us" w:eastAsia="en-us" w:bidi="en-us"/>
      </w:rPr>
    </w:lvl>
    <w:lvl w:ilvl="6">
      <w:start w:val="0"/>
      <w:numFmt w:val="bullet"/>
      <w:lvlText w:val="•"/>
      <w:lvlJc w:val="left"/>
      <w:pPr>
        <w:ind w:left="2067" w:hanging="360"/>
      </w:pPr>
      <w:rPr>
        <w:rFonts w:hint="default"/>
        <w:lang w:val="en-us" w:eastAsia="en-us" w:bidi="en-us"/>
      </w:rPr>
    </w:lvl>
    <w:lvl w:ilvl="7">
      <w:start w:val="0"/>
      <w:numFmt w:val="bullet"/>
      <w:lvlText w:val="•"/>
      <w:lvlJc w:val="left"/>
      <w:pPr>
        <w:ind w:left="2332" w:hanging="360"/>
      </w:pPr>
      <w:rPr>
        <w:rFonts w:hint="default"/>
        <w:lang w:val="en-us" w:eastAsia="en-us" w:bidi="en-us"/>
      </w:rPr>
    </w:lvl>
    <w:lvl w:ilvl="8">
      <w:start w:val="0"/>
      <w:numFmt w:val="bullet"/>
      <w:lvlText w:val="•"/>
      <w:lvlJc w:val="left"/>
      <w:pPr>
        <w:ind w:left="2596" w:hanging="360"/>
      </w:pPr>
      <w:rPr>
        <w:rFonts w:hint="default"/>
        <w:lang w:val="en-us" w:eastAsia="en-us" w:bidi="en-us"/>
      </w:rPr>
    </w:lvl>
  </w:abstractNum>
  <w:abstractNum w:abstractNumId="12">
    <w:multiLevelType w:val="hybridMultilevel"/>
    <w:lvl w:ilvl="0">
      <w:start w:val="2"/>
      <w:numFmt w:val="decimal"/>
      <w:lvlText w:val="%1"/>
      <w:lvlJc w:val="left"/>
      <w:pPr>
        <w:ind w:left="1039" w:hanging="720"/>
        <w:jc w:val="left"/>
      </w:pPr>
      <w:rPr>
        <w:rFonts w:hint="default"/>
        <w:lang w:val="en-us" w:eastAsia="en-us" w:bidi="en-us"/>
      </w:rPr>
    </w:lvl>
    <w:lvl w:ilvl="1">
      <w:start w:val="3"/>
      <w:numFmt w:val="decimal"/>
      <w:lvlText w:val="%1.%2"/>
      <w:lvlJc w:val="left"/>
      <w:pPr>
        <w:ind w:left="1039" w:hanging="720"/>
        <w:jc w:val="left"/>
      </w:pPr>
      <w:rPr>
        <w:rFonts w:hint="default"/>
        <w:lang w:val="en-us" w:eastAsia="en-us" w:bidi="en-us"/>
      </w:rPr>
    </w:lvl>
    <w:lvl w:ilvl="2">
      <w:start w:val="1"/>
      <w:numFmt w:val="decimal"/>
      <w:lvlText w:val="%1.%2.%3"/>
      <w:lvlJc w:val="left"/>
      <w:pPr>
        <w:ind w:left="1039" w:hanging="720"/>
        <w:jc w:val="left"/>
      </w:pPr>
      <w:rPr>
        <w:rFonts w:hint="default"/>
        <w:b/>
        <w:bCs/>
        <w:spacing w:val="-1"/>
        <w:w w:val="99"/>
        <w:lang w:val="en-us" w:eastAsia="en-us" w:bidi="en-us"/>
      </w:rPr>
    </w:lvl>
    <w:lvl w:ilvl="3">
      <w:start w:val="1"/>
      <w:numFmt w:val="decimal"/>
      <w:lvlText w:val="%1.%2.%3.%4"/>
      <w:lvlJc w:val="left"/>
      <w:pPr>
        <w:ind w:left="1760" w:hanging="720"/>
        <w:jc w:val="left"/>
      </w:pPr>
      <w:rPr>
        <w:rFonts w:hint="default" w:ascii="Times New Roman" w:hAnsi="Times New Roman" w:eastAsia="Times New Roman" w:cs="Times New Roman"/>
        <w:b/>
        <w:bCs/>
        <w:i/>
        <w:spacing w:val="-1"/>
        <w:w w:val="99"/>
        <w:sz w:val="24"/>
        <w:szCs w:val="24"/>
        <w:lang w:val="en-us" w:eastAsia="en-us" w:bidi="en-us"/>
      </w:rPr>
    </w:lvl>
    <w:lvl w:ilvl="4">
      <w:start w:val="0"/>
      <w:numFmt w:val="bullet"/>
      <w:lvlText w:val="•"/>
      <w:lvlJc w:val="left"/>
      <w:pPr>
        <w:ind w:left="4880" w:hanging="720"/>
      </w:pPr>
      <w:rPr>
        <w:rFonts w:hint="default"/>
        <w:lang w:val="en-us" w:eastAsia="en-us" w:bidi="en-us"/>
      </w:rPr>
    </w:lvl>
    <w:lvl w:ilvl="5">
      <w:start w:val="0"/>
      <w:numFmt w:val="bullet"/>
      <w:lvlText w:val="•"/>
      <w:lvlJc w:val="left"/>
      <w:pPr>
        <w:ind w:left="5920" w:hanging="720"/>
      </w:pPr>
      <w:rPr>
        <w:rFonts w:hint="default"/>
        <w:lang w:val="en-us" w:eastAsia="en-us" w:bidi="en-us"/>
      </w:rPr>
    </w:lvl>
    <w:lvl w:ilvl="6">
      <w:start w:val="0"/>
      <w:numFmt w:val="bullet"/>
      <w:lvlText w:val="•"/>
      <w:lvlJc w:val="left"/>
      <w:pPr>
        <w:ind w:left="6960" w:hanging="720"/>
      </w:pPr>
      <w:rPr>
        <w:rFonts w:hint="default"/>
        <w:lang w:val="en-us" w:eastAsia="en-us" w:bidi="en-us"/>
      </w:rPr>
    </w:lvl>
    <w:lvl w:ilvl="7">
      <w:start w:val="0"/>
      <w:numFmt w:val="bullet"/>
      <w:lvlText w:val="•"/>
      <w:lvlJc w:val="left"/>
      <w:pPr>
        <w:ind w:left="8000" w:hanging="720"/>
      </w:pPr>
      <w:rPr>
        <w:rFonts w:hint="default"/>
        <w:lang w:val="en-us" w:eastAsia="en-us" w:bidi="en-us"/>
      </w:rPr>
    </w:lvl>
    <w:lvl w:ilvl="8">
      <w:start w:val="0"/>
      <w:numFmt w:val="bullet"/>
      <w:lvlText w:val="•"/>
      <w:lvlJc w:val="left"/>
      <w:pPr>
        <w:ind w:left="9040" w:hanging="720"/>
      </w:pPr>
      <w:rPr>
        <w:rFonts w:hint="default"/>
        <w:lang w:val="en-us" w:eastAsia="en-us" w:bidi="en-us"/>
      </w:rPr>
    </w:lvl>
  </w:abstractNum>
  <w:abstractNum w:abstractNumId="11">
    <w:multiLevelType w:val="hybridMultilevel"/>
    <w:lvl w:ilvl="0">
      <w:start w:val="2"/>
      <w:numFmt w:val="decimal"/>
      <w:lvlText w:val="%1"/>
      <w:lvlJc w:val="left"/>
      <w:pPr>
        <w:ind w:left="1760" w:hanging="720"/>
        <w:jc w:val="left"/>
      </w:pPr>
      <w:rPr>
        <w:rFonts w:hint="default"/>
        <w:lang w:val="en-us" w:eastAsia="en-us" w:bidi="en-us"/>
      </w:rPr>
    </w:lvl>
    <w:lvl w:ilvl="1">
      <w:start w:val="2"/>
      <w:numFmt w:val="decimal"/>
      <w:lvlText w:val="%1.%2"/>
      <w:lvlJc w:val="left"/>
      <w:pPr>
        <w:ind w:left="1760" w:hanging="720"/>
        <w:jc w:val="right"/>
      </w:pPr>
      <w:rPr>
        <w:rFonts w:hint="default"/>
        <w:lang w:val="en-us" w:eastAsia="en-us" w:bidi="en-us"/>
      </w:rPr>
    </w:lvl>
    <w:lvl w:ilvl="2">
      <w:start w:val="2"/>
      <w:numFmt w:val="decimal"/>
      <w:lvlText w:val="%1.%2.%3"/>
      <w:lvlJc w:val="left"/>
      <w:pPr>
        <w:ind w:left="1760" w:hanging="720"/>
        <w:jc w:val="left"/>
      </w:pPr>
      <w:rPr>
        <w:rFonts w:hint="default"/>
        <w:lang w:val="en-us" w:eastAsia="en-us" w:bidi="en-us"/>
      </w:rPr>
    </w:lvl>
    <w:lvl w:ilvl="3">
      <w:start w:val="2"/>
      <w:numFmt w:val="decimal"/>
      <w:lvlText w:val="%1.%2.%3.%4"/>
      <w:lvlJc w:val="left"/>
      <w:pPr>
        <w:ind w:left="1760" w:hanging="720"/>
        <w:jc w:val="left"/>
      </w:pPr>
      <w:rPr>
        <w:rFonts w:hint="default" w:ascii="Times New Roman" w:hAnsi="Times New Roman" w:eastAsia="Times New Roman" w:cs="Times New Roman"/>
        <w:b/>
        <w:bCs/>
        <w:i/>
        <w:spacing w:val="-2"/>
        <w:w w:val="99"/>
        <w:sz w:val="24"/>
        <w:szCs w:val="24"/>
        <w:lang w:val="en-us" w:eastAsia="en-us" w:bidi="en-us"/>
      </w:rPr>
    </w:lvl>
    <w:lvl w:ilvl="4">
      <w:start w:val="0"/>
      <w:numFmt w:val="bullet"/>
      <w:lvlText w:val="•"/>
      <w:lvlJc w:val="left"/>
      <w:pPr>
        <w:ind w:left="5504" w:hanging="720"/>
      </w:pPr>
      <w:rPr>
        <w:rFonts w:hint="default"/>
        <w:lang w:val="en-us" w:eastAsia="en-us" w:bidi="en-us"/>
      </w:rPr>
    </w:lvl>
    <w:lvl w:ilvl="5">
      <w:start w:val="0"/>
      <w:numFmt w:val="bullet"/>
      <w:lvlText w:val="•"/>
      <w:lvlJc w:val="left"/>
      <w:pPr>
        <w:ind w:left="6440" w:hanging="720"/>
      </w:pPr>
      <w:rPr>
        <w:rFonts w:hint="default"/>
        <w:lang w:val="en-us" w:eastAsia="en-us" w:bidi="en-us"/>
      </w:rPr>
    </w:lvl>
    <w:lvl w:ilvl="6">
      <w:start w:val="0"/>
      <w:numFmt w:val="bullet"/>
      <w:lvlText w:val="•"/>
      <w:lvlJc w:val="left"/>
      <w:pPr>
        <w:ind w:left="7376" w:hanging="720"/>
      </w:pPr>
      <w:rPr>
        <w:rFonts w:hint="default"/>
        <w:lang w:val="en-us" w:eastAsia="en-us" w:bidi="en-us"/>
      </w:rPr>
    </w:lvl>
    <w:lvl w:ilvl="7">
      <w:start w:val="0"/>
      <w:numFmt w:val="bullet"/>
      <w:lvlText w:val="•"/>
      <w:lvlJc w:val="left"/>
      <w:pPr>
        <w:ind w:left="8312" w:hanging="720"/>
      </w:pPr>
      <w:rPr>
        <w:rFonts w:hint="default"/>
        <w:lang w:val="en-us" w:eastAsia="en-us" w:bidi="en-us"/>
      </w:rPr>
    </w:lvl>
    <w:lvl w:ilvl="8">
      <w:start w:val="0"/>
      <w:numFmt w:val="bullet"/>
      <w:lvlText w:val="•"/>
      <w:lvlJc w:val="left"/>
      <w:pPr>
        <w:ind w:left="9248" w:hanging="720"/>
      </w:pPr>
      <w:rPr>
        <w:rFonts w:hint="default"/>
        <w:lang w:val="en-us" w:eastAsia="en-us" w:bidi="en-us"/>
      </w:rPr>
    </w:lvl>
  </w:abstractNum>
  <w:abstractNum w:abstractNumId="10">
    <w:multiLevelType w:val="hybridMultilevel"/>
    <w:lvl w:ilvl="0">
      <w:start w:val="2"/>
      <w:numFmt w:val="decimal"/>
      <w:lvlText w:val="%1"/>
      <w:lvlJc w:val="left"/>
      <w:pPr>
        <w:ind w:left="1039" w:hanging="720"/>
        <w:jc w:val="left"/>
      </w:pPr>
      <w:rPr>
        <w:rFonts w:hint="default"/>
        <w:lang w:val="en-us" w:eastAsia="en-us" w:bidi="en-us"/>
      </w:rPr>
    </w:lvl>
    <w:lvl w:ilvl="1">
      <w:start w:val="2"/>
      <w:numFmt w:val="decimal"/>
      <w:lvlText w:val="%1.%2"/>
      <w:lvlJc w:val="left"/>
      <w:pPr>
        <w:ind w:left="1039" w:hanging="720"/>
        <w:jc w:val="left"/>
      </w:pPr>
      <w:rPr>
        <w:rFonts w:hint="default"/>
        <w:lang w:val="en-us" w:eastAsia="en-us" w:bidi="en-us"/>
      </w:rPr>
    </w:lvl>
    <w:lvl w:ilvl="2">
      <w:start w:val="1"/>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1"/>
      <w:numFmt w:val="decimal"/>
      <w:lvlText w:val="%1.%2.%3.%4"/>
      <w:lvlJc w:val="left"/>
      <w:pPr>
        <w:ind w:left="1760" w:hanging="720"/>
        <w:jc w:val="left"/>
      </w:pPr>
      <w:rPr>
        <w:rFonts w:hint="default" w:ascii="Times New Roman" w:hAnsi="Times New Roman" w:eastAsia="Times New Roman" w:cs="Times New Roman"/>
        <w:b/>
        <w:bCs/>
        <w:i/>
        <w:spacing w:val="-1"/>
        <w:w w:val="99"/>
        <w:sz w:val="24"/>
        <w:szCs w:val="24"/>
        <w:lang w:val="en-us" w:eastAsia="en-us" w:bidi="en-us"/>
      </w:rPr>
    </w:lvl>
    <w:lvl w:ilvl="4">
      <w:start w:val="0"/>
      <w:numFmt w:val="bullet"/>
      <w:lvlText w:val="•"/>
      <w:lvlJc w:val="left"/>
      <w:pPr>
        <w:ind w:left="4880" w:hanging="720"/>
      </w:pPr>
      <w:rPr>
        <w:rFonts w:hint="default"/>
        <w:lang w:val="en-us" w:eastAsia="en-us" w:bidi="en-us"/>
      </w:rPr>
    </w:lvl>
    <w:lvl w:ilvl="5">
      <w:start w:val="0"/>
      <w:numFmt w:val="bullet"/>
      <w:lvlText w:val="•"/>
      <w:lvlJc w:val="left"/>
      <w:pPr>
        <w:ind w:left="5920" w:hanging="720"/>
      </w:pPr>
      <w:rPr>
        <w:rFonts w:hint="default"/>
        <w:lang w:val="en-us" w:eastAsia="en-us" w:bidi="en-us"/>
      </w:rPr>
    </w:lvl>
    <w:lvl w:ilvl="6">
      <w:start w:val="0"/>
      <w:numFmt w:val="bullet"/>
      <w:lvlText w:val="•"/>
      <w:lvlJc w:val="left"/>
      <w:pPr>
        <w:ind w:left="6960" w:hanging="720"/>
      </w:pPr>
      <w:rPr>
        <w:rFonts w:hint="default"/>
        <w:lang w:val="en-us" w:eastAsia="en-us" w:bidi="en-us"/>
      </w:rPr>
    </w:lvl>
    <w:lvl w:ilvl="7">
      <w:start w:val="0"/>
      <w:numFmt w:val="bullet"/>
      <w:lvlText w:val="•"/>
      <w:lvlJc w:val="left"/>
      <w:pPr>
        <w:ind w:left="8000" w:hanging="720"/>
      </w:pPr>
      <w:rPr>
        <w:rFonts w:hint="default"/>
        <w:lang w:val="en-us" w:eastAsia="en-us" w:bidi="en-us"/>
      </w:rPr>
    </w:lvl>
    <w:lvl w:ilvl="8">
      <w:start w:val="0"/>
      <w:numFmt w:val="bullet"/>
      <w:lvlText w:val="•"/>
      <w:lvlJc w:val="left"/>
      <w:pPr>
        <w:ind w:left="9040" w:hanging="720"/>
      </w:pPr>
      <w:rPr>
        <w:rFonts w:hint="default"/>
        <w:lang w:val="en-us" w:eastAsia="en-us" w:bidi="en-us"/>
      </w:rPr>
    </w:lvl>
  </w:abstractNum>
  <w:abstractNum w:abstractNumId="9">
    <w:multiLevelType w:val="hybridMultilevel"/>
    <w:lvl w:ilvl="0">
      <w:start w:val="2"/>
      <w:numFmt w:val="decimal"/>
      <w:lvlText w:val="%1"/>
      <w:lvlJc w:val="left"/>
      <w:pPr>
        <w:ind w:left="1039" w:hanging="720"/>
        <w:jc w:val="left"/>
      </w:pPr>
      <w:rPr>
        <w:rFonts w:hint="default"/>
        <w:lang w:val="en-us" w:eastAsia="en-us" w:bidi="en-us"/>
      </w:rPr>
    </w:lvl>
    <w:lvl w:ilvl="1">
      <w:start w:val="1"/>
      <w:numFmt w:val="decimal"/>
      <w:lvlText w:val="%1.%2"/>
      <w:lvlJc w:val="left"/>
      <w:pPr>
        <w:ind w:left="1039" w:hanging="720"/>
        <w:jc w:val="left"/>
      </w:pPr>
      <w:rPr>
        <w:rFonts w:hint="default"/>
        <w:lang w:val="en-us" w:eastAsia="en-us" w:bidi="en-us"/>
      </w:rPr>
    </w:lvl>
    <w:lvl w:ilvl="2">
      <w:start w:val="5"/>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0"/>
      <w:numFmt w:val="bullet"/>
      <w:lvlText w:val=""/>
      <w:lvlJc w:val="left"/>
      <w:pPr>
        <w:ind w:left="1040" w:hanging="360"/>
      </w:pPr>
      <w:rPr>
        <w:rFonts w:hint="default" w:ascii="Symbol" w:hAnsi="Symbol" w:eastAsia="Symbol" w:cs="Symbol"/>
        <w:w w:val="100"/>
        <w:sz w:val="24"/>
        <w:szCs w:val="24"/>
        <w:lang w:val="en-us" w:eastAsia="en-us" w:bidi="en-us"/>
      </w:rPr>
    </w:lvl>
    <w:lvl w:ilvl="4">
      <w:start w:val="0"/>
      <w:numFmt w:val="bullet"/>
      <w:lvlText w:val="•"/>
      <w:lvlJc w:val="left"/>
      <w:pPr>
        <w:ind w:left="5072" w:hanging="360"/>
      </w:pPr>
      <w:rPr>
        <w:rFonts w:hint="default"/>
        <w:lang w:val="en-us" w:eastAsia="en-us" w:bidi="en-us"/>
      </w:rPr>
    </w:lvl>
    <w:lvl w:ilvl="5">
      <w:start w:val="0"/>
      <w:numFmt w:val="bullet"/>
      <w:lvlText w:val="•"/>
      <w:lvlJc w:val="left"/>
      <w:pPr>
        <w:ind w:left="6080" w:hanging="360"/>
      </w:pPr>
      <w:rPr>
        <w:rFonts w:hint="default"/>
        <w:lang w:val="en-us" w:eastAsia="en-us" w:bidi="en-us"/>
      </w:rPr>
    </w:lvl>
    <w:lvl w:ilvl="6">
      <w:start w:val="0"/>
      <w:numFmt w:val="bullet"/>
      <w:lvlText w:val="•"/>
      <w:lvlJc w:val="left"/>
      <w:pPr>
        <w:ind w:left="7088" w:hanging="360"/>
      </w:pPr>
      <w:rPr>
        <w:rFonts w:hint="default"/>
        <w:lang w:val="en-us" w:eastAsia="en-us" w:bidi="en-us"/>
      </w:rPr>
    </w:lvl>
    <w:lvl w:ilvl="7">
      <w:start w:val="0"/>
      <w:numFmt w:val="bullet"/>
      <w:lvlText w:val="•"/>
      <w:lvlJc w:val="left"/>
      <w:pPr>
        <w:ind w:left="8096" w:hanging="360"/>
      </w:pPr>
      <w:rPr>
        <w:rFonts w:hint="default"/>
        <w:lang w:val="en-us" w:eastAsia="en-us" w:bidi="en-us"/>
      </w:rPr>
    </w:lvl>
    <w:lvl w:ilvl="8">
      <w:start w:val="0"/>
      <w:numFmt w:val="bullet"/>
      <w:lvlText w:val="•"/>
      <w:lvlJc w:val="left"/>
      <w:pPr>
        <w:ind w:left="9104" w:hanging="360"/>
      </w:pPr>
      <w:rPr>
        <w:rFonts w:hint="default"/>
        <w:lang w:val="en-us" w:eastAsia="en-us" w:bidi="en-us"/>
      </w:rPr>
    </w:lvl>
  </w:abstractNum>
  <w:abstractNum w:abstractNumId="8">
    <w:multiLevelType w:val="hybridMultilevel"/>
    <w:lvl w:ilvl="0">
      <w:start w:val="2"/>
      <w:numFmt w:val="decimal"/>
      <w:lvlText w:val="%1"/>
      <w:lvlJc w:val="left"/>
      <w:pPr>
        <w:ind w:left="3606" w:hanging="720"/>
        <w:jc w:val="left"/>
      </w:pPr>
      <w:rPr>
        <w:rFonts w:hint="default"/>
        <w:lang w:val="en-us" w:eastAsia="en-us" w:bidi="en-us"/>
      </w:rPr>
    </w:lvl>
    <w:lvl w:ilvl="1">
      <w:start w:val="0"/>
      <w:numFmt w:val="decimal"/>
      <w:lvlText w:val="%1.%2"/>
      <w:lvlJc w:val="left"/>
      <w:pPr>
        <w:ind w:left="3606" w:hanging="720"/>
        <w:jc w:val="right"/>
      </w:pPr>
      <w:rPr>
        <w:rFonts w:hint="default"/>
        <w:b/>
        <w:bCs/>
        <w:spacing w:val="-1"/>
        <w:w w:val="100"/>
        <w:lang w:val="en-us" w:eastAsia="en-us" w:bidi="en-us"/>
      </w:rPr>
    </w:lvl>
    <w:lvl w:ilvl="2">
      <w:start w:val="1"/>
      <w:numFmt w:val="decimal"/>
      <w:lvlText w:val="%1.%2.%3"/>
      <w:lvlJc w:val="left"/>
      <w:pPr>
        <w:ind w:left="1039" w:hanging="720"/>
        <w:jc w:val="left"/>
      </w:pPr>
      <w:rPr>
        <w:rFonts w:hint="default" w:ascii="Times New Roman" w:hAnsi="Times New Roman" w:eastAsia="Times New Roman" w:cs="Times New Roman"/>
        <w:b/>
        <w:bCs/>
        <w:spacing w:val="-1"/>
        <w:w w:val="99"/>
        <w:sz w:val="28"/>
        <w:szCs w:val="28"/>
        <w:lang w:val="en-us" w:eastAsia="en-us" w:bidi="en-us"/>
      </w:rPr>
    </w:lvl>
    <w:lvl w:ilvl="3">
      <w:start w:val="0"/>
      <w:numFmt w:val="bullet"/>
      <w:lvlText w:val=""/>
      <w:lvlJc w:val="left"/>
      <w:pPr>
        <w:ind w:left="1040" w:hanging="360"/>
      </w:pPr>
      <w:rPr>
        <w:rFonts w:hint="default" w:ascii="Symbol" w:hAnsi="Symbol" w:eastAsia="Symbol" w:cs="Symbol"/>
        <w:w w:val="100"/>
        <w:sz w:val="24"/>
        <w:szCs w:val="24"/>
        <w:lang w:val="en-us" w:eastAsia="en-us" w:bidi="en-us"/>
      </w:rPr>
    </w:lvl>
    <w:lvl w:ilvl="4">
      <w:start w:val="0"/>
      <w:numFmt w:val="bullet"/>
      <w:lvlText w:val="•"/>
      <w:lvlJc w:val="left"/>
      <w:pPr>
        <w:ind w:left="6106" w:hanging="360"/>
      </w:pPr>
      <w:rPr>
        <w:rFonts w:hint="default"/>
        <w:lang w:val="en-us" w:eastAsia="en-us" w:bidi="en-us"/>
      </w:rPr>
    </w:lvl>
    <w:lvl w:ilvl="5">
      <w:start w:val="0"/>
      <w:numFmt w:val="bullet"/>
      <w:lvlText w:val="•"/>
      <w:lvlJc w:val="left"/>
      <w:pPr>
        <w:ind w:left="6942" w:hanging="360"/>
      </w:pPr>
      <w:rPr>
        <w:rFonts w:hint="default"/>
        <w:lang w:val="en-us" w:eastAsia="en-us" w:bidi="en-us"/>
      </w:rPr>
    </w:lvl>
    <w:lvl w:ilvl="6">
      <w:start w:val="0"/>
      <w:numFmt w:val="bullet"/>
      <w:lvlText w:val="•"/>
      <w:lvlJc w:val="left"/>
      <w:pPr>
        <w:ind w:left="7777" w:hanging="360"/>
      </w:pPr>
      <w:rPr>
        <w:rFonts w:hint="default"/>
        <w:lang w:val="en-us" w:eastAsia="en-us" w:bidi="en-us"/>
      </w:rPr>
    </w:lvl>
    <w:lvl w:ilvl="7">
      <w:start w:val="0"/>
      <w:numFmt w:val="bullet"/>
      <w:lvlText w:val="•"/>
      <w:lvlJc w:val="left"/>
      <w:pPr>
        <w:ind w:left="8613" w:hanging="360"/>
      </w:pPr>
      <w:rPr>
        <w:rFonts w:hint="default"/>
        <w:lang w:val="en-us" w:eastAsia="en-us" w:bidi="en-us"/>
      </w:rPr>
    </w:lvl>
    <w:lvl w:ilvl="8">
      <w:start w:val="0"/>
      <w:numFmt w:val="bullet"/>
      <w:lvlText w:val="•"/>
      <w:lvlJc w:val="left"/>
      <w:pPr>
        <w:ind w:left="9448" w:hanging="360"/>
      </w:pPr>
      <w:rPr>
        <w:rFonts w:hint="default"/>
        <w:lang w:val="en-us" w:eastAsia="en-us" w:bidi="en-us"/>
      </w:rPr>
    </w:lvl>
  </w:abstractNum>
  <w:abstractNum w:abstractNumId="7">
    <w:multiLevelType w:val="hybridMultilevel"/>
    <w:lvl w:ilvl="0">
      <w:start w:val="9"/>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0"/>
      <w:numFmt w:val="bullet"/>
      <w:lvlText w:val="•"/>
      <w:lvlJc w:val="left"/>
      <w:pPr>
        <w:ind w:left="3056" w:hanging="720"/>
      </w:pPr>
      <w:rPr>
        <w:rFonts w:hint="default"/>
        <w:lang w:val="en-us" w:eastAsia="en-us" w:bidi="en-us"/>
      </w:rPr>
    </w:lvl>
    <w:lvl w:ilvl="3">
      <w:start w:val="0"/>
      <w:numFmt w:val="bullet"/>
      <w:lvlText w:val="•"/>
      <w:lvlJc w:val="left"/>
      <w:pPr>
        <w:ind w:left="4064" w:hanging="720"/>
      </w:pPr>
      <w:rPr>
        <w:rFonts w:hint="default"/>
        <w:lang w:val="en-us" w:eastAsia="en-us" w:bidi="en-us"/>
      </w:rPr>
    </w:lvl>
    <w:lvl w:ilvl="4">
      <w:start w:val="0"/>
      <w:numFmt w:val="bullet"/>
      <w:lvlText w:val="•"/>
      <w:lvlJc w:val="left"/>
      <w:pPr>
        <w:ind w:left="5072" w:hanging="720"/>
      </w:pPr>
      <w:rPr>
        <w:rFonts w:hint="default"/>
        <w:lang w:val="en-us" w:eastAsia="en-us" w:bidi="en-us"/>
      </w:rPr>
    </w:lvl>
    <w:lvl w:ilvl="5">
      <w:start w:val="0"/>
      <w:numFmt w:val="bullet"/>
      <w:lvlText w:val="•"/>
      <w:lvlJc w:val="left"/>
      <w:pPr>
        <w:ind w:left="6080" w:hanging="720"/>
      </w:pPr>
      <w:rPr>
        <w:rFonts w:hint="default"/>
        <w:lang w:val="en-us" w:eastAsia="en-us" w:bidi="en-us"/>
      </w:rPr>
    </w:lvl>
    <w:lvl w:ilvl="6">
      <w:start w:val="0"/>
      <w:numFmt w:val="bullet"/>
      <w:lvlText w:val="•"/>
      <w:lvlJc w:val="left"/>
      <w:pPr>
        <w:ind w:left="7088" w:hanging="720"/>
      </w:pPr>
      <w:rPr>
        <w:rFonts w:hint="default"/>
        <w:lang w:val="en-us" w:eastAsia="en-us" w:bidi="en-us"/>
      </w:rPr>
    </w:lvl>
    <w:lvl w:ilvl="7">
      <w:start w:val="0"/>
      <w:numFmt w:val="bullet"/>
      <w:lvlText w:val="•"/>
      <w:lvlJc w:val="left"/>
      <w:pPr>
        <w:ind w:left="8096" w:hanging="720"/>
      </w:pPr>
      <w:rPr>
        <w:rFonts w:hint="default"/>
        <w:lang w:val="en-us" w:eastAsia="en-us" w:bidi="en-us"/>
      </w:rPr>
    </w:lvl>
    <w:lvl w:ilvl="8">
      <w:start w:val="0"/>
      <w:numFmt w:val="bullet"/>
      <w:lvlText w:val="•"/>
      <w:lvlJc w:val="left"/>
      <w:pPr>
        <w:ind w:left="9104" w:hanging="720"/>
      </w:pPr>
      <w:rPr>
        <w:rFonts w:hint="default"/>
        <w:lang w:val="en-us" w:eastAsia="en-us" w:bidi="en-us"/>
      </w:rPr>
    </w:lvl>
  </w:abstractNum>
  <w:abstractNum w:abstractNumId="6">
    <w:multiLevelType w:val="hybridMultilevel"/>
    <w:lvl w:ilvl="0">
      <w:start w:val="8"/>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0"/>
      <w:numFmt w:val="bullet"/>
      <w:lvlText w:val="•"/>
      <w:lvlJc w:val="left"/>
      <w:pPr>
        <w:ind w:left="3056" w:hanging="720"/>
      </w:pPr>
      <w:rPr>
        <w:rFonts w:hint="default"/>
        <w:lang w:val="en-us" w:eastAsia="en-us" w:bidi="en-us"/>
      </w:rPr>
    </w:lvl>
    <w:lvl w:ilvl="3">
      <w:start w:val="0"/>
      <w:numFmt w:val="bullet"/>
      <w:lvlText w:val="•"/>
      <w:lvlJc w:val="left"/>
      <w:pPr>
        <w:ind w:left="4064" w:hanging="720"/>
      </w:pPr>
      <w:rPr>
        <w:rFonts w:hint="default"/>
        <w:lang w:val="en-us" w:eastAsia="en-us" w:bidi="en-us"/>
      </w:rPr>
    </w:lvl>
    <w:lvl w:ilvl="4">
      <w:start w:val="0"/>
      <w:numFmt w:val="bullet"/>
      <w:lvlText w:val="•"/>
      <w:lvlJc w:val="left"/>
      <w:pPr>
        <w:ind w:left="5072" w:hanging="720"/>
      </w:pPr>
      <w:rPr>
        <w:rFonts w:hint="default"/>
        <w:lang w:val="en-us" w:eastAsia="en-us" w:bidi="en-us"/>
      </w:rPr>
    </w:lvl>
    <w:lvl w:ilvl="5">
      <w:start w:val="0"/>
      <w:numFmt w:val="bullet"/>
      <w:lvlText w:val="•"/>
      <w:lvlJc w:val="left"/>
      <w:pPr>
        <w:ind w:left="6080" w:hanging="720"/>
      </w:pPr>
      <w:rPr>
        <w:rFonts w:hint="default"/>
        <w:lang w:val="en-us" w:eastAsia="en-us" w:bidi="en-us"/>
      </w:rPr>
    </w:lvl>
    <w:lvl w:ilvl="6">
      <w:start w:val="0"/>
      <w:numFmt w:val="bullet"/>
      <w:lvlText w:val="•"/>
      <w:lvlJc w:val="left"/>
      <w:pPr>
        <w:ind w:left="7088" w:hanging="720"/>
      </w:pPr>
      <w:rPr>
        <w:rFonts w:hint="default"/>
        <w:lang w:val="en-us" w:eastAsia="en-us" w:bidi="en-us"/>
      </w:rPr>
    </w:lvl>
    <w:lvl w:ilvl="7">
      <w:start w:val="0"/>
      <w:numFmt w:val="bullet"/>
      <w:lvlText w:val="•"/>
      <w:lvlJc w:val="left"/>
      <w:pPr>
        <w:ind w:left="8096" w:hanging="720"/>
      </w:pPr>
      <w:rPr>
        <w:rFonts w:hint="default"/>
        <w:lang w:val="en-us" w:eastAsia="en-us" w:bidi="en-us"/>
      </w:rPr>
    </w:lvl>
    <w:lvl w:ilvl="8">
      <w:start w:val="0"/>
      <w:numFmt w:val="bullet"/>
      <w:lvlText w:val="•"/>
      <w:lvlJc w:val="left"/>
      <w:pPr>
        <w:ind w:left="9104" w:hanging="720"/>
      </w:pPr>
      <w:rPr>
        <w:rFonts w:hint="default"/>
        <w:lang w:val="en-us" w:eastAsia="en-us" w:bidi="en-us"/>
      </w:rPr>
    </w:lvl>
  </w:abstractNum>
  <w:abstractNum w:abstractNumId="5">
    <w:multiLevelType w:val="hybridMultilevel"/>
    <w:lvl w:ilvl="0">
      <w:start w:val="7"/>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abstractNum w:abstractNumId="4">
    <w:multiLevelType w:val="hybridMultilevel"/>
    <w:lvl w:ilvl="0">
      <w:start w:val="6"/>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abstractNum w:abstractNumId="3">
    <w:multiLevelType w:val="hybridMultilevel"/>
    <w:lvl w:ilvl="0">
      <w:start w:val="5"/>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100"/>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abstractNum w:abstractNumId="2">
    <w:multiLevelType w:val="hybridMultilevel"/>
    <w:lvl w:ilvl="0">
      <w:start w:val="4"/>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abstractNum w:abstractNumId="1">
    <w:multiLevelType w:val="hybridMultilevel"/>
    <w:lvl w:ilvl="0">
      <w:start w:val="3"/>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abstractNum w:abstractNumId="0">
    <w:multiLevelType w:val="hybridMultilevel"/>
    <w:lvl w:ilvl="0">
      <w:start w:val="2"/>
      <w:numFmt w:val="decimal"/>
      <w:lvlText w:val="%1"/>
      <w:lvlJc w:val="left"/>
      <w:pPr>
        <w:ind w:left="1040" w:hanging="720"/>
        <w:jc w:val="left"/>
      </w:pPr>
      <w:rPr>
        <w:rFonts w:hint="default"/>
        <w:lang w:val="en-us" w:eastAsia="en-us" w:bidi="en-us"/>
      </w:rPr>
    </w:lvl>
    <w:lvl w:ilvl="1">
      <w:start w:val="0"/>
      <w:numFmt w:val="decimal"/>
      <w:lvlText w:val="%1.%2"/>
      <w:lvlJc w:val="left"/>
      <w:pPr>
        <w:ind w:left="1040" w:hanging="720"/>
        <w:jc w:val="right"/>
      </w:pPr>
      <w:rPr>
        <w:rFonts w:hint="default"/>
        <w:b/>
        <w:bCs/>
        <w:spacing w:val="-1"/>
        <w:w w:val="99"/>
        <w:lang w:val="en-us" w:eastAsia="en-us" w:bidi="en-us"/>
      </w:rPr>
    </w:lvl>
    <w:lvl w:ilvl="2">
      <w:start w:val="1"/>
      <w:numFmt w:val="decimal"/>
      <w:lvlText w:val="%1.%2.%3"/>
      <w:lvlJc w:val="left"/>
      <w:pPr>
        <w:ind w:left="1520" w:hanging="720"/>
        <w:jc w:val="left"/>
      </w:pPr>
      <w:rPr>
        <w:rFonts w:hint="default" w:ascii="Times New Roman" w:hAnsi="Times New Roman" w:eastAsia="Times New Roman" w:cs="Times New Roman"/>
        <w:i/>
        <w:spacing w:val="-1"/>
        <w:w w:val="100"/>
        <w:sz w:val="20"/>
        <w:szCs w:val="20"/>
        <w:lang w:val="en-us" w:eastAsia="en-us" w:bidi="en-us"/>
      </w:rPr>
    </w:lvl>
    <w:lvl w:ilvl="3">
      <w:start w:val="0"/>
      <w:numFmt w:val="bullet"/>
      <w:lvlText w:val="•"/>
      <w:lvlJc w:val="left"/>
      <w:pPr>
        <w:ind w:left="3653" w:hanging="720"/>
      </w:pPr>
      <w:rPr>
        <w:rFonts w:hint="default"/>
        <w:lang w:val="en-us" w:eastAsia="en-us" w:bidi="en-us"/>
      </w:rPr>
    </w:lvl>
    <w:lvl w:ilvl="4">
      <w:start w:val="0"/>
      <w:numFmt w:val="bullet"/>
      <w:lvlText w:val="•"/>
      <w:lvlJc w:val="left"/>
      <w:pPr>
        <w:ind w:left="4720" w:hanging="720"/>
      </w:pPr>
      <w:rPr>
        <w:rFonts w:hint="default"/>
        <w:lang w:val="en-us" w:eastAsia="en-us" w:bidi="en-us"/>
      </w:rPr>
    </w:lvl>
    <w:lvl w:ilvl="5">
      <w:start w:val="0"/>
      <w:numFmt w:val="bullet"/>
      <w:lvlText w:val="•"/>
      <w:lvlJc w:val="left"/>
      <w:pPr>
        <w:ind w:left="5786" w:hanging="720"/>
      </w:pPr>
      <w:rPr>
        <w:rFonts w:hint="default"/>
        <w:lang w:val="en-us" w:eastAsia="en-us" w:bidi="en-us"/>
      </w:rPr>
    </w:lvl>
    <w:lvl w:ilvl="6">
      <w:start w:val="0"/>
      <w:numFmt w:val="bullet"/>
      <w:lvlText w:val="•"/>
      <w:lvlJc w:val="left"/>
      <w:pPr>
        <w:ind w:left="6853" w:hanging="720"/>
      </w:pPr>
      <w:rPr>
        <w:rFonts w:hint="default"/>
        <w:lang w:val="en-us" w:eastAsia="en-us" w:bidi="en-us"/>
      </w:rPr>
    </w:lvl>
    <w:lvl w:ilvl="7">
      <w:start w:val="0"/>
      <w:numFmt w:val="bullet"/>
      <w:lvlText w:val="•"/>
      <w:lvlJc w:val="left"/>
      <w:pPr>
        <w:ind w:left="7920" w:hanging="720"/>
      </w:pPr>
      <w:rPr>
        <w:rFonts w:hint="default"/>
        <w:lang w:val="en-us" w:eastAsia="en-us" w:bidi="en-us"/>
      </w:rPr>
    </w:lvl>
    <w:lvl w:ilvl="8">
      <w:start w:val="0"/>
      <w:numFmt w:val="bullet"/>
      <w:lvlText w:val="•"/>
      <w:lvlJc w:val="left"/>
      <w:pPr>
        <w:ind w:left="8986" w:hanging="720"/>
      </w:pPr>
      <w:rPr>
        <w:rFonts w:hint="default"/>
        <w:lang w:val="en-us" w:eastAsia="en-us" w:bidi="en-us"/>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122"/>
      <w:ind w:left="1040" w:hanging="720"/>
    </w:pPr>
    <w:rPr>
      <w:rFonts w:ascii="Times New Roman" w:hAnsi="Times New Roman" w:eastAsia="Times New Roman" w:cs="Times New Roman"/>
      <w:b/>
      <w:bCs/>
      <w:sz w:val="24"/>
      <w:szCs w:val="24"/>
      <w:lang w:val="en-us" w:eastAsia="en-us" w:bidi="en-us"/>
    </w:rPr>
  </w:style>
  <w:style w:styleId="TOC2" w:type="paragraph">
    <w:name w:val="TOC 2"/>
    <w:basedOn w:val="Normal"/>
    <w:uiPriority w:val="1"/>
    <w:qFormat/>
    <w:pPr>
      <w:ind w:left="1280" w:hanging="720"/>
    </w:pPr>
    <w:rPr>
      <w:rFonts w:ascii="Times New Roman" w:hAnsi="Times New Roman" w:eastAsia="Times New Roman" w:cs="Times New Roman"/>
      <w:sz w:val="24"/>
      <w:szCs w:val="24"/>
      <w:lang w:val="en-us" w:eastAsia="en-us" w:bidi="en-us"/>
    </w:rPr>
  </w:style>
  <w:style w:styleId="TOC3" w:type="paragraph">
    <w:name w:val="TOC 3"/>
    <w:basedOn w:val="Normal"/>
    <w:uiPriority w:val="1"/>
    <w:qFormat/>
    <w:pPr>
      <w:ind w:left="1280" w:hanging="720"/>
    </w:pPr>
    <w:rPr>
      <w:rFonts w:ascii="Times New Roman" w:hAnsi="Times New Roman" w:eastAsia="Times New Roman" w:cs="Times New Roman"/>
      <w:sz w:val="19"/>
      <w:szCs w:val="19"/>
      <w:lang w:val="en-us" w:eastAsia="en-us" w:bidi="en-us"/>
    </w:rPr>
  </w:style>
  <w:style w:styleId="TOC4" w:type="paragraph">
    <w:name w:val="TOC 4"/>
    <w:basedOn w:val="Normal"/>
    <w:uiPriority w:val="1"/>
    <w:qFormat/>
    <w:pPr>
      <w:ind w:left="1280" w:hanging="720"/>
    </w:pPr>
    <w:rPr>
      <w:rFonts w:ascii="Times New Roman" w:hAnsi="Times New Roman" w:eastAsia="Times New Roman" w:cs="Times New Roman"/>
      <w:b/>
      <w:bCs/>
      <w:i/>
      <w:lang w:val="en-us" w:eastAsia="en-us" w:bidi="en-us"/>
    </w:rPr>
  </w:style>
  <w:style w:styleId="TOC5" w:type="paragraph">
    <w:name w:val="TOC 5"/>
    <w:basedOn w:val="Normal"/>
    <w:uiPriority w:val="1"/>
    <w:qFormat/>
    <w:pPr>
      <w:ind w:left="1520" w:hanging="720"/>
    </w:pPr>
    <w:rPr>
      <w:rFonts w:ascii="Times New Roman" w:hAnsi="Times New Roman" w:eastAsia="Times New Roman" w:cs="Times New Roman"/>
      <w:i/>
      <w:sz w:val="20"/>
      <w:szCs w:val="20"/>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ind w:left="487" w:right="1605"/>
      <w:jc w:val="center"/>
      <w:outlineLvl w:val="1"/>
    </w:pPr>
    <w:rPr>
      <w:rFonts w:ascii="Times New Roman" w:hAnsi="Times New Roman" w:eastAsia="Times New Roman" w:cs="Times New Roman"/>
      <w:sz w:val="36"/>
      <w:szCs w:val="36"/>
      <w:lang w:val="en-us" w:eastAsia="en-us" w:bidi="en-us"/>
    </w:rPr>
  </w:style>
  <w:style w:styleId="Heading2" w:type="paragraph">
    <w:name w:val="Heading 2"/>
    <w:basedOn w:val="Normal"/>
    <w:uiPriority w:val="1"/>
    <w:qFormat/>
    <w:pPr>
      <w:spacing w:before="75"/>
      <w:ind w:left="284" w:hanging="720"/>
      <w:outlineLvl w:val="2"/>
    </w:pPr>
    <w:rPr>
      <w:rFonts w:ascii="Times New Roman" w:hAnsi="Times New Roman" w:eastAsia="Times New Roman" w:cs="Times New Roman"/>
      <w:b/>
      <w:bCs/>
      <w:sz w:val="32"/>
      <w:szCs w:val="32"/>
      <w:lang w:val="en-us" w:eastAsia="en-us" w:bidi="en-us"/>
    </w:rPr>
  </w:style>
  <w:style w:styleId="Heading3" w:type="paragraph">
    <w:name w:val="Heading 3"/>
    <w:basedOn w:val="Normal"/>
    <w:uiPriority w:val="1"/>
    <w:qFormat/>
    <w:pPr>
      <w:ind w:left="1039" w:hanging="719"/>
      <w:outlineLvl w:val="3"/>
    </w:pPr>
    <w:rPr>
      <w:rFonts w:ascii="Times New Roman" w:hAnsi="Times New Roman" w:eastAsia="Times New Roman" w:cs="Times New Roman"/>
      <w:b/>
      <w:bCs/>
      <w:sz w:val="28"/>
      <w:szCs w:val="28"/>
      <w:lang w:val="en-us" w:eastAsia="en-us" w:bidi="en-us"/>
    </w:rPr>
  </w:style>
  <w:style w:styleId="Heading4" w:type="paragraph">
    <w:name w:val="Heading 4"/>
    <w:basedOn w:val="Normal"/>
    <w:uiPriority w:val="1"/>
    <w:qFormat/>
    <w:pPr>
      <w:spacing w:before="120"/>
      <w:ind w:left="320"/>
      <w:outlineLvl w:val="4"/>
    </w:pPr>
    <w:rPr>
      <w:rFonts w:ascii="Times New Roman" w:hAnsi="Times New Roman" w:eastAsia="Times New Roman" w:cs="Times New Roman"/>
      <w:b/>
      <w:bCs/>
      <w:sz w:val="24"/>
      <w:szCs w:val="24"/>
      <w:lang w:val="en-us" w:eastAsia="en-us" w:bidi="en-us"/>
    </w:rPr>
  </w:style>
  <w:style w:styleId="Heading5" w:type="paragraph">
    <w:name w:val="Heading 5"/>
    <w:basedOn w:val="Normal"/>
    <w:uiPriority w:val="1"/>
    <w:qFormat/>
    <w:pPr>
      <w:ind w:left="1760" w:hanging="720"/>
      <w:outlineLvl w:val="5"/>
    </w:pPr>
    <w:rPr>
      <w:rFonts w:ascii="Times New Roman" w:hAnsi="Times New Roman" w:eastAsia="Times New Roman" w:cs="Times New Roman"/>
      <w:b/>
      <w:bCs/>
      <w:i/>
      <w:sz w:val="24"/>
      <w:szCs w:val="24"/>
      <w:lang w:val="en-us" w:eastAsia="en-us" w:bidi="en-us"/>
    </w:rPr>
  </w:style>
  <w:style w:styleId="ListParagraph" w:type="paragraph">
    <w:name w:val="List Paragraph"/>
    <w:basedOn w:val="Normal"/>
    <w:uiPriority w:val="1"/>
    <w:qFormat/>
    <w:pPr>
      <w:ind w:left="1039" w:hanging="72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yperlink" Target="http://oregon.gov/ODOT/Programs/Pages/Research-Publications.aspx" TargetMode="External"/><Relationship Id="rId8" Type="http://schemas.openxmlformats.org/officeDocument/2006/relationships/footer" Target="footer2.xml"/><Relationship Id="rId9" Type="http://schemas.openxmlformats.org/officeDocument/2006/relationships/image" Target="media/image2.png"/><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jpe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hyperlink" Target="http://gis.odot.state.or.us/TransGis%20Access%20on%202016-10-12" TargetMode="External"/><Relationship Id="rId53" Type="http://schemas.openxmlformats.org/officeDocument/2006/relationships/hyperlink" Target="https://www.strava.com/about" TargetMode="External"/><Relationship Id="rId54" Type="http://schemas.openxmlformats.org/officeDocument/2006/relationships/hyperlink" Target="http://labs.strava.com/heatmap/%235/-103.99658/38.44498/blue/bike" TargetMode="External"/><Relationship Id="rId55" Type="http://schemas.openxmlformats.org/officeDocument/2006/relationships/footer" Target="footer5.xml"/><Relationship Id="rId56" Type="http://schemas.openxmlformats.org/officeDocument/2006/relationships/footer" Target="footer6.xml"/><Relationship Id="rId57" Type="http://schemas.openxmlformats.org/officeDocument/2006/relationships/footer" Target="footer7.xml"/><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jpeg"/><Relationship Id="rId63" Type="http://schemas.openxmlformats.org/officeDocument/2006/relationships/image" Target="media/image48.pn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jpeg"/><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泡泡</dc:creator>
  <dcterms:created xsi:type="dcterms:W3CDTF">2019-03-13T00:00:56Z</dcterms:created>
  <dcterms:modified xsi:type="dcterms:W3CDTF">2019-03-13T00:00:56Z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2017-06-30T00:00:00Z</vt:filetime>
  </property>
  <property fmtid="{D5CDD505-2E9C-101B-9397-08002B2CF9AE}" pid="3" name="Creator">
    <vt:lpwstr>Acrobat PDFMaker 11 for Word</vt:lpwstr>
  </property>
  <property fmtid="{D5CDD505-2E9C-101B-9397-08002B2CF9AE}" pid="4" name="LastSaved">
    <vt:filetime>2019-03-13T00:00:00Z</vt:filetime>
  </property>
</Properties>
</file>