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7201" w14:textId="77777777" w:rsidR="00D8634F" w:rsidRPr="000C598C" w:rsidRDefault="00D8634F" w:rsidP="000C598C">
      <w:pPr>
        <w:pStyle w:val="Encabezado"/>
        <w:spacing w:line="360" w:lineRule="auto"/>
        <w:ind w:right="-316"/>
        <w:jc w:val="center"/>
        <w:rPr>
          <w:rFonts w:ascii="Arial" w:hAnsi="Arial" w:cs="Arial"/>
          <w:b/>
          <w:bCs/>
          <w:noProof/>
          <w:sz w:val="22"/>
          <w:szCs w:val="22"/>
          <w:lang w:val="pt-BR"/>
        </w:rPr>
      </w:pPr>
      <w:r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>P</w:t>
      </w:r>
      <w:r w:rsidR="0027568C"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>LAN</w:t>
      </w:r>
      <w:r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 xml:space="preserve"> DE </w:t>
      </w:r>
      <w:r w:rsidR="000C598C"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>TRABAJO</w:t>
      </w:r>
    </w:p>
    <w:p w14:paraId="5A7E6B7A" w14:textId="5B23FF5B" w:rsidR="00CF7B66" w:rsidRPr="000C598C" w:rsidRDefault="000C598C" w:rsidP="000C598C">
      <w:pPr>
        <w:pStyle w:val="Encabezado"/>
        <w:spacing w:line="360" w:lineRule="auto"/>
        <w:ind w:right="-316"/>
        <w:jc w:val="center"/>
        <w:rPr>
          <w:rFonts w:ascii="Arial" w:hAnsi="Arial" w:cs="Arial"/>
          <w:b/>
          <w:bCs/>
          <w:noProof/>
          <w:sz w:val="22"/>
          <w:szCs w:val="22"/>
          <w:lang w:val="pt-BR"/>
        </w:rPr>
      </w:pPr>
      <w:r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 xml:space="preserve">SERVICIO DE </w:t>
      </w:r>
      <w:r w:rsidR="00CA67EC">
        <w:rPr>
          <w:rFonts w:ascii="Arial" w:hAnsi="Arial" w:cs="Arial"/>
          <w:b/>
          <w:bCs/>
          <w:noProof/>
          <w:sz w:val="22"/>
          <w:szCs w:val="22"/>
          <w:lang w:val="pt-BR"/>
        </w:rPr>
        <w:t>REVISIÓN, ANÁLISIS Y ACTUALIZACIÓN DE PRECIOS Y ESTRUCTURA DE COSTOS</w:t>
      </w:r>
    </w:p>
    <w:p w14:paraId="3EEDFC5D" w14:textId="77777777" w:rsidR="000C598C" w:rsidRPr="000C598C" w:rsidRDefault="000C598C" w:rsidP="000C598C">
      <w:pPr>
        <w:pStyle w:val="Encabezado"/>
        <w:spacing w:line="360" w:lineRule="auto"/>
        <w:ind w:right="-316"/>
        <w:jc w:val="center"/>
        <w:rPr>
          <w:rFonts w:ascii="Arial" w:hAnsi="Arial" w:cs="Arial"/>
          <w:b/>
          <w:bCs/>
          <w:noProof/>
          <w:sz w:val="22"/>
          <w:szCs w:val="22"/>
          <w:lang w:val="pt-BR"/>
        </w:rPr>
      </w:pPr>
    </w:p>
    <w:p w14:paraId="4AF75BD8" w14:textId="77777777" w:rsidR="00D8634F" w:rsidRPr="000C598C" w:rsidRDefault="00D8634F" w:rsidP="000C598C">
      <w:pPr>
        <w:pStyle w:val="Encabezado"/>
        <w:numPr>
          <w:ilvl w:val="0"/>
          <w:numId w:val="5"/>
        </w:numPr>
        <w:tabs>
          <w:tab w:val="num" w:pos="0"/>
        </w:tabs>
        <w:spacing w:line="360" w:lineRule="auto"/>
        <w:rPr>
          <w:rFonts w:ascii="Arial" w:hAnsi="Arial" w:cs="Arial"/>
          <w:b/>
          <w:bCs/>
          <w:noProof/>
          <w:sz w:val="22"/>
          <w:szCs w:val="22"/>
          <w:lang w:val="pt-BR"/>
        </w:rPr>
      </w:pPr>
      <w:r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>OBJETIVO</w:t>
      </w:r>
    </w:p>
    <w:p w14:paraId="0E8B4211" w14:textId="3CD8B8AC" w:rsidR="00175A24" w:rsidRPr="000C598C" w:rsidRDefault="00175A24" w:rsidP="000C598C">
      <w:pPr>
        <w:pStyle w:val="Encabezado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0C598C">
        <w:rPr>
          <w:rFonts w:ascii="Arial" w:hAnsi="Arial" w:cs="Arial"/>
          <w:color w:val="000000"/>
          <w:sz w:val="22"/>
          <w:szCs w:val="22"/>
        </w:rPr>
        <w:t xml:space="preserve">Elaborar el expediente del </w:t>
      </w:r>
      <w:r w:rsidR="008D58CB" w:rsidRPr="000C598C">
        <w:rPr>
          <w:rFonts w:ascii="Arial" w:hAnsi="Arial" w:cs="Arial"/>
          <w:color w:val="000000"/>
          <w:sz w:val="22"/>
          <w:szCs w:val="22"/>
        </w:rPr>
        <w:t xml:space="preserve">Proyecto </w:t>
      </w:r>
      <w:r w:rsidRPr="000C598C">
        <w:rPr>
          <w:rFonts w:ascii="Arial" w:hAnsi="Arial" w:cs="Arial"/>
          <w:color w:val="000000"/>
          <w:sz w:val="22"/>
          <w:szCs w:val="22"/>
        </w:rPr>
        <w:t xml:space="preserve">de </w:t>
      </w:r>
      <w:r w:rsidR="00CA67EC">
        <w:rPr>
          <w:rFonts w:ascii="Arial" w:hAnsi="Arial" w:cs="Arial"/>
          <w:color w:val="000000"/>
          <w:sz w:val="22"/>
          <w:szCs w:val="22"/>
        </w:rPr>
        <w:t>Texto Único de Servicios No Exclusivos del Circuito Mágico del Agua y el Parque de la Exposición (TUSNE</w:t>
      </w:r>
      <w:r w:rsidRPr="000C598C">
        <w:rPr>
          <w:rFonts w:ascii="Arial" w:hAnsi="Arial" w:cs="Arial"/>
          <w:color w:val="000000"/>
          <w:sz w:val="22"/>
          <w:szCs w:val="22"/>
        </w:rPr>
        <w:t>-</w:t>
      </w:r>
      <w:r w:rsidR="00CA67EC">
        <w:rPr>
          <w:rFonts w:ascii="Arial" w:hAnsi="Arial" w:cs="Arial"/>
          <w:color w:val="000000"/>
          <w:sz w:val="22"/>
          <w:szCs w:val="22"/>
        </w:rPr>
        <w:t>CMA-PDE).</w:t>
      </w:r>
    </w:p>
    <w:p w14:paraId="0F723C6D" w14:textId="77777777" w:rsidR="008A3820" w:rsidRPr="000C598C" w:rsidRDefault="008A3820" w:rsidP="000C598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Cs/>
          <w:noProof/>
          <w:sz w:val="22"/>
          <w:szCs w:val="22"/>
        </w:rPr>
      </w:pPr>
    </w:p>
    <w:p w14:paraId="2C84E88E" w14:textId="77777777" w:rsidR="00D8634F" w:rsidRPr="000C598C" w:rsidRDefault="00D8634F" w:rsidP="000C598C">
      <w:pPr>
        <w:pStyle w:val="Encabezado"/>
        <w:numPr>
          <w:ilvl w:val="0"/>
          <w:numId w:val="5"/>
        </w:numPr>
        <w:tabs>
          <w:tab w:val="num" w:pos="0"/>
        </w:tabs>
        <w:spacing w:line="360" w:lineRule="auto"/>
        <w:rPr>
          <w:rFonts w:ascii="Arial" w:hAnsi="Arial" w:cs="Arial"/>
          <w:b/>
          <w:bCs/>
          <w:noProof/>
          <w:sz w:val="22"/>
          <w:szCs w:val="22"/>
        </w:rPr>
      </w:pPr>
      <w:r w:rsidRPr="000C598C">
        <w:rPr>
          <w:rFonts w:ascii="Arial" w:hAnsi="Arial" w:cs="Arial"/>
          <w:b/>
          <w:bCs/>
          <w:noProof/>
          <w:sz w:val="22"/>
          <w:szCs w:val="22"/>
        </w:rPr>
        <w:t>ALCANCE</w:t>
      </w:r>
    </w:p>
    <w:p w14:paraId="01DA69F4" w14:textId="57EABF47" w:rsidR="00175A24" w:rsidRPr="000C598C" w:rsidRDefault="00175A24" w:rsidP="000C598C">
      <w:pPr>
        <w:pStyle w:val="Encabezado"/>
        <w:tabs>
          <w:tab w:val="clear" w:pos="8504"/>
          <w:tab w:val="right" w:pos="8820"/>
        </w:tabs>
        <w:spacing w:line="360" w:lineRule="auto"/>
        <w:ind w:left="360" w:right="-316"/>
        <w:jc w:val="both"/>
        <w:rPr>
          <w:rFonts w:ascii="Arial" w:hAnsi="Arial" w:cs="Arial"/>
          <w:bCs/>
          <w:noProof/>
          <w:sz w:val="22"/>
          <w:szCs w:val="22"/>
        </w:rPr>
      </w:pPr>
      <w:r w:rsidRPr="000C598C">
        <w:rPr>
          <w:rFonts w:ascii="Arial" w:hAnsi="Arial" w:cs="Arial"/>
          <w:color w:val="000000"/>
          <w:sz w:val="22"/>
          <w:szCs w:val="22"/>
        </w:rPr>
        <w:t xml:space="preserve">La </w:t>
      </w:r>
      <w:r w:rsidR="00CA67EC">
        <w:rPr>
          <w:rFonts w:ascii="Arial" w:hAnsi="Arial" w:cs="Arial"/>
          <w:color w:val="000000"/>
          <w:sz w:val="22"/>
          <w:szCs w:val="22"/>
        </w:rPr>
        <w:t xml:space="preserve">elaboración </w:t>
      </w:r>
      <w:r w:rsidRPr="000C598C">
        <w:rPr>
          <w:rFonts w:ascii="Arial" w:hAnsi="Arial" w:cs="Arial"/>
          <w:color w:val="000000"/>
          <w:sz w:val="22"/>
          <w:szCs w:val="22"/>
        </w:rPr>
        <w:t xml:space="preserve">del </w:t>
      </w:r>
      <w:r w:rsidR="00CA67EC">
        <w:rPr>
          <w:rFonts w:ascii="Arial" w:hAnsi="Arial" w:cs="Arial"/>
          <w:color w:val="000000"/>
          <w:sz w:val="22"/>
          <w:szCs w:val="22"/>
        </w:rPr>
        <w:t xml:space="preserve">TUSNE </w:t>
      </w:r>
      <w:r w:rsidRPr="000C598C">
        <w:rPr>
          <w:rFonts w:ascii="Arial" w:hAnsi="Arial" w:cs="Arial"/>
          <w:color w:val="000000"/>
          <w:sz w:val="22"/>
          <w:szCs w:val="22"/>
        </w:rPr>
        <w:t>revisará los reglamentos internos que prevén</w:t>
      </w:r>
      <w:r w:rsidR="008D58CB">
        <w:rPr>
          <w:rFonts w:ascii="Arial" w:hAnsi="Arial" w:cs="Arial"/>
          <w:color w:val="000000"/>
          <w:sz w:val="22"/>
          <w:szCs w:val="22"/>
        </w:rPr>
        <w:t xml:space="preserve"> </w:t>
      </w:r>
      <w:r w:rsidR="006B64C7">
        <w:rPr>
          <w:rFonts w:ascii="Arial" w:hAnsi="Arial" w:cs="Arial"/>
          <w:color w:val="000000"/>
          <w:sz w:val="22"/>
          <w:szCs w:val="22"/>
        </w:rPr>
        <w:t xml:space="preserve">los </w:t>
      </w:r>
      <w:r w:rsidR="006B64C7" w:rsidRPr="000C598C">
        <w:rPr>
          <w:rFonts w:ascii="Arial" w:hAnsi="Arial" w:cs="Arial"/>
          <w:color w:val="000000"/>
          <w:sz w:val="22"/>
          <w:szCs w:val="22"/>
        </w:rPr>
        <w:t>procedimientos</w:t>
      </w:r>
      <w:r w:rsidRPr="000C598C">
        <w:rPr>
          <w:rFonts w:ascii="Arial" w:hAnsi="Arial" w:cs="Arial"/>
          <w:color w:val="000000"/>
          <w:sz w:val="22"/>
          <w:szCs w:val="22"/>
        </w:rPr>
        <w:t xml:space="preserve"> </w:t>
      </w:r>
      <w:r w:rsidR="00CA67EC">
        <w:rPr>
          <w:rFonts w:ascii="Arial" w:hAnsi="Arial" w:cs="Arial"/>
          <w:color w:val="000000"/>
          <w:sz w:val="22"/>
          <w:szCs w:val="22"/>
        </w:rPr>
        <w:t>que se ejecutan en la prestación de los servicios</w:t>
      </w:r>
      <w:r w:rsidRPr="000C598C">
        <w:rPr>
          <w:rFonts w:ascii="Arial" w:hAnsi="Arial" w:cs="Arial"/>
          <w:color w:val="000000"/>
          <w:sz w:val="22"/>
          <w:szCs w:val="22"/>
        </w:rPr>
        <w:t xml:space="preserve"> </w:t>
      </w:r>
      <w:r w:rsidR="00CA67EC">
        <w:rPr>
          <w:rFonts w:ascii="Arial" w:hAnsi="Arial" w:cs="Arial"/>
          <w:color w:val="000000"/>
          <w:sz w:val="22"/>
          <w:szCs w:val="22"/>
        </w:rPr>
        <w:t xml:space="preserve">no exclusivos </w:t>
      </w:r>
      <w:r w:rsidRPr="000C598C">
        <w:rPr>
          <w:rFonts w:ascii="Arial" w:hAnsi="Arial" w:cs="Arial"/>
          <w:color w:val="000000"/>
          <w:sz w:val="22"/>
          <w:szCs w:val="22"/>
        </w:rPr>
        <w:t xml:space="preserve">y las leyes y normas de alcance general </w:t>
      </w:r>
      <w:r w:rsidR="0030482D" w:rsidRPr="000C598C">
        <w:rPr>
          <w:rFonts w:ascii="Arial" w:hAnsi="Arial" w:cs="Arial"/>
          <w:color w:val="000000"/>
          <w:sz w:val="22"/>
          <w:szCs w:val="22"/>
        </w:rPr>
        <w:t xml:space="preserve">relacionados con el </w:t>
      </w:r>
      <w:r w:rsidR="00CA67EC">
        <w:rPr>
          <w:rFonts w:ascii="Arial" w:hAnsi="Arial" w:cs="Arial"/>
          <w:color w:val="000000"/>
          <w:sz w:val="22"/>
          <w:szCs w:val="22"/>
        </w:rPr>
        <w:t>TUSNE</w:t>
      </w:r>
      <w:r w:rsidR="0030482D" w:rsidRPr="000C598C">
        <w:rPr>
          <w:rFonts w:ascii="Arial" w:hAnsi="Arial" w:cs="Arial"/>
          <w:color w:val="000000"/>
          <w:sz w:val="22"/>
          <w:szCs w:val="22"/>
        </w:rPr>
        <w:t xml:space="preserve"> de</w:t>
      </w:r>
      <w:r w:rsidR="00CA67EC">
        <w:rPr>
          <w:rFonts w:ascii="Arial" w:hAnsi="Arial" w:cs="Arial"/>
          <w:color w:val="000000"/>
          <w:sz w:val="22"/>
          <w:szCs w:val="22"/>
        </w:rPr>
        <w:t>l CMA y PDE</w:t>
      </w:r>
      <w:r w:rsidR="0030482D" w:rsidRPr="000C598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0C598C">
        <w:rPr>
          <w:rFonts w:ascii="Arial" w:hAnsi="Arial" w:cs="Arial"/>
          <w:color w:val="000000"/>
          <w:sz w:val="22"/>
          <w:szCs w:val="22"/>
        </w:rPr>
        <w:t xml:space="preserve">desde la identificación del inventario de </w:t>
      </w:r>
      <w:r w:rsidR="00CA67EC">
        <w:rPr>
          <w:rFonts w:ascii="Arial" w:hAnsi="Arial" w:cs="Arial"/>
          <w:color w:val="000000"/>
          <w:sz w:val="22"/>
          <w:szCs w:val="22"/>
        </w:rPr>
        <w:t xml:space="preserve">servicios no exclusivos </w:t>
      </w:r>
      <w:r w:rsidRPr="000C598C">
        <w:rPr>
          <w:rFonts w:ascii="Arial" w:hAnsi="Arial" w:cs="Arial"/>
          <w:color w:val="000000"/>
          <w:sz w:val="22"/>
          <w:szCs w:val="22"/>
        </w:rPr>
        <w:t xml:space="preserve">hasta la elaboración del expediente del </w:t>
      </w:r>
      <w:r w:rsidR="008D58CB" w:rsidRPr="000C598C">
        <w:rPr>
          <w:rFonts w:ascii="Arial" w:hAnsi="Arial" w:cs="Arial"/>
          <w:color w:val="000000"/>
          <w:sz w:val="22"/>
          <w:szCs w:val="22"/>
        </w:rPr>
        <w:t xml:space="preserve">Proyecto </w:t>
      </w:r>
      <w:r w:rsidR="00CA67EC">
        <w:rPr>
          <w:rFonts w:ascii="Arial" w:hAnsi="Arial" w:cs="Arial"/>
          <w:color w:val="000000"/>
          <w:sz w:val="22"/>
          <w:szCs w:val="22"/>
        </w:rPr>
        <w:t>TUSNE</w:t>
      </w:r>
      <w:r w:rsidR="0030482D" w:rsidRPr="000C598C">
        <w:rPr>
          <w:rFonts w:ascii="Arial" w:hAnsi="Arial" w:cs="Arial"/>
          <w:color w:val="000000"/>
          <w:sz w:val="22"/>
          <w:szCs w:val="22"/>
        </w:rPr>
        <w:t>-</w:t>
      </w:r>
      <w:r w:rsidR="00CA67EC">
        <w:rPr>
          <w:rFonts w:ascii="Arial" w:hAnsi="Arial" w:cs="Arial"/>
          <w:color w:val="000000"/>
          <w:sz w:val="22"/>
          <w:szCs w:val="22"/>
        </w:rPr>
        <w:t>CMA-PDE</w:t>
      </w:r>
      <w:r w:rsidRPr="000C598C">
        <w:rPr>
          <w:rFonts w:ascii="Arial" w:hAnsi="Arial" w:cs="Arial"/>
          <w:color w:val="000000"/>
          <w:sz w:val="22"/>
          <w:szCs w:val="22"/>
        </w:rPr>
        <w:t>.</w:t>
      </w:r>
    </w:p>
    <w:p w14:paraId="331F6B5E" w14:textId="77777777" w:rsidR="008D4E71" w:rsidRPr="000C598C" w:rsidRDefault="008D4E71" w:rsidP="000C598C">
      <w:pPr>
        <w:pStyle w:val="Encabezado"/>
        <w:tabs>
          <w:tab w:val="clear" w:pos="8504"/>
          <w:tab w:val="right" w:pos="8820"/>
        </w:tabs>
        <w:spacing w:line="360" w:lineRule="auto"/>
        <w:ind w:left="360" w:right="-316"/>
        <w:jc w:val="both"/>
        <w:rPr>
          <w:rFonts w:ascii="Arial" w:hAnsi="Arial" w:cs="Arial"/>
          <w:bCs/>
          <w:noProof/>
          <w:sz w:val="22"/>
          <w:szCs w:val="22"/>
        </w:rPr>
      </w:pPr>
    </w:p>
    <w:p w14:paraId="5766B1B1" w14:textId="77777777" w:rsidR="008D4E71" w:rsidRPr="000C598C" w:rsidRDefault="008D4E71" w:rsidP="000C598C">
      <w:pPr>
        <w:pStyle w:val="Encabezado"/>
        <w:numPr>
          <w:ilvl w:val="0"/>
          <w:numId w:val="5"/>
        </w:numPr>
        <w:tabs>
          <w:tab w:val="num" w:pos="0"/>
        </w:tabs>
        <w:spacing w:line="360" w:lineRule="auto"/>
        <w:rPr>
          <w:rFonts w:ascii="Arial" w:hAnsi="Arial" w:cs="Arial"/>
          <w:b/>
          <w:bCs/>
          <w:noProof/>
          <w:sz w:val="22"/>
          <w:szCs w:val="22"/>
        </w:rPr>
      </w:pPr>
      <w:r w:rsidRPr="000C598C">
        <w:rPr>
          <w:rFonts w:ascii="Arial" w:hAnsi="Arial" w:cs="Arial"/>
          <w:b/>
          <w:bCs/>
          <w:noProof/>
          <w:sz w:val="22"/>
          <w:szCs w:val="22"/>
        </w:rPr>
        <w:t xml:space="preserve">CRITERIOS </w:t>
      </w:r>
    </w:p>
    <w:p w14:paraId="19BBBB27" w14:textId="59AFF72A" w:rsidR="00915D07" w:rsidRPr="000C598C" w:rsidRDefault="00D373FD" w:rsidP="000C598C">
      <w:pPr>
        <w:pStyle w:val="Encabezado"/>
        <w:tabs>
          <w:tab w:val="clear" w:pos="8504"/>
          <w:tab w:val="right" w:pos="8820"/>
        </w:tabs>
        <w:spacing w:line="360" w:lineRule="auto"/>
        <w:ind w:left="360" w:right="-316"/>
        <w:jc w:val="both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identificación de los servicios se realizará en consideración del numeral 43.4 del D.S.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004-2019-JUS, TUO de la Ley del Procedimiento Administrativo General, al amparo del Artículo 18-A de la Ley 29151, Ley General del Sistema Nacional de Bienes Estatales, respecto del usufructo de bienes inmuebles. Para la determinación de las tarifas se utilizará el sistema </w:t>
      </w:r>
      <w:r w:rsidR="0030482D" w:rsidRPr="000C598C">
        <w:rPr>
          <w:rFonts w:ascii="Arial" w:hAnsi="Arial" w:cs="Arial"/>
          <w:color w:val="000000"/>
          <w:sz w:val="22"/>
          <w:szCs w:val="22"/>
        </w:rPr>
        <w:t>de cost</w:t>
      </w:r>
      <w:r>
        <w:rPr>
          <w:rFonts w:ascii="Arial" w:hAnsi="Arial" w:cs="Arial"/>
          <w:color w:val="000000"/>
          <w:sz w:val="22"/>
          <w:szCs w:val="22"/>
        </w:rPr>
        <w:t>eo</w:t>
      </w:r>
      <w:r w:rsidR="0030482D" w:rsidRPr="000C598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basado en actividades,</w:t>
      </w:r>
      <w:r w:rsidR="00915D07" w:rsidRPr="000C598C">
        <w:rPr>
          <w:rFonts w:ascii="Arial" w:hAnsi="Arial" w:cs="Arial"/>
          <w:color w:val="000000"/>
          <w:sz w:val="22"/>
          <w:szCs w:val="22"/>
        </w:rPr>
        <w:t xml:space="preserve"> </w:t>
      </w:r>
      <w:r w:rsidR="00915D07" w:rsidRPr="000C598C">
        <w:rPr>
          <w:rFonts w:ascii="Arial" w:hAnsi="Arial" w:cs="Arial"/>
          <w:bCs/>
          <w:noProof/>
          <w:sz w:val="22"/>
          <w:szCs w:val="22"/>
        </w:rPr>
        <w:t xml:space="preserve">y la normatividad legal relacionada al </w:t>
      </w:r>
      <w:r>
        <w:rPr>
          <w:rFonts w:ascii="Arial" w:hAnsi="Arial" w:cs="Arial"/>
          <w:bCs/>
          <w:noProof/>
          <w:sz w:val="22"/>
          <w:szCs w:val="22"/>
        </w:rPr>
        <w:t>TUSNE</w:t>
      </w:r>
      <w:r w:rsidR="00915D07" w:rsidRPr="000C598C">
        <w:rPr>
          <w:rFonts w:ascii="Arial" w:hAnsi="Arial" w:cs="Arial"/>
          <w:bCs/>
          <w:noProof/>
          <w:sz w:val="22"/>
          <w:szCs w:val="22"/>
        </w:rPr>
        <w:t>.</w:t>
      </w:r>
    </w:p>
    <w:p w14:paraId="52079791" w14:textId="77777777" w:rsidR="00D8634F" w:rsidRPr="000C598C" w:rsidRDefault="00D8634F" w:rsidP="000C598C">
      <w:pPr>
        <w:pStyle w:val="Encabezado"/>
        <w:tabs>
          <w:tab w:val="clear" w:pos="8504"/>
          <w:tab w:val="right" w:pos="8820"/>
        </w:tabs>
        <w:spacing w:line="360" w:lineRule="auto"/>
        <w:ind w:left="360" w:right="-316"/>
        <w:jc w:val="both"/>
        <w:rPr>
          <w:rFonts w:ascii="Arial" w:hAnsi="Arial" w:cs="Arial"/>
          <w:bCs/>
          <w:noProof/>
          <w:sz w:val="22"/>
          <w:szCs w:val="22"/>
        </w:rPr>
      </w:pPr>
      <w:r w:rsidRPr="000C598C">
        <w:rPr>
          <w:rFonts w:ascii="Arial" w:hAnsi="Arial" w:cs="Arial"/>
          <w:bCs/>
          <w:noProof/>
          <w:sz w:val="22"/>
          <w:szCs w:val="22"/>
        </w:rPr>
        <w:t xml:space="preserve">  </w:t>
      </w:r>
      <w:r w:rsidRPr="000C598C">
        <w:rPr>
          <w:rFonts w:ascii="Arial" w:hAnsi="Arial" w:cs="Arial"/>
          <w:bCs/>
          <w:noProof/>
          <w:sz w:val="22"/>
          <w:szCs w:val="22"/>
        </w:rPr>
        <w:tab/>
      </w:r>
    </w:p>
    <w:p w14:paraId="084E6BB2" w14:textId="77777777" w:rsidR="00D8634F" w:rsidRPr="000C598C" w:rsidRDefault="00D8634F" w:rsidP="000C598C">
      <w:pPr>
        <w:pStyle w:val="Encabezado"/>
        <w:numPr>
          <w:ilvl w:val="0"/>
          <w:numId w:val="5"/>
        </w:numPr>
        <w:tabs>
          <w:tab w:val="num" w:pos="0"/>
        </w:tabs>
        <w:spacing w:line="360" w:lineRule="auto"/>
        <w:rPr>
          <w:rFonts w:ascii="Arial" w:hAnsi="Arial" w:cs="Arial"/>
          <w:b/>
          <w:bCs/>
          <w:noProof/>
          <w:sz w:val="22"/>
          <w:szCs w:val="22"/>
        </w:rPr>
      </w:pPr>
      <w:r w:rsidRPr="000C598C">
        <w:rPr>
          <w:rFonts w:ascii="Arial" w:hAnsi="Arial" w:cs="Arial"/>
          <w:b/>
          <w:bCs/>
          <w:noProof/>
          <w:sz w:val="22"/>
          <w:szCs w:val="22"/>
        </w:rPr>
        <w:t xml:space="preserve">FECHA </w:t>
      </w:r>
      <w:r w:rsidR="001059F8" w:rsidRPr="000C598C">
        <w:rPr>
          <w:rFonts w:ascii="Arial" w:hAnsi="Arial" w:cs="Arial"/>
          <w:b/>
          <w:bCs/>
          <w:noProof/>
          <w:sz w:val="22"/>
          <w:szCs w:val="22"/>
        </w:rPr>
        <w:t xml:space="preserve">Y LUGAR </w:t>
      </w:r>
      <w:r w:rsidRPr="000C598C">
        <w:rPr>
          <w:rFonts w:ascii="Arial" w:hAnsi="Arial" w:cs="Arial"/>
          <w:b/>
          <w:bCs/>
          <w:noProof/>
          <w:sz w:val="22"/>
          <w:szCs w:val="22"/>
        </w:rPr>
        <w:t>DE</w:t>
      </w:r>
      <w:r w:rsidR="00915D07" w:rsidRPr="000C598C">
        <w:rPr>
          <w:rFonts w:ascii="Arial" w:hAnsi="Arial" w:cs="Arial"/>
          <w:b/>
          <w:bCs/>
          <w:noProof/>
          <w:sz w:val="22"/>
          <w:szCs w:val="22"/>
        </w:rPr>
        <w:t xml:space="preserve"> PRESTACIÓN DEL SERVICIO</w:t>
      </w:r>
    </w:p>
    <w:p w14:paraId="43865338" w14:textId="1F559B41" w:rsidR="001059F8" w:rsidRPr="000C598C" w:rsidRDefault="001059F8" w:rsidP="000C598C">
      <w:pPr>
        <w:pStyle w:val="Encabezado"/>
        <w:spacing w:line="360" w:lineRule="auto"/>
        <w:ind w:left="360"/>
        <w:rPr>
          <w:rFonts w:ascii="Arial" w:hAnsi="Arial" w:cs="Arial"/>
          <w:bCs/>
          <w:noProof/>
          <w:sz w:val="22"/>
          <w:szCs w:val="22"/>
        </w:rPr>
      </w:pPr>
      <w:r w:rsidRPr="000C598C">
        <w:rPr>
          <w:rFonts w:ascii="Arial" w:hAnsi="Arial" w:cs="Arial"/>
          <w:bCs/>
          <w:noProof/>
          <w:sz w:val="22"/>
          <w:szCs w:val="22"/>
        </w:rPr>
        <w:t xml:space="preserve">Fecha  : </w:t>
      </w:r>
      <w:r w:rsidR="00915D07" w:rsidRPr="000C598C">
        <w:rPr>
          <w:rFonts w:ascii="Arial" w:hAnsi="Arial" w:cs="Arial"/>
          <w:bCs/>
          <w:noProof/>
          <w:sz w:val="22"/>
          <w:szCs w:val="22"/>
        </w:rPr>
        <w:t>2</w:t>
      </w:r>
      <w:r w:rsidR="00D373FD">
        <w:rPr>
          <w:rFonts w:ascii="Arial" w:hAnsi="Arial" w:cs="Arial"/>
          <w:bCs/>
          <w:noProof/>
          <w:sz w:val="22"/>
          <w:szCs w:val="22"/>
        </w:rPr>
        <w:t>4</w:t>
      </w:r>
      <w:r w:rsidR="00915D07" w:rsidRPr="000C598C">
        <w:rPr>
          <w:rFonts w:ascii="Arial" w:hAnsi="Arial" w:cs="Arial"/>
          <w:bCs/>
          <w:noProof/>
          <w:sz w:val="22"/>
          <w:szCs w:val="22"/>
        </w:rPr>
        <w:t xml:space="preserve">/12/2022 al </w:t>
      </w:r>
      <w:r w:rsidR="00C22D65">
        <w:rPr>
          <w:rFonts w:ascii="Arial" w:hAnsi="Arial" w:cs="Arial"/>
          <w:bCs/>
          <w:noProof/>
          <w:sz w:val="22"/>
          <w:szCs w:val="22"/>
        </w:rPr>
        <w:t>23</w:t>
      </w:r>
      <w:r w:rsidR="00915D07" w:rsidRPr="000C598C">
        <w:rPr>
          <w:rFonts w:ascii="Arial" w:hAnsi="Arial" w:cs="Arial"/>
          <w:bCs/>
          <w:noProof/>
          <w:sz w:val="22"/>
          <w:szCs w:val="22"/>
        </w:rPr>
        <w:t>/0</w:t>
      </w:r>
      <w:r w:rsidR="00C22D65">
        <w:rPr>
          <w:rFonts w:ascii="Arial" w:hAnsi="Arial" w:cs="Arial"/>
          <w:bCs/>
          <w:noProof/>
          <w:sz w:val="22"/>
          <w:szCs w:val="22"/>
        </w:rPr>
        <w:t>6</w:t>
      </w:r>
      <w:r w:rsidR="00915D07" w:rsidRPr="000C598C">
        <w:rPr>
          <w:rFonts w:ascii="Arial" w:hAnsi="Arial" w:cs="Arial"/>
          <w:bCs/>
          <w:noProof/>
          <w:sz w:val="22"/>
          <w:szCs w:val="22"/>
        </w:rPr>
        <w:t>/2023.</w:t>
      </w:r>
    </w:p>
    <w:p w14:paraId="13337718" w14:textId="38D8CE90" w:rsidR="00137BF5" w:rsidRPr="000C598C" w:rsidRDefault="00D85C94" w:rsidP="000C598C">
      <w:pPr>
        <w:pStyle w:val="Encabezado"/>
        <w:spacing w:line="360" w:lineRule="auto"/>
        <w:ind w:left="360"/>
        <w:rPr>
          <w:rFonts w:ascii="Arial" w:hAnsi="Arial" w:cs="Arial"/>
          <w:bCs/>
          <w:noProof/>
          <w:sz w:val="22"/>
          <w:szCs w:val="22"/>
          <w:lang w:val="it-IT"/>
        </w:rPr>
      </w:pPr>
      <w:r w:rsidRPr="000C598C">
        <w:rPr>
          <w:rFonts w:ascii="Arial" w:hAnsi="Arial" w:cs="Arial"/>
          <w:bCs/>
          <w:noProof/>
          <w:sz w:val="22"/>
          <w:szCs w:val="22"/>
          <w:lang w:val="it-IT"/>
        </w:rPr>
        <w:t xml:space="preserve">Lugar   : Sede </w:t>
      </w:r>
      <w:r w:rsidR="00D373FD">
        <w:rPr>
          <w:rFonts w:ascii="Arial" w:hAnsi="Arial" w:cs="Arial"/>
          <w:bCs/>
          <w:noProof/>
          <w:sz w:val="22"/>
          <w:szCs w:val="22"/>
          <w:lang w:val="it-IT"/>
        </w:rPr>
        <w:t>del CMA</w:t>
      </w:r>
      <w:r w:rsidR="00C22D65">
        <w:rPr>
          <w:rFonts w:ascii="Arial" w:hAnsi="Arial" w:cs="Arial"/>
          <w:bCs/>
          <w:noProof/>
          <w:sz w:val="22"/>
          <w:szCs w:val="22"/>
          <w:lang w:val="it-IT"/>
        </w:rPr>
        <w:t>,</w:t>
      </w:r>
      <w:r w:rsidR="00D373FD">
        <w:rPr>
          <w:rFonts w:ascii="Arial" w:hAnsi="Arial" w:cs="Arial"/>
          <w:bCs/>
          <w:noProof/>
          <w:sz w:val="22"/>
          <w:szCs w:val="22"/>
          <w:lang w:val="it-IT"/>
        </w:rPr>
        <w:t xml:space="preserve"> PDE y locación del proveedor</w:t>
      </w:r>
      <w:r w:rsidR="00915D07" w:rsidRPr="000C598C">
        <w:rPr>
          <w:rFonts w:ascii="Arial" w:hAnsi="Arial" w:cs="Arial"/>
          <w:bCs/>
          <w:noProof/>
          <w:sz w:val="22"/>
          <w:szCs w:val="22"/>
          <w:lang w:val="it-IT"/>
        </w:rPr>
        <w:t>.</w:t>
      </w:r>
    </w:p>
    <w:p w14:paraId="386C8ED7" w14:textId="77777777" w:rsidR="00137BF5" w:rsidRPr="000C598C" w:rsidRDefault="00137BF5" w:rsidP="000C598C">
      <w:pPr>
        <w:pStyle w:val="Encabezado"/>
        <w:spacing w:line="360" w:lineRule="auto"/>
        <w:rPr>
          <w:rFonts w:ascii="Arial" w:hAnsi="Arial" w:cs="Arial"/>
          <w:b/>
          <w:bCs/>
          <w:noProof/>
          <w:sz w:val="22"/>
          <w:szCs w:val="22"/>
          <w:lang w:val="pt-BR"/>
        </w:rPr>
      </w:pPr>
    </w:p>
    <w:p w14:paraId="37B08DA5" w14:textId="77777777" w:rsidR="00D8634F" w:rsidRPr="000C598C" w:rsidRDefault="001059F8" w:rsidP="000C598C">
      <w:pPr>
        <w:pStyle w:val="Encabezado"/>
        <w:numPr>
          <w:ilvl w:val="0"/>
          <w:numId w:val="5"/>
        </w:numPr>
        <w:tabs>
          <w:tab w:val="num" w:pos="0"/>
        </w:tabs>
        <w:spacing w:line="360" w:lineRule="auto"/>
        <w:rPr>
          <w:rFonts w:ascii="Arial" w:hAnsi="Arial" w:cs="Arial"/>
          <w:b/>
          <w:bCs/>
          <w:noProof/>
          <w:sz w:val="22"/>
          <w:szCs w:val="22"/>
          <w:lang w:val="pt-BR"/>
        </w:rPr>
      </w:pPr>
      <w:r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 xml:space="preserve">EQUIPO DE </w:t>
      </w:r>
      <w:r w:rsidR="00A53612"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>TRABAJO</w:t>
      </w:r>
      <w:r w:rsidR="00D8634F"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 xml:space="preserve"> </w:t>
      </w:r>
    </w:p>
    <w:p w14:paraId="0B36CDFC" w14:textId="77777777" w:rsidR="00452F2B" w:rsidRPr="000C598C" w:rsidRDefault="00452F2B" w:rsidP="000C598C">
      <w:pPr>
        <w:pStyle w:val="Prrafodelista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0C598C">
        <w:rPr>
          <w:rFonts w:ascii="Arial" w:eastAsia="Times New Roman" w:hAnsi="Arial" w:cs="Arial"/>
          <w:color w:val="000000"/>
          <w:lang w:eastAsia="es-ES"/>
        </w:rPr>
        <w:t>Integrantes:</w:t>
      </w:r>
    </w:p>
    <w:p w14:paraId="5088E442" w14:textId="6D2D8922" w:rsidR="00A53612" w:rsidRPr="000C598C" w:rsidRDefault="00A53612" w:rsidP="000C598C">
      <w:pPr>
        <w:pStyle w:val="Prrafodelista"/>
        <w:spacing w:after="0" w:line="360" w:lineRule="auto"/>
        <w:ind w:left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0C598C">
        <w:rPr>
          <w:rFonts w:ascii="Arial" w:eastAsia="Times New Roman" w:hAnsi="Arial" w:cs="Arial"/>
          <w:color w:val="000000"/>
          <w:lang w:eastAsia="es-ES"/>
        </w:rPr>
        <w:t>Coordinador del Servicio</w:t>
      </w:r>
      <w:r w:rsidR="00D560BC">
        <w:rPr>
          <w:rFonts w:ascii="Arial" w:eastAsia="Times New Roman" w:hAnsi="Arial" w:cs="Arial"/>
          <w:color w:val="000000"/>
          <w:lang w:eastAsia="es-ES"/>
        </w:rPr>
        <w:t xml:space="preserve"> (CS)</w:t>
      </w:r>
      <w:r w:rsidRPr="000C598C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C22D65">
        <w:rPr>
          <w:rFonts w:ascii="Arial" w:eastAsia="Times New Roman" w:hAnsi="Arial" w:cs="Arial"/>
          <w:color w:val="000000"/>
          <w:lang w:eastAsia="es-ES"/>
        </w:rPr>
        <w:t>___</w:t>
      </w:r>
      <w:r w:rsidRPr="000C598C">
        <w:rPr>
          <w:rFonts w:ascii="Arial" w:eastAsia="Times New Roman" w:hAnsi="Arial" w:cs="Arial"/>
          <w:color w:val="000000"/>
          <w:lang w:eastAsia="es-ES"/>
        </w:rPr>
        <w:t>.</w:t>
      </w:r>
    </w:p>
    <w:p w14:paraId="2EA99C28" w14:textId="77777777" w:rsidR="00A53612" w:rsidRPr="000C598C" w:rsidRDefault="00A53612" w:rsidP="000C598C">
      <w:pPr>
        <w:pStyle w:val="Prrafodelista"/>
        <w:spacing w:after="0" w:line="360" w:lineRule="auto"/>
        <w:ind w:left="0" w:firstLine="360"/>
        <w:jc w:val="both"/>
        <w:rPr>
          <w:rFonts w:ascii="Arial" w:eastAsia="Times New Roman" w:hAnsi="Arial" w:cs="Arial"/>
          <w:color w:val="000000"/>
          <w:lang w:eastAsia="es-ES"/>
        </w:rPr>
      </w:pPr>
      <w:r w:rsidRPr="000C598C">
        <w:rPr>
          <w:rFonts w:ascii="Arial" w:eastAsia="Times New Roman" w:hAnsi="Arial" w:cs="Arial"/>
          <w:color w:val="000000"/>
          <w:lang w:eastAsia="es-ES"/>
        </w:rPr>
        <w:t>Consultor</w:t>
      </w:r>
      <w:r w:rsidR="00D560BC">
        <w:rPr>
          <w:rFonts w:ascii="Arial" w:eastAsia="Times New Roman" w:hAnsi="Arial" w:cs="Arial"/>
          <w:color w:val="000000"/>
          <w:lang w:eastAsia="es-ES"/>
        </w:rPr>
        <w:t xml:space="preserve"> (C)</w:t>
      </w:r>
      <w:r w:rsidRPr="000C598C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="00452F2B" w:rsidRPr="000C598C">
        <w:rPr>
          <w:rFonts w:ascii="Arial" w:eastAsia="Times New Roman" w:hAnsi="Arial" w:cs="Arial"/>
          <w:color w:val="000000"/>
          <w:lang w:eastAsia="es-ES"/>
        </w:rPr>
        <w:t>David Salomón Escalante Candia.</w:t>
      </w:r>
    </w:p>
    <w:p w14:paraId="3BD87EC0" w14:textId="77777777" w:rsidR="00306CB1" w:rsidRPr="000C598C" w:rsidRDefault="00306CB1" w:rsidP="000C598C">
      <w:pPr>
        <w:pStyle w:val="Default"/>
        <w:spacing w:line="360" w:lineRule="auto"/>
        <w:rPr>
          <w:sz w:val="22"/>
          <w:szCs w:val="22"/>
        </w:rPr>
      </w:pPr>
    </w:p>
    <w:p w14:paraId="7B836BE1" w14:textId="77777777" w:rsidR="000C598C" w:rsidRPr="000C598C" w:rsidRDefault="000C598C" w:rsidP="000C598C">
      <w:pPr>
        <w:pStyle w:val="Encabezado"/>
        <w:numPr>
          <w:ilvl w:val="0"/>
          <w:numId w:val="5"/>
        </w:numPr>
        <w:tabs>
          <w:tab w:val="num" w:pos="0"/>
        </w:tabs>
        <w:spacing w:line="360" w:lineRule="auto"/>
        <w:rPr>
          <w:rFonts w:ascii="Arial" w:hAnsi="Arial" w:cs="Arial"/>
          <w:b/>
          <w:bCs/>
          <w:noProof/>
          <w:sz w:val="22"/>
          <w:szCs w:val="22"/>
          <w:lang w:val="pt-BR"/>
        </w:rPr>
      </w:pPr>
      <w:r w:rsidRPr="000C598C">
        <w:rPr>
          <w:rFonts w:ascii="Arial" w:hAnsi="Arial" w:cs="Arial"/>
          <w:b/>
          <w:bCs/>
          <w:noProof/>
          <w:sz w:val="22"/>
          <w:szCs w:val="22"/>
          <w:lang w:val="pt-BR"/>
        </w:rPr>
        <w:t>CRONOGRAMA DE ACTIVIDADES</w:t>
      </w:r>
    </w:p>
    <w:p w14:paraId="7BCE98A9" w14:textId="0499EFA9" w:rsidR="007F6636" w:rsidRDefault="00D560BC" w:rsidP="00D560BC">
      <w:pPr>
        <w:pStyle w:val="Encabezado"/>
        <w:tabs>
          <w:tab w:val="clear" w:pos="8504"/>
          <w:tab w:val="right" w:pos="8820"/>
        </w:tabs>
        <w:spacing w:line="360" w:lineRule="auto"/>
        <w:ind w:left="360" w:right="-316"/>
        <w:jc w:val="both"/>
        <w:rPr>
          <w:rFonts w:ascii="Arial" w:hAnsi="Arial" w:cs="Arial"/>
          <w:color w:val="000000"/>
          <w:sz w:val="22"/>
          <w:szCs w:val="22"/>
        </w:rPr>
      </w:pPr>
      <w:r w:rsidRPr="00D560BC">
        <w:rPr>
          <w:rFonts w:ascii="Arial" w:hAnsi="Arial" w:cs="Arial"/>
          <w:color w:val="000000"/>
          <w:sz w:val="22"/>
          <w:szCs w:val="22"/>
        </w:rPr>
        <w:t xml:space="preserve">El servicio de </w:t>
      </w:r>
      <w:r w:rsidR="00C22D65">
        <w:rPr>
          <w:rFonts w:ascii="Arial" w:hAnsi="Arial" w:cs="Arial"/>
          <w:color w:val="000000"/>
          <w:sz w:val="22"/>
          <w:szCs w:val="22"/>
        </w:rPr>
        <w:t>elaboración</w:t>
      </w:r>
      <w:r w:rsidRPr="00D560BC">
        <w:rPr>
          <w:rFonts w:ascii="Arial" w:hAnsi="Arial" w:cs="Arial"/>
          <w:color w:val="000000"/>
          <w:sz w:val="22"/>
          <w:szCs w:val="22"/>
        </w:rPr>
        <w:t xml:space="preserve"> del </w:t>
      </w:r>
      <w:r w:rsidR="00C22D65">
        <w:rPr>
          <w:rFonts w:ascii="Arial" w:hAnsi="Arial" w:cs="Arial"/>
          <w:color w:val="000000"/>
          <w:sz w:val="22"/>
          <w:szCs w:val="22"/>
        </w:rPr>
        <w:t>Expediente TUSNE</w:t>
      </w:r>
      <w:r w:rsidRPr="00D560BC">
        <w:rPr>
          <w:rFonts w:ascii="Arial" w:hAnsi="Arial" w:cs="Arial"/>
          <w:color w:val="000000"/>
          <w:sz w:val="22"/>
          <w:szCs w:val="22"/>
        </w:rPr>
        <w:t xml:space="preserve"> de</w:t>
      </w:r>
      <w:r w:rsidR="00C22D65">
        <w:rPr>
          <w:rFonts w:ascii="Arial" w:hAnsi="Arial" w:cs="Arial"/>
          <w:color w:val="000000"/>
          <w:sz w:val="22"/>
          <w:szCs w:val="22"/>
        </w:rPr>
        <w:t>l CMA y PDE</w:t>
      </w:r>
      <w:r w:rsidRPr="00D560BC">
        <w:rPr>
          <w:rFonts w:ascii="Arial" w:hAnsi="Arial" w:cs="Arial"/>
          <w:color w:val="000000"/>
          <w:sz w:val="22"/>
          <w:szCs w:val="22"/>
        </w:rPr>
        <w:t xml:space="preserve"> se prestará en un plazo de 30 días calendario</w:t>
      </w:r>
      <w:r w:rsidR="005A396D">
        <w:rPr>
          <w:rFonts w:ascii="Arial" w:hAnsi="Arial" w:cs="Arial"/>
          <w:color w:val="000000"/>
          <w:sz w:val="22"/>
          <w:szCs w:val="22"/>
        </w:rPr>
        <w:t>,</w:t>
      </w:r>
      <w:r w:rsidRPr="00D560BC">
        <w:rPr>
          <w:rFonts w:ascii="Arial" w:hAnsi="Arial" w:cs="Arial"/>
          <w:color w:val="000000"/>
          <w:sz w:val="22"/>
          <w:szCs w:val="22"/>
        </w:rPr>
        <w:t xml:space="preserve"> bajo el siguiente cronograma de actividades.</w:t>
      </w:r>
    </w:p>
    <w:p w14:paraId="3FC38A66" w14:textId="77777777" w:rsidR="003B434F" w:rsidRPr="00D560BC" w:rsidRDefault="003B434F" w:rsidP="003B434F">
      <w:pPr>
        <w:pStyle w:val="Encabezado"/>
        <w:tabs>
          <w:tab w:val="clear" w:pos="8504"/>
          <w:tab w:val="right" w:pos="8820"/>
        </w:tabs>
        <w:spacing w:line="360" w:lineRule="auto"/>
        <w:ind w:right="-316"/>
        <w:jc w:val="both"/>
        <w:rPr>
          <w:rFonts w:ascii="Arial" w:hAnsi="Arial" w:cs="Arial"/>
          <w:color w:val="000000"/>
          <w:sz w:val="22"/>
          <w:szCs w:val="22"/>
        </w:rPr>
        <w:sectPr w:rsidR="003B434F" w:rsidRPr="00D560BC" w:rsidSect="009503F9">
          <w:headerReference w:type="default" r:id="rId7"/>
          <w:footerReference w:type="even" r:id="rId8"/>
          <w:footerReference w:type="default" r:id="rId9"/>
          <w:footerReference w:type="first" r:id="rId10"/>
          <w:type w:val="continuous"/>
          <w:pgSz w:w="11906" w:h="16838" w:code="9"/>
          <w:pgMar w:top="1417" w:right="1701" w:bottom="1417" w:left="1701" w:header="567" w:footer="709" w:gutter="0"/>
          <w:pgNumType w:start="1"/>
          <w:cols w:space="708"/>
          <w:titlePg/>
          <w:docGrid w:linePitch="360"/>
        </w:sectPr>
      </w:pPr>
    </w:p>
    <w:tbl>
      <w:tblPr>
        <w:tblW w:w="153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9"/>
        <w:gridCol w:w="1586"/>
        <w:gridCol w:w="2925"/>
        <w:gridCol w:w="8895"/>
        <w:gridCol w:w="1293"/>
      </w:tblGrid>
      <w:tr w:rsidR="009503F9" w:rsidRPr="009503F9" w14:paraId="04305EA0" w14:textId="77777777" w:rsidTr="00062FF9">
        <w:trPr>
          <w:trHeight w:val="567"/>
          <w:jc w:val="center"/>
        </w:trPr>
        <w:tc>
          <w:tcPr>
            <w:tcW w:w="15378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A14066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CRONOGRAMA DE ACTIVIDADES</w:t>
            </w:r>
          </w:p>
        </w:tc>
      </w:tr>
      <w:tr w:rsidR="009503F9" w:rsidRPr="009503F9" w14:paraId="0D02AFE9" w14:textId="77777777" w:rsidTr="00062FF9">
        <w:trPr>
          <w:trHeight w:val="454"/>
          <w:jc w:val="center"/>
        </w:trPr>
        <w:tc>
          <w:tcPr>
            <w:tcW w:w="15378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AAE43C" w14:textId="7519CD83" w:rsidR="009503F9" w:rsidRPr="009503F9" w:rsidRDefault="00C22D65" w:rsidP="00B25C5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ELABORACIÓN</w:t>
            </w:r>
            <w:r w:rsidR="009503F9"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DEL TEXTO ÚNICO DE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SERVICIOS NO EXCLUSIVOS</w:t>
            </w:r>
            <w:r w:rsidR="009503F9"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(TUSNE) DEL CMA Y PDE</w:t>
            </w:r>
          </w:p>
        </w:tc>
      </w:tr>
      <w:tr w:rsidR="009503F9" w:rsidRPr="009503F9" w14:paraId="13D803F8" w14:textId="77777777" w:rsidTr="00062FF9">
        <w:trPr>
          <w:trHeight w:val="397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33684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Ítem 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3A9F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Responsable 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8C958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Actividad 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0F7CE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Aspectos de la actividad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96F7494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Duración</w:t>
            </w:r>
          </w:p>
        </w:tc>
      </w:tr>
      <w:tr w:rsidR="007A3A83" w:rsidRPr="009503F9" w14:paraId="1508E86B" w14:textId="77777777" w:rsidTr="00062FF9">
        <w:trPr>
          <w:trHeight w:val="567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11D0F64" w14:textId="77777777" w:rsidR="007A3A83" w:rsidRPr="009503F9" w:rsidRDefault="007A3A83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E4686A" w14:textId="77777777" w:rsidR="007A3A83" w:rsidRPr="009503F9" w:rsidRDefault="007A3A83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86725C" w14:textId="77777777" w:rsidR="007A3A83" w:rsidRPr="009503F9" w:rsidRDefault="007A3A83" w:rsidP="00AA01B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Elaboración del Plan de Trabajo.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3B0A" w14:textId="45E79E6F" w:rsidR="007A3A83" w:rsidRPr="009503F9" w:rsidRDefault="007A3A83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Presentación del plan de trabajo del servicio de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>elaboración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del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>TUSNE.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F8BE624" w14:textId="77777777" w:rsidR="007A3A83" w:rsidRPr="009503F9" w:rsidRDefault="007A3A83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día</w:t>
            </w:r>
          </w:p>
        </w:tc>
      </w:tr>
      <w:tr w:rsidR="009503F9" w:rsidRPr="009503F9" w14:paraId="0D0473F5" w14:textId="77777777" w:rsidTr="00062FF9">
        <w:trPr>
          <w:trHeight w:val="850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14:paraId="11C91595" w14:textId="77777777" w:rsidR="009503F9" w:rsidRPr="009503F9" w:rsidRDefault="00D1318D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4DBE42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560BC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, 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88CE9B" w14:textId="1188CC74" w:rsidR="00AA01B7" w:rsidRPr="009503F9" w:rsidRDefault="007A3A83" w:rsidP="00AA01B7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Entrega de </w:t>
            </w:r>
            <w:r w:rsidR="00AA01B7">
              <w:rPr>
                <w:rFonts w:ascii="Arial" w:hAnsi="Arial" w:cs="Arial"/>
                <w:color w:val="000000"/>
                <w:sz w:val="22"/>
                <w:szCs w:val="22"/>
              </w:rPr>
              <w:t>documentación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744C87">
              <w:rPr>
                <w:rFonts w:ascii="Arial" w:hAnsi="Arial" w:cs="Arial"/>
                <w:color w:val="000000"/>
                <w:sz w:val="22"/>
                <w:szCs w:val="22"/>
              </w:rPr>
              <w:t>inicial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E7F9" w14:textId="455046BB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Entrega del memorando y sus antecedentes que requiere la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>elaboración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del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>TUSNE.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14:paraId="0A52293B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1 día</w:t>
            </w:r>
          </w:p>
        </w:tc>
      </w:tr>
      <w:tr w:rsidR="009503F9" w:rsidRPr="009503F9" w14:paraId="23A0C5EA" w14:textId="77777777" w:rsidTr="00062FF9">
        <w:trPr>
          <w:trHeight w:val="340"/>
          <w:jc w:val="center"/>
        </w:trPr>
        <w:tc>
          <w:tcPr>
            <w:tcW w:w="15378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14854" w14:textId="78196539" w:rsidR="009503F9" w:rsidRPr="009503F9" w:rsidRDefault="009503F9" w:rsidP="00B25C5F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Elaboración del Inventario de servicios </w:t>
            </w:r>
            <w:r w:rsidR="00C22D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 </w:t>
            </w: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exclusivos</w:t>
            </w:r>
          </w:p>
        </w:tc>
      </w:tr>
      <w:tr w:rsidR="009503F9" w:rsidRPr="009503F9" w14:paraId="674179F2" w14:textId="77777777" w:rsidTr="00062FF9">
        <w:trPr>
          <w:trHeight w:val="850"/>
          <w:jc w:val="center"/>
        </w:trPr>
        <w:tc>
          <w:tcPr>
            <w:tcW w:w="679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14:paraId="69D55E2C" w14:textId="77777777" w:rsidR="009503F9" w:rsidRPr="009503F9" w:rsidRDefault="00D1318D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8AB8B8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DD328E" w14:textId="3F6AAF4E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Identificación de los servicios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 xml:space="preserve">no 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exclusivos, incluyendo sus requisitos.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91E8B" w14:textId="6CACA7F4" w:rsidR="009503F9" w:rsidRPr="009503F9" w:rsidRDefault="00C22D65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 reunión identificar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los servicios no exclusivos que se 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prevén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incluir en el TUSNE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e identificar la base legal que los sustenta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  <w:hideMark/>
          </w:tcPr>
          <w:p w14:paraId="6B4593BC" w14:textId="4EC439CD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días</w:t>
            </w:r>
          </w:p>
        </w:tc>
      </w:tr>
      <w:tr w:rsidR="009503F9" w:rsidRPr="009503F9" w14:paraId="37016AC8" w14:textId="77777777" w:rsidTr="00062FF9">
        <w:trPr>
          <w:trHeight w:val="567"/>
          <w:jc w:val="center"/>
        </w:trPr>
        <w:tc>
          <w:tcPr>
            <w:tcW w:w="679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336C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8F65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1BBE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FF9DA" w14:textId="2301BA54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Remitir vía correo electrónico </w:t>
            </w:r>
            <w:r w:rsidR="007576B0">
              <w:rPr>
                <w:rFonts w:ascii="Arial" w:hAnsi="Arial" w:cs="Arial"/>
                <w:color w:val="000000"/>
                <w:sz w:val="22"/>
                <w:szCs w:val="22"/>
              </w:rPr>
              <w:t xml:space="preserve">al Coordinador del Servicio 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el inventario de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 xml:space="preserve">servicios no 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prestados en exclusividad</w:t>
            </w:r>
            <w:r w:rsidR="002C5F0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93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70F204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503F9" w:rsidRPr="009503F9" w14:paraId="35B67348" w14:textId="77777777" w:rsidTr="00062FF9">
        <w:trPr>
          <w:trHeight w:val="850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A40B7" w14:textId="77777777" w:rsidR="009503F9" w:rsidRPr="009503F9" w:rsidRDefault="00D1318D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6" w:type="dxa"/>
            <w:vAlign w:val="center"/>
            <w:hideMark/>
          </w:tcPr>
          <w:p w14:paraId="23417FF4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D560BC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  <w:tc>
          <w:tcPr>
            <w:tcW w:w="2925" w:type="dxa"/>
            <w:vAlign w:val="center"/>
            <w:hideMark/>
          </w:tcPr>
          <w:p w14:paraId="22D67475" w14:textId="22C07033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Socializar el inventario de servicios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>no exclusivos a la Gerencia de Operaciones</w:t>
            </w:r>
          </w:p>
        </w:tc>
        <w:tc>
          <w:tcPr>
            <w:tcW w:w="8895" w:type="dxa"/>
            <w:vAlign w:val="center"/>
            <w:hideMark/>
          </w:tcPr>
          <w:p w14:paraId="183E648E" w14:textId="1F897CD3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Remitir </w:t>
            </w:r>
            <w:r w:rsidR="00421855">
              <w:rPr>
                <w:rFonts w:ascii="Arial" w:hAnsi="Arial" w:cs="Arial"/>
                <w:color w:val="000000"/>
                <w:sz w:val="22"/>
                <w:szCs w:val="22"/>
              </w:rPr>
              <w:t>vía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correo</w:t>
            </w:r>
            <w:r w:rsidR="00421855">
              <w:rPr>
                <w:rFonts w:ascii="Arial" w:hAnsi="Arial" w:cs="Arial"/>
                <w:color w:val="000000"/>
                <w:sz w:val="22"/>
                <w:szCs w:val="22"/>
              </w:rPr>
              <w:t xml:space="preserve"> electrónico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a la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>Gerencia de Operaciones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el inventario de servicios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 xml:space="preserve"> no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21855">
              <w:rPr>
                <w:rFonts w:ascii="Arial" w:hAnsi="Arial" w:cs="Arial"/>
                <w:color w:val="000000"/>
                <w:sz w:val="22"/>
                <w:szCs w:val="22"/>
              </w:rPr>
              <w:t xml:space="preserve">exclusivos 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solicitando su validación</w:t>
            </w:r>
            <w:r w:rsidR="00D560B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293" w:type="dxa"/>
            <w:tcBorders>
              <w:right w:val="single" w:sz="18" w:space="0" w:color="auto"/>
            </w:tcBorders>
            <w:vAlign w:val="center"/>
            <w:hideMark/>
          </w:tcPr>
          <w:p w14:paraId="2CA449F8" w14:textId="78867EA5" w:rsidR="009503F9" w:rsidRPr="009503F9" w:rsidRDefault="00D560BC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día</w:t>
            </w:r>
          </w:p>
        </w:tc>
      </w:tr>
      <w:tr w:rsidR="009503F9" w:rsidRPr="009503F9" w14:paraId="7D85064E" w14:textId="77777777" w:rsidTr="00062FF9">
        <w:trPr>
          <w:trHeight w:val="340"/>
          <w:jc w:val="center"/>
        </w:trPr>
        <w:tc>
          <w:tcPr>
            <w:tcW w:w="15378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AE4476" w14:textId="54ADDE25" w:rsidR="009503F9" w:rsidRPr="009503F9" w:rsidRDefault="009503F9" w:rsidP="00B25C5F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Implementación del sustento de costos.</w:t>
            </w:r>
          </w:p>
        </w:tc>
      </w:tr>
      <w:tr w:rsidR="009503F9" w:rsidRPr="009503F9" w14:paraId="6BA565FC" w14:textId="77777777" w:rsidTr="00062FF9">
        <w:trPr>
          <w:trHeight w:val="1134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734FDB50" w14:textId="6284F3F5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99D8B5D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F86001" w14:textId="57D9634F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Mapear el flujo de tramitación de cada procedimiento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>ejecutado durante la prestación del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servicio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 xml:space="preserve">no 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exclusivo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87CB72" w14:textId="64CD2558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Elaborar la tabla ASME-VM de cada servicio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 xml:space="preserve">no 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exclusivo, indicando el flujo de tramitación óptimo y más frecuente de </w:t>
            </w:r>
            <w:r w:rsidR="00C22D65">
              <w:rPr>
                <w:rFonts w:ascii="Arial" w:hAnsi="Arial" w:cs="Arial"/>
                <w:color w:val="000000"/>
                <w:sz w:val="22"/>
                <w:szCs w:val="22"/>
              </w:rPr>
              <w:t xml:space="preserve">las 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actividades que se realizan para atender la solicitud del administrado, identificando los recursos utilizados en la realización de cada actividad.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E94C063" w14:textId="77777777" w:rsidR="009503F9" w:rsidRPr="009503F9" w:rsidRDefault="00421855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días</w:t>
            </w:r>
          </w:p>
        </w:tc>
      </w:tr>
      <w:tr w:rsidR="009503F9" w:rsidRPr="009503F9" w14:paraId="49A36026" w14:textId="77777777" w:rsidTr="00062FF9">
        <w:trPr>
          <w:trHeight w:val="850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878FA8E" w14:textId="29748752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30FCA5" w14:textId="77777777" w:rsidR="009503F9" w:rsidRPr="009503F9" w:rsidRDefault="00261C7A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CS, 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58FE5C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Levantar información de costos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230701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Obtener la información de costos de personal, información de</w:t>
            </w:r>
            <w:r w:rsidR="007576B0">
              <w:rPr>
                <w:rFonts w:ascii="Arial" w:hAnsi="Arial" w:cs="Arial"/>
                <w:color w:val="000000"/>
                <w:sz w:val="22"/>
                <w:szCs w:val="22"/>
              </w:rPr>
              <w:t xml:space="preserve">l 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costo unitario y anual de los materiales, costos de activos depreciables, costo de los bienes inmuebles de la sede de atención y costos fijos como energía eléctrica e internet.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0ADAA" w14:textId="6B452904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días</w:t>
            </w:r>
          </w:p>
        </w:tc>
      </w:tr>
      <w:tr w:rsidR="009503F9" w:rsidRPr="009503F9" w14:paraId="061CED2C" w14:textId="77777777" w:rsidTr="00744C87">
        <w:trPr>
          <w:trHeight w:val="1134"/>
          <w:jc w:val="center"/>
        </w:trPr>
        <w:tc>
          <w:tcPr>
            <w:tcW w:w="67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D31E" w14:textId="7678112E" w:rsidR="009503F9" w:rsidRPr="009503F9" w:rsidRDefault="00744C87" w:rsidP="00744C8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86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7BEC7B" w14:textId="4C76107D" w:rsidR="009503F9" w:rsidRPr="009503F9" w:rsidRDefault="00744C87" w:rsidP="00744C8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2C0891" w14:textId="45C400B7" w:rsidR="009503F9" w:rsidRPr="009503F9" w:rsidRDefault="00744C87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Elaborar las estructuras de costos</w:t>
            </w:r>
          </w:p>
        </w:tc>
        <w:tc>
          <w:tcPr>
            <w:tcW w:w="8895" w:type="dxa"/>
            <w:tcBorders>
              <w:left w:val="single" w:sz="4" w:space="0" w:color="auto"/>
            </w:tcBorders>
            <w:vAlign w:val="center"/>
            <w:hideMark/>
          </w:tcPr>
          <w:p w14:paraId="1351935F" w14:textId="0F0548F9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Procesar y obtener los reportes de costos y remitir vía correo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electrónico al Coordinador del </w:t>
            </w:r>
            <w:r w:rsidR="00D1318D">
              <w:rPr>
                <w:rFonts w:ascii="Arial" w:hAnsi="Arial" w:cs="Arial"/>
                <w:color w:val="000000"/>
                <w:sz w:val="22"/>
                <w:szCs w:val="22"/>
              </w:rPr>
              <w:t>Servicio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que a su vez remita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los resultados preliminares de costos a la </w:t>
            </w:r>
            <w:r w:rsidR="000A7820">
              <w:rPr>
                <w:rFonts w:ascii="Arial" w:hAnsi="Arial" w:cs="Arial"/>
                <w:color w:val="000000"/>
                <w:sz w:val="22"/>
                <w:szCs w:val="22"/>
              </w:rPr>
              <w:t>Gerencia de Operaciones</w:t>
            </w:r>
          </w:p>
        </w:tc>
        <w:tc>
          <w:tcPr>
            <w:tcW w:w="1293" w:type="dxa"/>
            <w:tcBorders>
              <w:right w:val="single" w:sz="18" w:space="0" w:color="auto"/>
            </w:tcBorders>
            <w:vAlign w:val="center"/>
            <w:hideMark/>
          </w:tcPr>
          <w:p w14:paraId="3B8F5E2E" w14:textId="5EDED86E" w:rsidR="009503F9" w:rsidRPr="009503F9" w:rsidRDefault="000A7820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día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</w:tr>
      <w:tr w:rsidR="009503F9" w:rsidRPr="009503F9" w14:paraId="4714AA02" w14:textId="77777777" w:rsidTr="00062FF9">
        <w:trPr>
          <w:trHeight w:val="340"/>
          <w:jc w:val="center"/>
        </w:trPr>
        <w:tc>
          <w:tcPr>
            <w:tcW w:w="15378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EC35806" w14:textId="77777777" w:rsidR="009503F9" w:rsidRPr="009503F9" w:rsidRDefault="009503F9" w:rsidP="00B25C5F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Validación de los costos obtenidos</w:t>
            </w:r>
          </w:p>
        </w:tc>
      </w:tr>
      <w:tr w:rsidR="009503F9" w:rsidRPr="009503F9" w14:paraId="27665442" w14:textId="77777777" w:rsidTr="00062FF9">
        <w:trPr>
          <w:trHeight w:val="850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AE1AB" w14:textId="39A47754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603F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062FF9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, 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25EE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Ajustes a los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br/>
              <w:t>resultados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br/>
              <w:t>preliminares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FB85" w14:textId="1B4066F3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De corresponder realizar los ajustes de costos en atención a las sugerencias emitidas por </w:t>
            </w:r>
            <w:r w:rsidR="000A7820">
              <w:rPr>
                <w:rFonts w:ascii="Arial" w:hAnsi="Arial" w:cs="Arial"/>
                <w:color w:val="000000"/>
                <w:sz w:val="22"/>
                <w:szCs w:val="22"/>
              </w:rPr>
              <w:t>la Gerencia de Operaciones y los administradores del CMA y PDE.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4EDF1E9" w14:textId="47C280DE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día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</w:tr>
      <w:tr w:rsidR="009503F9" w:rsidRPr="009503F9" w14:paraId="7704612F" w14:textId="77777777" w:rsidTr="00062FF9">
        <w:trPr>
          <w:trHeight w:val="340"/>
          <w:jc w:val="center"/>
        </w:trPr>
        <w:tc>
          <w:tcPr>
            <w:tcW w:w="15378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BB2EF0" w14:textId="708D5C58" w:rsidR="009503F9" w:rsidRPr="009503F9" w:rsidRDefault="009503F9" w:rsidP="00B25C5F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Elaboración del expediente del Proyecto de </w:t>
            </w:r>
            <w:r w:rsidR="000A782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TUSNE</w:t>
            </w:r>
          </w:p>
        </w:tc>
      </w:tr>
      <w:tr w:rsidR="009503F9" w:rsidRPr="009503F9" w14:paraId="5FE16B64" w14:textId="77777777" w:rsidTr="00062FF9">
        <w:trPr>
          <w:trHeight w:val="850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4A85" w14:textId="3133D0E3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D9A8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0049" w14:textId="6A384120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Elaboración del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br/>
              <w:t>Informe Técnico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br/>
              <w:t>de costos</w:t>
            </w:r>
            <w:r w:rsidR="000A7820">
              <w:rPr>
                <w:rFonts w:ascii="Arial" w:hAnsi="Arial" w:cs="Arial"/>
                <w:color w:val="000000"/>
                <w:sz w:val="22"/>
                <w:szCs w:val="22"/>
              </w:rPr>
              <w:t xml:space="preserve"> que sustenta las tarifas propuestas.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CCE9" w14:textId="77777777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Elaborar el Informe Técnico de costos.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53B8B3" w14:textId="6AF971D3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día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</w:tr>
      <w:tr w:rsidR="009503F9" w:rsidRPr="009503F9" w14:paraId="3C970D48" w14:textId="77777777" w:rsidTr="00062FF9">
        <w:trPr>
          <w:trHeight w:val="1134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B64A" w14:textId="002990D8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744C87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B225B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1BEFE" w14:textId="79941F82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Elaboración del </w:t>
            </w:r>
            <w:r w:rsidR="000A7820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Informe </w:t>
            </w:r>
            <w:r w:rsidR="000A7820">
              <w:rPr>
                <w:rFonts w:ascii="Arial" w:hAnsi="Arial" w:cs="Arial"/>
                <w:color w:val="000000"/>
                <w:sz w:val="22"/>
                <w:szCs w:val="22"/>
              </w:rPr>
              <w:t>Técnico que sustenta y destaca los cambios contenidos en el Proyecto TUSNE.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107C" w14:textId="13C29C52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Elaborar el </w:t>
            </w:r>
            <w:r w:rsidR="000A7820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Informe </w:t>
            </w:r>
            <w:r w:rsidR="00744C87">
              <w:rPr>
                <w:rFonts w:ascii="Arial" w:hAnsi="Arial" w:cs="Arial"/>
                <w:color w:val="000000"/>
                <w:sz w:val="22"/>
                <w:szCs w:val="22"/>
              </w:rPr>
              <w:t>Técnico que sustenta y destaca los cambios contenidos en el Proyecto TUSNE.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CA226A" w14:textId="7E908929" w:rsidR="009503F9" w:rsidRPr="009503F9" w:rsidRDefault="00744C87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día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</w:p>
        </w:tc>
      </w:tr>
      <w:tr w:rsidR="009503F9" w:rsidRPr="009503F9" w14:paraId="5434A030" w14:textId="77777777" w:rsidTr="00062FF9">
        <w:trPr>
          <w:trHeight w:val="850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1BE02" w14:textId="68CF2C31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744C87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4CDD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8709D" w14:textId="74398F00" w:rsidR="009503F9" w:rsidRPr="009503F9" w:rsidRDefault="000A7820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Proyectar el Informe de elevación del Proyecto TUSNE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DE98" w14:textId="27AF8F05" w:rsidR="009503F9" w:rsidRPr="009503F9" w:rsidRDefault="000A7820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Elaborar el Informe Resumen </w:t>
            </w:r>
            <w:r w:rsidR="00744C87">
              <w:rPr>
                <w:rFonts w:ascii="Arial" w:hAnsi="Arial" w:cs="Arial"/>
                <w:color w:val="000000"/>
                <w:sz w:val="22"/>
                <w:szCs w:val="22"/>
              </w:rPr>
              <w:t>de elevación del Proyecto TUSNE para su aprobación.</w:t>
            </w:r>
            <w:r w:rsidR="009503F9"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BC69D4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1 día</w:t>
            </w:r>
          </w:p>
        </w:tc>
      </w:tr>
      <w:tr w:rsidR="009503F9" w:rsidRPr="009503F9" w14:paraId="7C0F622F" w14:textId="77777777" w:rsidTr="00062FF9">
        <w:trPr>
          <w:trHeight w:val="340"/>
          <w:jc w:val="center"/>
        </w:trPr>
        <w:tc>
          <w:tcPr>
            <w:tcW w:w="15378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7B7AA5D" w14:textId="77777777" w:rsidR="009503F9" w:rsidRPr="009503F9" w:rsidRDefault="009503F9" w:rsidP="00B25C5F">
            <w:pPr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Cierre del Estudio</w:t>
            </w:r>
          </w:p>
        </w:tc>
      </w:tr>
      <w:tr w:rsidR="009503F9" w:rsidRPr="009503F9" w14:paraId="1F03BD08" w14:textId="77777777" w:rsidTr="00062FF9">
        <w:trPr>
          <w:trHeight w:val="850"/>
          <w:jc w:val="center"/>
        </w:trPr>
        <w:tc>
          <w:tcPr>
            <w:tcW w:w="67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536B250" w14:textId="068A145A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744C87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639009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C99958A" w14:textId="3FF7AAE2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Presentación del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Expediente del Proyecto </w:t>
            </w:r>
            <w:r w:rsidR="00744C87">
              <w:rPr>
                <w:rFonts w:ascii="Arial" w:hAnsi="Arial" w:cs="Arial"/>
                <w:color w:val="000000"/>
                <w:sz w:val="22"/>
                <w:szCs w:val="22"/>
              </w:rPr>
              <w:t>TUSNE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B0ABB08" w14:textId="00CC0F40" w:rsidR="009503F9" w:rsidRPr="009503F9" w:rsidRDefault="009503F9" w:rsidP="00B25C5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Presentación del Expediente del Proyecto </w:t>
            </w:r>
            <w:r w:rsidR="00744C87">
              <w:rPr>
                <w:rFonts w:ascii="Arial" w:hAnsi="Arial" w:cs="Arial"/>
                <w:color w:val="000000"/>
                <w:sz w:val="22"/>
                <w:szCs w:val="22"/>
              </w:rPr>
              <w:t>TUSNE</w:t>
            </w: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 xml:space="preserve"> por mesa partes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5B5EAF6" w14:textId="77777777" w:rsidR="009503F9" w:rsidRPr="009503F9" w:rsidRDefault="009503F9" w:rsidP="00B25C5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503F9">
              <w:rPr>
                <w:rFonts w:ascii="Arial" w:hAnsi="Arial" w:cs="Arial"/>
                <w:color w:val="000000"/>
                <w:sz w:val="22"/>
                <w:szCs w:val="22"/>
              </w:rPr>
              <w:t>1 día</w:t>
            </w:r>
          </w:p>
        </w:tc>
      </w:tr>
    </w:tbl>
    <w:p w14:paraId="6D779154" w14:textId="77777777" w:rsidR="009503F9" w:rsidRDefault="009503F9" w:rsidP="000C598C">
      <w:pPr>
        <w:pStyle w:val="Encabezado"/>
        <w:spacing w:line="360" w:lineRule="auto"/>
        <w:rPr>
          <w:rFonts w:ascii="Arial" w:hAnsi="Arial" w:cs="Arial"/>
          <w:b/>
          <w:bCs/>
          <w:noProof/>
          <w:sz w:val="20"/>
          <w:szCs w:val="20"/>
        </w:rPr>
      </w:pPr>
    </w:p>
    <w:p w14:paraId="1F0F30EA" w14:textId="77777777" w:rsidR="009503F9" w:rsidRDefault="009503F9" w:rsidP="000C598C">
      <w:pPr>
        <w:pStyle w:val="Encabezado"/>
        <w:spacing w:line="360" w:lineRule="auto"/>
        <w:rPr>
          <w:rFonts w:ascii="Arial" w:hAnsi="Arial" w:cs="Arial"/>
          <w:b/>
          <w:bCs/>
          <w:noProof/>
          <w:sz w:val="20"/>
          <w:szCs w:val="20"/>
        </w:rPr>
      </w:pPr>
    </w:p>
    <w:p w14:paraId="24D43BFA" w14:textId="77777777" w:rsidR="001C7B40" w:rsidRDefault="001C7B40" w:rsidP="000C598C">
      <w:pPr>
        <w:spacing w:line="360" w:lineRule="auto"/>
        <w:jc w:val="both"/>
      </w:pPr>
    </w:p>
    <w:sectPr w:rsidR="001C7B40" w:rsidSect="009503F9">
      <w:footerReference w:type="first" r:id="rId11"/>
      <w:type w:val="continuous"/>
      <w:pgSz w:w="16838" w:h="11906" w:orient="landscape"/>
      <w:pgMar w:top="1417" w:right="1701" w:bottom="1417" w:left="1701" w:header="56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B80A1" w14:textId="77777777" w:rsidR="00E27BDA" w:rsidRDefault="00E27BDA">
      <w:r>
        <w:separator/>
      </w:r>
    </w:p>
  </w:endnote>
  <w:endnote w:type="continuationSeparator" w:id="0">
    <w:p w14:paraId="5C576B54" w14:textId="77777777" w:rsidR="00E27BDA" w:rsidRDefault="00E27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86CD" w14:textId="77777777" w:rsidR="00A45E42" w:rsidRDefault="00A45E4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711D51" w14:textId="77777777" w:rsidR="00A45E42" w:rsidRDefault="00A45E4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7F0C0" w14:textId="77777777" w:rsidR="009C431A" w:rsidRPr="009C431A" w:rsidRDefault="009C431A" w:rsidP="009C431A">
    <w:pPr>
      <w:pStyle w:val="Piedepgina"/>
      <w:jc w:val="right"/>
      <w:rPr>
        <w:lang w:val="es-PE"/>
      </w:rPr>
    </w:pPr>
    <w:r>
      <w:rPr>
        <w:lang w:val="es-PE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6DE6E" w14:textId="77777777" w:rsidR="009A7AD3" w:rsidRDefault="009C431A" w:rsidP="009C431A">
    <w:pPr>
      <w:pStyle w:val="Piedepgina"/>
      <w:jc w:val="right"/>
    </w:pPr>
    <w: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16854" w14:textId="77777777" w:rsidR="009C431A" w:rsidRPr="009C431A" w:rsidRDefault="009C431A" w:rsidP="009C431A">
    <w:pPr>
      <w:pStyle w:val="Piedepgina"/>
      <w:jc w:val="right"/>
      <w:rPr>
        <w:lang w:val="es-PE"/>
      </w:rPr>
    </w:pPr>
    <w:r>
      <w:rPr>
        <w:lang w:val="es-PE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1922" w14:textId="77777777" w:rsidR="00E27BDA" w:rsidRDefault="00E27BDA">
      <w:r>
        <w:separator/>
      </w:r>
    </w:p>
  </w:footnote>
  <w:footnote w:type="continuationSeparator" w:id="0">
    <w:p w14:paraId="5039CD4D" w14:textId="77777777" w:rsidR="00E27BDA" w:rsidRDefault="00E27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34EB" w14:textId="77777777" w:rsidR="00A45E42" w:rsidRDefault="00A45E42">
    <w:pPr>
      <w:pStyle w:val="Encabezado"/>
      <w:tabs>
        <w:tab w:val="left" w:pos="13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6FE"/>
    <w:multiLevelType w:val="hybridMultilevel"/>
    <w:tmpl w:val="DCCC0E3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1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02534F"/>
    <w:multiLevelType w:val="hybridMultilevel"/>
    <w:tmpl w:val="874E5472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255170"/>
    <w:multiLevelType w:val="hybridMultilevel"/>
    <w:tmpl w:val="6408302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4C228DD"/>
    <w:multiLevelType w:val="hybridMultilevel"/>
    <w:tmpl w:val="CE646D30"/>
    <w:lvl w:ilvl="0" w:tplc="0136CB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5D69D7"/>
    <w:multiLevelType w:val="hybridMultilevel"/>
    <w:tmpl w:val="E59076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FA76E0"/>
    <w:multiLevelType w:val="hybridMultilevel"/>
    <w:tmpl w:val="B4E0954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A3FBC"/>
    <w:multiLevelType w:val="hybridMultilevel"/>
    <w:tmpl w:val="BA54A1E2"/>
    <w:lvl w:ilvl="0" w:tplc="EF4A899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8C72DB"/>
    <w:multiLevelType w:val="hybridMultilevel"/>
    <w:tmpl w:val="DDFA6C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D4BD3"/>
    <w:multiLevelType w:val="hybridMultilevel"/>
    <w:tmpl w:val="5ED81CF4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67541C"/>
    <w:multiLevelType w:val="hybridMultilevel"/>
    <w:tmpl w:val="FD8A5E7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7"/>
  </w:num>
  <w:num w:numId="10">
    <w:abstractNumId w:val="4"/>
  </w:num>
  <w:num w:numId="11">
    <w:abstractNumId w:val="11"/>
  </w:num>
  <w:num w:numId="12">
    <w:abstractNumId w:val="12"/>
  </w:num>
  <w:num w:numId="13">
    <w:abstractNumId w:val="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B5"/>
    <w:rsid w:val="00006489"/>
    <w:rsid w:val="00022ED8"/>
    <w:rsid w:val="000232E1"/>
    <w:rsid w:val="0005653D"/>
    <w:rsid w:val="00062FF9"/>
    <w:rsid w:val="000746AE"/>
    <w:rsid w:val="00074ECE"/>
    <w:rsid w:val="00095132"/>
    <w:rsid w:val="00095921"/>
    <w:rsid w:val="000A764D"/>
    <w:rsid w:val="000A7820"/>
    <w:rsid w:val="000B287B"/>
    <w:rsid w:val="000C598C"/>
    <w:rsid w:val="000D669E"/>
    <w:rsid w:val="001059F8"/>
    <w:rsid w:val="00137BF5"/>
    <w:rsid w:val="00137EBE"/>
    <w:rsid w:val="0014539F"/>
    <w:rsid w:val="001519C6"/>
    <w:rsid w:val="00165115"/>
    <w:rsid w:val="00175007"/>
    <w:rsid w:val="00175A24"/>
    <w:rsid w:val="00192FD3"/>
    <w:rsid w:val="001B6784"/>
    <w:rsid w:val="001C7B40"/>
    <w:rsid w:val="002112B6"/>
    <w:rsid w:val="00212BE1"/>
    <w:rsid w:val="00223069"/>
    <w:rsid w:val="00261C7A"/>
    <w:rsid w:val="00264B24"/>
    <w:rsid w:val="0027568C"/>
    <w:rsid w:val="00294E86"/>
    <w:rsid w:val="0029705B"/>
    <w:rsid w:val="002B07A8"/>
    <w:rsid w:val="002B2F15"/>
    <w:rsid w:val="002B7F20"/>
    <w:rsid w:val="002C5F0B"/>
    <w:rsid w:val="002C7CF5"/>
    <w:rsid w:val="0030172F"/>
    <w:rsid w:val="0030482D"/>
    <w:rsid w:val="003056D1"/>
    <w:rsid w:val="00306CB1"/>
    <w:rsid w:val="0034434A"/>
    <w:rsid w:val="0036314D"/>
    <w:rsid w:val="00363FD0"/>
    <w:rsid w:val="003707BE"/>
    <w:rsid w:val="003A00CD"/>
    <w:rsid w:val="003A4AA1"/>
    <w:rsid w:val="003B14E0"/>
    <w:rsid w:val="003B434F"/>
    <w:rsid w:val="003C6C38"/>
    <w:rsid w:val="004125C6"/>
    <w:rsid w:val="00421855"/>
    <w:rsid w:val="00422FE0"/>
    <w:rsid w:val="00424CC7"/>
    <w:rsid w:val="00426556"/>
    <w:rsid w:val="004326C6"/>
    <w:rsid w:val="0044273B"/>
    <w:rsid w:val="00452F2B"/>
    <w:rsid w:val="00475B93"/>
    <w:rsid w:val="004801BD"/>
    <w:rsid w:val="0048515F"/>
    <w:rsid w:val="0049418C"/>
    <w:rsid w:val="004A09DE"/>
    <w:rsid w:val="004B488B"/>
    <w:rsid w:val="004B65E0"/>
    <w:rsid w:val="004B6DDD"/>
    <w:rsid w:val="004C6B9B"/>
    <w:rsid w:val="004D230F"/>
    <w:rsid w:val="004D30B7"/>
    <w:rsid w:val="004D61FE"/>
    <w:rsid w:val="004D77B4"/>
    <w:rsid w:val="004E36A2"/>
    <w:rsid w:val="004F0338"/>
    <w:rsid w:val="004F411F"/>
    <w:rsid w:val="004F4EB5"/>
    <w:rsid w:val="0051062D"/>
    <w:rsid w:val="00526D13"/>
    <w:rsid w:val="00564E51"/>
    <w:rsid w:val="005727EE"/>
    <w:rsid w:val="005834A0"/>
    <w:rsid w:val="00584410"/>
    <w:rsid w:val="00593319"/>
    <w:rsid w:val="005A0179"/>
    <w:rsid w:val="005A396D"/>
    <w:rsid w:val="005A4E1B"/>
    <w:rsid w:val="005D5A0D"/>
    <w:rsid w:val="005E5BCA"/>
    <w:rsid w:val="005E61A9"/>
    <w:rsid w:val="006162ED"/>
    <w:rsid w:val="00643A16"/>
    <w:rsid w:val="006665A7"/>
    <w:rsid w:val="00674F4C"/>
    <w:rsid w:val="00677894"/>
    <w:rsid w:val="00682AA1"/>
    <w:rsid w:val="0068536E"/>
    <w:rsid w:val="006950CD"/>
    <w:rsid w:val="00695CF8"/>
    <w:rsid w:val="006A1C16"/>
    <w:rsid w:val="006A2CFC"/>
    <w:rsid w:val="006A4FAC"/>
    <w:rsid w:val="006B5E5C"/>
    <w:rsid w:val="006B64C7"/>
    <w:rsid w:val="006C3B6F"/>
    <w:rsid w:val="006D18F9"/>
    <w:rsid w:val="006D6CE4"/>
    <w:rsid w:val="00702265"/>
    <w:rsid w:val="007077C9"/>
    <w:rsid w:val="0071260F"/>
    <w:rsid w:val="00724C79"/>
    <w:rsid w:val="00740E17"/>
    <w:rsid w:val="007440D3"/>
    <w:rsid w:val="00744C87"/>
    <w:rsid w:val="007576B0"/>
    <w:rsid w:val="0076268A"/>
    <w:rsid w:val="007A3A83"/>
    <w:rsid w:val="007B77B3"/>
    <w:rsid w:val="007C77C1"/>
    <w:rsid w:val="007E0CBF"/>
    <w:rsid w:val="007E64F7"/>
    <w:rsid w:val="007F0E84"/>
    <w:rsid w:val="007F6636"/>
    <w:rsid w:val="007F73A3"/>
    <w:rsid w:val="00802580"/>
    <w:rsid w:val="008501DC"/>
    <w:rsid w:val="00856827"/>
    <w:rsid w:val="00862DE4"/>
    <w:rsid w:val="0086373B"/>
    <w:rsid w:val="0086775D"/>
    <w:rsid w:val="0087119D"/>
    <w:rsid w:val="00883C20"/>
    <w:rsid w:val="00887087"/>
    <w:rsid w:val="008A3139"/>
    <w:rsid w:val="008A3820"/>
    <w:rsid w:val="008B5978"/>
    <w:rsid w:val="008B7D63"/>
    <w:rsid w:val="008D4E71"/>
    <w:rsid w:val="008D5458"/>
    <w:rsid w:val="008D58CB"/>
    <w:rsid w:val="008D7BBA"/>
    <w:rsid w:val="008E3873"/>
    <w:rsid w:val="008E4A79"/>
    <w:rsid w:val="00910108"/>
    <w:rsid w:val="00910F90"/>
    <w:rsid w:val="00915D07"/>
    <w:rsid w:val="00925D74"/>
    <w:rsid w:val="009503F9"/>
    <w:rsid w:val="00961C7A"/>
    <w:rsid w:val="009663F8"/>
    <w:rsid w:val="0097251F"/>
    <w:rsid w:val="0098108F"/>
    <w:rsid w:val="00996113"/>
    <w:rsid w:val="00997229"/>
    <w:rsid w:val="009A3B18"/>
    <w:rsid w:val="009A7AD3"/>
    <w:rsid w:val="009C3947"/>
    <w:rsid w:val="009C431A"/>
    <w:rsid w:val="009D269D"/>
    <w:rsid w:val="009D7F2F"/>
    <w:rsid w:val="009E52E8"/>
    <w:rsid w:val="009F5D7C"/>
    <w:rsid w:val="00A00276"/>
    <w:rsid w:val="00A0276C"/>
    <w:rsid w:val="00A05269"/>
    <w:rsid w:val="00A26572"/>
    <w:rsid w:val="00A35662"/>
    <w:rsid w:val="00A40CCC"/>
    <w:rsid w:val="00A4479A"/>
    <w:rsid w:val="00A45E42"/>
    <w:rsid w:val="00A53612"/>
    <w:rsid w:val="00A53F29"/>
    <w:rsid w:val="00A644E8"/>
    <w:rsid w:val="00A81111"/>
    <w:rsid w:val="00A81D5F"/>
    <w:rsid w:val="00AA01B7"/>
    <w:rsid w:val="00B12DDB"/>
    <w:rsid w:val="00B15DFD"/>
    <w:rsid w:val="00B21EBD"/>
    <w:rsid w:val="00B235FE"/>
    <w:rsid w:val="00B237A2"/>
    <w:rsid w:val="00B25C5F"/>
    <w:rsid w:val="00B30F8E"/>
    <w:rsid w:val="00B33FC4"/>
    <w:rsid w:val="00B37992"/>
    <w:rsid w:val="00B65027"/>
    <w:rsid w:val="00B80B78"/>
    <w:rsid w:val="00BB290E"/>
    <w:rsid w:val="00BD7DA1"/>
    <w:rsid w:val="00BE4193"/>
    <w:rsid w:val="00C03AB8"/>
    <w:rsid w:val="00C042BB"/>
    <w:rsid w:val="00C07137"/>
    <w:rsid w:val="00C17D1D"/>
    <w:rsid w:val="00C22D65"/>
    <w:rsid w:val="00C341D6"/>
    <w:rsid w:val="00C40658"/>
    <w:rsid w:val="00C45688"/>
    <w:rsid w:val="00C6210A"/>
    <w:rsid w:val="00C63EDD"/>
    <w:rsid w:val="00C975D4"/>
    <w:rsid w:val="00CA54ED"/>
    <w:rsid w:val="00CA67EC"/>
    <w:rsid w:val="00CC35EB"/>
    <w:rsid w:val="00CD5F31"/>
    <w:rsid w:val="00CE5517"/>
    <w:rsid w:val="00CE6E02"/>
    <w:rsid w:val="00CF6691"/>
    <w:rsid w:val="00CF7B66"/>
    <w:rsid w:val="00D1318D"/>
    <w:rsid w:val="00D223CA"/>
    <w:rsid w:val="00D244BC"/>
    <w:rsid w:val="00D348F4"/>
    <w:rsid w:val="00D373FD"/>
    <w:rsid w:val="00D560BC"/>
    <w:rsid w:val="00D63895"/>
    <w:rsid w:val="00D6722C"/>
    <w:rsid w:val="00D83240"/>
    <w:rsid w:val="00D85C94"/>
    <w:rsid w:val="00D8634F"/>
    <w:rsid w:val="00D86BBE"/>
    <w:rsid w:val="00DA1FD7"/>
    <w:rsid w:val="00DB4D73"/>
    <w:rsid w:val="00DC6ECA"/>
    <w:rsid w:val="00E122A1"/>
    <w:rsid w:val="00E15392"/>
    <w:rsid w:val="00E15A8D"/>
    <w:rsid w:val="00E256F7"/>
    <w:rsid w:val="00E27BDA"/>
    <w:rsid w:val="00E27CAD"/>
    <w:rsid w:val="00E314BA"/>
    <w:rsid w:val="00E3548A"/>
    <w:rsid w:val="00E4794D"/>
    <w:rsid w:val="00E504B5"/>
    <w:rsid w:val="00E5587C"/>
    <w:rsid w:val="00E6098A"/>
    <w:rsid w:val="00E70DD6"/>
    <w:rsid w:val="00E814F6"/>
    <w:rsid w:val="00E9642D"/>
    <w:rsid w:val="00EA268C"/>
    <w:rsid w:val="00EB1981"/>
    <w:rsid w:val="00EB3102"/>
    <w:rsid w:val="00EB5907"/>
    <w:rsid w:val="00ED1EA7"/>
    <w:rsid w:val="00F05F24"/>
    <w:rsid w:val="00F17A16"/>
    <w:rsid w:val="00F243A7"/>
    <w:rsid w:val="00F25063"/>
    <w:rsid w:val="00F33C05"/>
    <w:rsid w:val="00F609BE"/>
    <w:rsid w:val="00F70B11"/>
    <w:rsid w:val="00F76654"/>
    <w:rsid w:val="00F97E93"/>
    <w:rsid w:val="00FB3413"/>
    <w:rsid w:val="00FE0E27"/>
    <w:rsid w:val="00FF07BC"/>
    <w:rsid w:val="00FF1503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B5D0185"/>
  <w15:chartTrackingRefBased/>
  <w15:docId w15:val="{06DEE519-F299-4783-950C-6F154A9B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7B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auto"/>
      </w:pBdr>
      <w:jc w:val="center"/>
      <w:outlineLvl w:val="5"/>
    </w:pPr>
    <w:rPr>
      <w:rFonts w:ascii="Arial" w:hAnsi="Arial" w:cs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Pr>
      <w:sz w:val="20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extoindependiente">
    <w:name w:val="Body Text"/>
    <w:basedOn w:val="Normal"/>
    <w:rPr>
      <w:b/>
      <w:bCs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4B65E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rsid w:val="00D8634F"/>
    <w:pPr>
      <w:spacing w:after="120"/>
      <w:ind w:left="283"/>
    </w:pPr>
  </w:style>
  <w:style w:type="paragraph" w:customStyle="1" w:styleId="Contenidodelatabla">
    <w:name w:val="Contenido de la tabla"/>
    <w:basedOn w:val="Textoindependiente"/>
    <w:rsid w:val="0098108F"/>
    <w:pPr>
      <w:suppressLineNumbers/>
      <w:suppressAutoHyphens/>
      <w:spacing w:after="120"/>
    </w:pPr>
    <w:rPr>
      <w:b w:val="0"/>
      <w:bCs w:val="0"/>
      <w:lang w:eastAsia="ar-SA"/>
    </w:rPr>
  </w:style>
  <w:style w:type="paragraph" w:styleId="Textoindependiente2">
    <w:name w:val="Body Text 2"/>
    <w:basedOn w:val="Normal"/>
    <w:rsid w:val="00C17D1D"/>
    <w:pPr>
      <w:spacing w:after="120" w:line="480" w:lineRule="auto"/>
    </w:pPr>
  </w:style>
  <w:style w:type="paragraph" w:customStyle="1" w:styleId="Default">
    <w:name w:val="Default"/>
    <w:rsid w:val="001B678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9A7AD3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482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subject/>
  <dc:creator>Amparo Ortega Campana</dc:creator>
  <cp:keywords/>
  <dc:description/>
  <cp:lastModifiedBy>david escalante candia</cp:lastModifiedBy>
  <cp:revision>8</cp:revision>
  <cp:lastPrinted>2010-09-07T15:17:00Z</cp:lastPrinted>
  <dcterms:created xsi:type="dcterms:W3CDTF">2022-12-29T05:56:00Z</dcterms:created>
  <dcterms:modified xsi:type="dcterms:W3CDTF">2023-05-24T22:20:00Z</dcterms:modified>
</cp:coreProperties>
</file>