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NOTICE OF DESIGNATION OF EMAIL ADDRESSES</w:t>
      </w:r>
    </w:p>
    <w:p>
      <w:pPr>
        <w:spacing w:before="0" w:after="360"/>
        <w:jc w:val="center"/>
      </w:pPr>
      <w:r>
        <w:rPr>
          <w:rFonts w:ascii="Times New Roman" w:hAnsi="Times New Roman" w:cs="Times New Roman"/>
          <w:b/>
          <w:i w:val="0"/>
          <w:sz w:val="24"/>
        </w:rPr>
        <w:t>FOR SERVICE OF DOCUMENTS</w:t>
      </w:r>
    </w:p>
    <w:p>
      <w:pPr>
        <w:spacing w:before="0" w:after="240"/>
        <w:ind w:firstLine="720"/>
        <w:jc w:val="left"/>
      </w:pPr>
      <w:r>
        <w:rPr>
          <w:rFonts w:ascii="Times New Roman" w:hAnsi="Times New Roman" w:cs="Times New Roman"/>
          <w:b w:val="0"/>
          <w:i w:val="0"/>
          <w:sz w:val="24"/>
        </w:rPr>
        <w:t>Pursuant to Florida Rule of General Practice and Judicial Administration 2.516(b)(1)(A), the undersigned counsel gives notice of the following primary and secondary e-mail addresses for service in this matter:</w:t>
      </w:r>
    </w:p>
    <w:p>
      <w:pPr>
        <w:spacing w:before="0" w:after="120"/>
        <w:ind w:firstLine="720"/>
        <w:jc w:val="left"/>
      </w:pPr>
      <w:r>
        <w:rPr>
          <w:rFonts w:ascii="Times New Roman" w:hAnsi="Times New Roman" w:cs="Times New Roman"/>
          <w:b w:val="0"/>
          <w:i w:val="0"/>
          <w:sz w:val="24"/>
        </w:rPr>
        <w:t>Primary Email Address: {attorney_email}</w:t>
      </w:r>
    </w:p>
    <w:p>
      <w:pPr>
        <w:spacing w:before="0" w:after="360"/>
        <w:ind w:firstLine="720"/>
        <w:jc w:val="left"/>
      </w:pPr>
      <w:r>
        <w:rPr>
          <w:rFonts w:ascii="Times New Roman" w:hAnsi="Times New Roman" w:cs="Times New Roman"/>
          <w:b w:val="0"/>
          <w:i w:val="0"/>
          <w:sz w:val="24"/>
        </w:rPr>
        <w:t>Secondary Email Address: {#attorney_email_secondary}{attorney_email_secondary}{/attorney_email_secondary}{^attorney_email_secondary}N/A{/attorney_email_secondary}</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Notice of Designation of Email Addresses.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