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FOR{#is_ancillary} ANCILLARY{/is_ancillary}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{pet_address}, and the name and office address of petitioner’s attorney are set forth at the end of this petition.{/petitioners}{/multiple_petitioners}{#multiple_petitioners}Each petitioner has an interest in the above estate, as set forth below: {#petitioners}{pet_name} is {pet_interest}, whose address is {pet_address}. {/petitioners}The name and office address of petitioners’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On the date of death, decedent was domiciled in {^is_ancillary}{decedent_domicile} County, Florida{/is_ancillary}{#is_ancillary}{decedent_domicile_state} and left property in {county} County, Florida{/is_ancillary}{^is_testate}, and died intestate{/is_testate}.</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{^multiple_prs}{pr_names}, whose address is {pr_address}, is qualified to serve as personal representative of the decedent’s estate: {pr_names} has not been convicted of a felony, is mentally and physically able to perform the duties of personal representative, and is 18 years of age or older. {#pr_is_fl_resident}{pr_names} is a resident of Florida.{/pr_is_fl_resident}{^pr_is_fl_resident}{pr_names} is not a resident of Florida but is related to the decedent as {pr_relationship} and is qualified to serve as personal representative under Florida Statutes section 733.304.{/pr_is_fl_resident}{/multiple_prs}{#multiple_prs}Each proposed personal representative is qualified to serve: {#prs}{pr_name}, whose address is {pr_address}, has not been convicted of a felony, is mentally and physically able to perform the duties of personal representative, and is 18 years of age or older. {#pr_is_fl_resident}{pr_name} is a resident of Florida.{/pr_is_fl_resident}{^pr_is_fl_resident}{pr_name} is not a resident of Florida but is related to the decedent as {pr_relationship} and is qualified under Florida Statutes section 733.304.{/pr_is_fl_resident} {/prs}{/multiple_prs}</w:t>
      </w:r>
    </w:p>
    <w:p>
      <w:pPr>
        <w:spacing w:before="0" w:after="0" w:line="360" w:lineRule="auto"/>
        <w:numPr>
          <w:ilvl w:val="0"/>
          <w:numId w:val="1"/>
        </w:numPr>
      </w:pPr>
      <w:r>
        <w:rPr>
          <w:rFonts w:ascii="Times New Roman" w:hAnsi="Times New Roman" w:cs="Times New Roman"/>
          <w:b w:val="0"/>
          <w:i w:val="0"/>
          <w:sz w:val="24"/>
        </w:rPr>
        <w:t>{petitioner_label} {#petitioner_has_prior_conviction}{petitioner_verb_has}{/petitioner_has_prior_conviction}{^petitioner_has_prior_conviction}{petitioner_verb_has} not{/petitioner_has_prior_conviction} been convicted in any state or foreign jurisdiction of abuse, neglect, or exploitation of an elderly person or a disabled adult, as those terms are defined in Florida Statutes section 825.101.</w:t>
      </w:r>
    </w:p>
    <w:p>
      <w:pPr>
        <w:spacing w:before="0" w:after="0" w:line="360" w:lineRule="auto"/>
        <w:numPr>
          <w:ilvl w:val="0"/>
          <w:numId w:val="1"/>
        </w:numPr>
      </w:pPr>
      <w:r>
        <w:rPr>
          <w:rFonts w:ascii="Times New Roman" w:hAnsi="Times New Roman" w:cs="Times New Roman"/>
          <w:b w:val="0"/>
          <w:i w:val="0"/>
          <w:sz w:val="24"/>
        </w:rPr>
        <w:t>{^higher_preference_exists}No person has equal or higher preference to be appointed personal representative.{/higher_preference_exists}{#higher_preference_exists}The following person(s) has/have equal or higher preference to be appointed personal representative: {higher_preference_names}. {#higher_preference_formal_notice}Formal notice of this petition will be served on such person(s).{/higher_preference_formal_notice}{^higher_preference_formal_notice}Formal notice of this petition will not be served on such person(s).{/higher_preference_formal_notice}{/higher_preference_exists}</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in this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This estate {#estate_tax_return_required}will{/estate_tax_return_required}{^estate_tax_return_required}will not{/estate_tax_return_required} be required to file a federal estate tax return.</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spacing w:before="0" w:after="0" w:line="360" w:lineRule="auto"/>
        <w:numPr>
          <w:ilvl w:val="0"/>
          <w:numId w:val="1"/>
        </w:numPr>
      </w:pPr>
      <w:r>
        <w:rPr>
          <w:rFonts w:ascii="Times New Roman" w:hAnsi="Times New Roman" w:cs="Times New Roman"/>
          <w:b w:val="0"/>
          <w:i w:val="0"/>
          <w:sz w:val="24"/>
        </w:rPr>
        <w:t>{#is_testate}The decedent’s last will dated {will_date}{#codicil_dates}, and codicil(s) dated {codicil_dates}{/codicil_dates}, accompanies this petition. Petitioner is unaware of any unrevoked will or codicil of decedent other than as set forth above.{/is_testate}{^is_testate}After the exercise of reasonable diligence, petitioner is unaware of any unrevoked wills or codicils of decedent.{/is_testate}</w:t>
      </w:r>
    </w:p>
    <w:p>
      <w:pPr>
        <w:spacing w:before="240" w:after="240"/>
        <w:ind w:firstLine="720"/>
        <w:jc w:val="left"/>
      </w:pPr>
      <w:r>
        <w:rPr>
          <w:rFonts w:ascii="Times New Roman" w:hAnsi="Times New Roman" w:cs="Times New Roman"/>
          <w:b w:val="0"/>
          <w:i w:val="0"/>
          <w:sz w:val="24"/>
        </w:rPr>
        <w:t>WHEREFORE, {petitioner_label} respectfully {^multiple_petitioners}requests{/multiple_petitioners}{#multiple_petitioners}request{/multiple_petitioners} that {#is_testate}the decedent’s will be admitted to probate and that {/is_testate}{pr_names} be appointed {pr_label} of the estate of the decedent{#is_ancillary} and that letters of ancillary administration be issued{/is_ancillary}.</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