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Times New Roman" w:hAnsi="Times New Roman" w:cs="Times New Roman"/>
          <w:b/>
          <w:i w:val="0"/>
          <w:sz w:val="24"/>
        </w:rPr>
        <w:t>IN THE CIRCUIT COURT FOR {county_caption} COUNTY, FLORIDA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 RE: ESTATE OF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PROBATE DIVISION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{decedent_full_name},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Deceased.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File No. {file_no}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Division {division}</w:t>
            </w:r>
          </w:p>
        </w:tc>
      </w:tr>
    </w:tbl>
    <w:p>
      <w:pPr>
        <w:spacing w:before="0" w:after="360"/>
        <w:jc w:val="left"/>
      </w:pPr>
    </w:p>
    <w:p>
      <w:pPr>
        <w:spacing w:before="0" w:after="360"/>
        <w:jc w:val="center"/>
      </w:pPr>
      <w:r>
        <w:rPr>
          <w:rFonts w:ascii="Times New Roman" w:hAnsi="Times New Roman" w:cs="Times New Roman"/>
          <w:b/>
          <w:i w:val="0"/>
          <w:sz w:val="24"/>
        </w:rPr>
        <w:t>ORDER {#is_testate}ADMITTING WILL TO PROBATE AND {/is_testate}APPOINTING {pr_label_caps}{#is_ancillary} OF ANCILLARY ADMINISTRATION{/is_ancillary}</w:t>
      </w:r>
    </w:p>
    <w:p>
      <w:pPr>
        <w:spacing w:before="0" w:after="36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On the petition of {petitioner_names} for administration of the estate of {decedent_full_name}, deceased, the Court finds that the decedent died on {decedent_death_date}; that the decedent was domiciled in {^is_ancillary}{decedent_domicile} County, Florida{/is_ancillary}{#is_ancillary}{decedent_domicile_state}{/is_ancillary} at the time of death; that {pr_names} {pr_verb_is} entitled to preference in appointment and {pr_verb_is} qualified to serve as {pr_label}; and that the petition satisfies the requirements of Florida Probate Code. It is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/>
          <w:i w:val="0"/>
          <w:sz w:val="24"/>
        </w:rPr>
        <w:t>ORDERED and ADJUDGED: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{#is_testate}The decedent’s last will dated {will_date}{#has_codicil}, and codicil(s) dated {codicil_dates}{/has_codicil} {#will_is_self_proved}{pr_verb_is} self-proved and {/will_is_self_proved}{pr_verb_is} admitted to probate according to law.{/is_testate}{^is_testate}The decedent died intestate. Administration of the decedent’s estate is granted.{/is_testate}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{pr_names} {pr_verb_is} appointed as {pr_label} of the estate of the decedent, to serve without bond.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Upon {pr_pronoun_his_her} qualification by filing of {pr_pronoun_his_her} oath, letters of {#is_ancillary}ancillary {/is_ancillary}administration shall issue to {pr_names}.</w:t>
      </w:r>
    </w:p>
    <w:p>
      <w:pPr>
        <w:spacing w:before="0" w:after="360"/>
        <w:jc w:val="left"/>
      </w:pPr>
    </w:p>
    <w:p>
      <w:pPr>
        <w:spacing w:before="0" w:after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DONE AND ORDERED in {county} County, Florida.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48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CIRCUIT JUDGE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Copies furnished to: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{attorney_name}, {attorney_firm}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{attorney_address}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right"/>
    </w:pPr>
    <w:r>
      <w:rPr>
        <w:rFonts w:ascii="Times New Roman" w:hAnsi="Times New Roman" w:cs="Times New Roman"/>
        <w:b w:val="0"/>
        <w:i/>
        <w:sz w:val="22"/>
      </w:rPr>
      <w:t>Estate of {decedent_name}</w:t>
    </w:r>
  </w:p>
  <w:p>
    <w:pPr>
      <w:spacing w:after="240"/>
      <w:jc w:val="right"/>
    </w:pPr>
    <w:r>
      <w:rPr>
        <w:rFonts w:ascii="Times New Roman" w:hAnsi="Times New Roman" w:cs="Times New Roman"/>
        <w:b w:val="0"/>
        <w:i/>
        <w:sz w:val="22"/>
      </w:rPr>
      <w:t xml:space="preserve">Page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PAGE </w:instrText>
      <w:fldChar w:fldCharType="end"/>
    </w:r>
    <w:r>
      <w:rPr>
        <w:rFonts w:ascii="Times New Roman" w:hAnsi="Times New Roman" w:cs="Times New Roman"/>
        <w:b w:val="0"/>
        <w:i/>
        <w:sz w:val="22"/>
      </w:rPr>
      <w:t xml:space="preserve"> of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NUMPAGES 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0" w:firstLine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