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PETITION FOR{#is_ancillary} ANCILLARY{/is_ancillary} ADMINISTRATION</w:t>
      </w:r>
    </w:p>
    <w:p>
      <w:pPr>
        <w:spacing w:before="0" w:after="240"/>
        <w:jc w:val="left"/>
      </w:pPr>
      <w:r>
        <w:rPr>
          <w:rFonts w:ascii="Times New Roman" w:hAnsi="Times New Roman" w:cs="Times New Roman"/>
          <w:b w:val="0"/>
          <w:i w:val="0"/>
          <w:sz w:val="24"/>
        </w:rPr>
        <w:t>{petitioner_label}, {petitioner_names}, {petitioner_verb_alleges}:</w:t>
      </w:r>
    </w:p>
    <w:p>
      <w:pPr>
        <w:spacing w:before="0" w:after="0" w:line="360" w:lineRule="auto"/>
        <w:numPr>
          <w:ilvl w:val="0"/>
          <w:numId w:val="1"/>
        </w:numPr>
      </w:pPr>
      <w:r>
        <w:rPr>
          <w:rFonts w:ascii="Times New Roman" w:hAnsi="Times New Roman" w:cs="Times New Roman"/>
          <w:b w:val="0"/>
          <w:i w:val="0"/>
          <w:sz w:val="24"/>
        </w:rPr>
        <w:t>{^multiple_petitioners}{#petitioners}Petitioner has an interest in the above estate as {pet_interest}. Petitioner’s address is {pet_address}, and the name and office address of petitioner’s attorney are set forth at the end of this petition.{/petitioners}{/multiple_petitioners}{#multiple_petitioners}Each petitioner has an interest in the above estate, as set forth below: {#petitioners}{pet_name} is {pet_interest}, whose address is {pet_address}. {/petitioners}The name and office address of petitioners’ attorney are set forth at the end of this petition.{/multiple_petitioners}</w:t>
      </w:r>
    </w:p>
    <w:p>
      <w:pPr>
        <w:spacing w:before="0" w:after="0" w:line="360" w:lineRule="auto"/>
        <w:numPr>
          <w:ilvl w:val="0"/>
          <w:numId w:val="1"/>
        </w:numPr>
      </w:pPr>
      <w:r>
        <w:rPr>
          <w:rFonts w:ascii="Times New Roman" w:hAnsi="Times New Roman" w:cs="Times New Roman"/>
          <w:b w:val="0"/>
          <w:i w:val="0"/>
          <w:sz w:val="24"/>
        </w:rPr>
        <w:t>Decedent, {decedent_full_name}, whose last known address was {decedent_address}, and the last four digits of whose social security number are {decedent_ssn_last4}, died on {decedent_death_date} at {decedent_death_place}. On the date of death, decedent was domiciled in {^is_ancillary}{decedent_domicile} County, Florida{/is_ancillary}{#is_ancillary}{decedent_domicile_state} and left property in {county} County, Florida{/is_ancillary}{^is_testate}, and died intestate{/is_testate}.</w:t>
      </w:r>
    </w:p>
    <w:p>
      <w:pPr>
        <w:keepNext/>
        <w:spacing w:before="0" w:after="0" w:line="360" w:lineRule="auto"/>
        <w:numPr>
          <w:ilvl w:val="0"/>
          <w:numId w:val="1"/>
        </w:numPr>
      </w:pPr>
      <w:r>
        <w:rPr>
          <w:rFonts w:ascii="Times New Roman" w:hAnsi="Times New Roman" w:cs="Times New Roman"/>
          <w:b w:val="0"/>
          <w:i w:val="0"/>
          <w:sz w:val="24"/>
        </w:rPr>
        <w:t>So far as is known, the names of the beneficiaries of this estate and of the decedent’s surviving spouse, if any, their addresses and relationships to decedent, and the years of birth of any who are minors,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592"/>
          </w:tcPr>
          <w:p>
            <w:pPr>
              <w:spacing w:before="0" w:after="0"/>
              <w:jc w:val="left"/>
            </w:pPr>
            <w:r>
              <w:rPr>
                <w:rFonts w:ascii="Times New Roman" w:hAnsi="Times New Roman" w:cs="Times New Roman"/>
                <w:b/>
                <w:i w:val="0"/>
                <w:sz w:val="24"/>
              </w:rPr>
              <w:t>NAME</w:t>
            </w:r>
          </w:p>
        </w:tc>
        <w:tc>
          <w:tcPr>
            <w:tcW w:type="dxa" w:w="3456"/>
          </w:tcPr>
          <w:p>
            <w:pPr>
              <w:spacing w:before="0" w:after="0"/>
              <w:jc w:val="left"/>
            </w:pPr>
            <w:r>
              <w:rPr>
                <w:rFonts w:ascii="Times New Roman" w:hAnsi="Times New Roman" w:cs="Times New Roman"/>
                <w:b/>
                <w:i w:val="0"/>
                <w:sz w:val="24"/>
              </w:rPr>
              <w:t>ADDRESS</w:t>
            </w:r>
          </w:p>
        </w:tc>
        <w:tc>
          <w:tcPr>
            <w:tcW w:type="dxa" w:w="2016"/>
          </w:tcPr>
          <w:p>
            <w:pPr>
              <w:spacing w:before="0" w:after="0"/>
              <w:jc w:val="left"/>
            </w:pPr>
            <w:r>
              <w:rPr>
                <w:rFonts w:ascii="Times New Roman" w:hAnsi="Times New Roman" w:cs="Times New Roman"/>
                <w:b/>
                <w:i w:val="0"/>
                <w:sz w:val="24"/>
              </w:rPr>
              <w:t>RELATIONSHIP</w:t>
            </w:r>
          </w:p>
        </w:tc>
        <w:tc>
          <w:tcPr>
            <w:tcW w:type="dxa" w:w="1296"/>
          </w:tcPr>
          <w:p>
            <w:pPr>
              <w:spacing w:before="0" w:after="0"/>
              <w:jc w:val="left"/>
            </w:pPr>
            <w:r>
              <w:rPr>
                <w:rFonts w:ascii="Times New Roman" w:hAnsi="Times New Roman" w:cs="Times New Roman"/>
                <w:b/>
                <w:i w:val="0"/>
                <w:sz w:val="24"/>
              </w:rPr>
              <w:t>BIRTH YR.</w:t>
            </w:r>
          </w:p>
        </w:tc>
      </w:tr>
      <w:tr>
        <w:tc>
          <w:tcPr>
            <w:tcW w:type="dxa" w:w="2592"/>
          </w:tcPr>
          <w:p>
            <w:pPr>
              <w:spacing w:before="0" w:after="0"/>
              <w:jc w:val="left"/>
            </w:pPr>
            <w:r>
              <w:rPr>
                <w:rFonts w:ascii="Times New Roman" w:hAnsi="Times New Roman" w:cs="Times New Roman"/>
                <w:b w:val="0"/>
                <w:i w:val="0"/>
                <w:sz w:val="24"/>
              </w:rPr>
              <w:t>{#beneficiaries}{ben_name}</w:t>
            </w:r>
          </w:p>
        </w:tc>
        <w:tc>
          <w:tcPr>
            <w:tcW w:type="dxa" w:w="3456"/>
          </w:tcPr>
          <w:p>
            <w:pPr>
              <w:spacing w:before="0" w:after="0"/>
              <w:jc w:val="left"/>
            </w:pPr>
            <w:r>
              <w:rPr>
                <w:rFonts w:ascii="Times New Roman" w:hAnsi="Times New Roman" w:cs="Times New Roman"/>
                <w:b w:val="0"/>
                <w:i w:val="0"/>
                <w:sz w:val="24"/>
              </w:rPr>
              <w:t>{ben_address}</w:t>
            </w:r>
          </w:p>
        </w:tc>
        <w:tc>
          <w:tcPr>
            <w:tcW w:type="dxa" w:w="2016"/>
          </w:tcPr>
          <w:p>
            <w:pPr>
              <w:spacing w:before="0" w:after="0"/>
              <w:jc w:val="left"/>
            </w:pPr>
            <w:r>
              <w:rPr>
                <w:rFonts w:ascii="Times New Roman" w:hAnsi="Times New Roman" w:cs="Times New Roman"/>
                <w:b w:val="0"/>
                <w:i w:val="0"/>
                <w:sz w:val="24"/>
              </w:rPr>
              <w:t>{ben_relationship}</w:t>
            </w:r>
          </w:p>
        </w:tc>
        <w:tc>
          <w:tcPr>
            <w:tcW w:type="dxa" w:w="1296"/>
          </w:tcPr>
          <w:p>
            <w:pPr>
              <w:spacing w:before="0" w:after="0"/>
              <w:jc w:val="left"/>
            </w:pPr>
            <w:r>
              <w:rPr>
                <w:rFonts w:ascii="Times New Roman" w:hAnsi="Times New Roman" w:cs="Times New Roman"/>
                <w:b w:val="0"/>
                <w:i w:val="0"/>
                <w:sz w:val="24"/>
              </w:rPr>
              <w:t>{ben_year_of_birth}{/beneficiaries}</w:t>
            </w:r>
          </w:p>
        </w:tc>
      </w:tr>
    </w:tbl>
    <w:p>
      <w:pPr>
        <w:spacing w:before="0" w:after="0" w:line="360" w:lineRule="auto"/>
        <w:numPr>
          <w:ilvl w:val="0"/>
          <w:numId w:val="1"/>
        </w:numPr>
      </w:pPr>
      <w:r>
        <w:rPr>
          <w:rFonts w:ascii="Times New Roman" w:hAnsi="Times New Roman" w:cs="Times New Roman"/>
          <w:b w:val="0"/>
          <w:i w:val="0"/>
          <w:sz w:val="24"/>
        </w:rPr>
        <w:t>Venue of this proceeding is in this county because {venue_reason}.</w:t>
      </w:r>
    </w:p>
    <w:p>
      <w:pPr>
        <w:spacing w:before="0" w:after="0" w:line="360" w:lineRule="auto"/>
        <w:numPr>
          <w:ilvl w:val="0"/>
          <w:numId w:val="1"/>
        </w:numPr>
      </w:pPr>
      <w:r>
        <w:rPr>
          <w:rFonts w:ascii="Times New Roman" w:hAnsi="Times New Roman" w:cs="Times New Roman"/>
          <w:b w:val="0"/>
          <w:i w:val="0"/>
          <w:sz w:val="24"/>
        </w:rPr>
        <w:t>{^multiple_prs}{pr_names}, whose address is {pr_address}, is qualified to serve as personal representative of the decedent’s estate: {pr_names} has not been convicted of a felony, is mentally and physically able to perform the duties of personal representative, and is 18 years of age or older. {#pr_is_fl_resident}{pr_names} is a resident of Florida.{/pr_is_fl_resident}{^pr_is_fl_resident}{pr_names} is not a resident of Florida but is related to the decedent as {pr_relationship} and is qualified to serve as personal representative under Florida Statutes section 733.304.{/pr_is_fl_resident}{/multiple_prs}{#multiple_prs}Each proposed personal representative is qualified to serve: {#prs}{pr_name}, whose address is {pr_address}, has not been convicted of a felony, is mentally and physically able to perform the duties of personal representative, and is 18 years of age or older. {#pr_is_fl_resident}{pr_name} is a resident of Florida.{/pr_is_fl_resident}{^pr_is_fl_resident}{pr_name} is not a resident of Florida but is related to the decedent as {pr_relationship} and is qualified under Florida Statutes section 733.304.{/pr_is_fl_resident} {/prs}{/multiple_prs}</w:t>
      </w:r>
    </w:p>
    <w:p>
      <w:pPr>
        <w:spacing w:before="0" w:after="0" w:line="360" w:lineRule="auto"/>
        <w:numPr>
          <w:ilvl w:val="0"/>
          <w:numId w:val="1"/>
        </w:numPr>
      </w:pPr>
      <w:r>
        <w:rPr>
          <w:rFonts w:ascii="Times New Roman" w:hAnsi="Times New Roman" w:cs="Times New Roman"/>
          <w:b w:val="0"/>
          <w:i w:val="0"/>
          <w:sz w:val="24"/>
        </w:rPr>
        <w:t>{petitioner_label} {#petitioner_has_prior_conviction}{petitioner_verb_has}{/petitioner_has_prior_conviction}{^petitioner_has_prior_conviction}{petitioner_verb_has} not{/petitioner_has_prior_conviction} been convicted in any state or foreign jurisdiction of abuse, neglect, or exploitation of an elderly person or a disabled adult, as those terms are defined in Florida Statutes section 825.101.</w:t>
      </w:r>
    </w:p>
    <w:p>
      <w:pPr>
        <w:spacing w:before="0" w:after="0" w:line="360" w:lineRule="auto"/>
        <w:numPr>
          <w:ilvl w:val="0"/>
          <w:numId w:val="1"/>
        </w:numPr>
      </w:pPr>
      <w:r>
        <w:rPr>
          <w:rFonts w:ascii="Times New Roman" w:hAnsi="Times New Roman" w:cs="Times New Roman"/>
          <w:b w:val="0"/>
          <w:i w:val="0"/>
          <w:sz w:val="24"/>
        </w:rPr>
        <w:t>{^higher_preference_exists}No person has equal or higher preference to be appointed personal representative.{/higher_preference_exists}{#higher_preference_exists}The following person(s) has/have equal or higher preference to be appointed personal representative: {higher_preference_names}. {#higher_preference_formal_notice}Formal notice of this petition will be served on such person(s).{/higher_preference_formal_notice}{^higher_preference_formal_notice}Formal notice of this petition will not be served on such person(s).{/higher_preference_formal_notice}{/higher_preference_exists}</w:t>
      </w:r>
    </w:p>
    <w:p>
      <w:pPr>
        <w:keepNext/>
        <w:spacing w:before="0" w:after="0" w:line="360" w:lineRule="auto"/>
        <w:numPr>
          <w:ilvl w:val="0"/>
          <w:numId w:val="1"/>
        </w:numPr>
      </w:pPr>
      <w:r>
        <w:rPr>
          <w:rFonts w:ascii="Times New Roman" w:hAnsi="Times New Roman" w:cs="Times New Roman"/>
          <w:b w:val="0"/>
          <w:i w:val="0"/>
          <w:sz w:val="24"/>
        </w:rPr>
        <w:t>The nature and approximate value of the assets in this estate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6480"/>
          </w:tcPr>
          <w:p>
            <w:pPr>
              <w:spacing w:before="0" w:after="0"/>
              <w:jc w:val="left"/>
            </w:pPr>
            <w:r>
              <w:rPr>
                <w:rFonts w:ascii="Times New Roman" w:hAnsi="Times New Roman" w:cs="Times New Roman"/>
                <w:b/>
                <w:i w:val="0"/>
                <w:sz w:val="24"/>
              </w:rPr>
              <w:t>NATURE OF ASSET</w:t>
            </w:r>
          </w:p>
        </w:tc>
        <w:tc>
          <w:tcPr>
            <w:tcW w:type="dxa" w:w="2880"/>
          </w:tcPr>
          <w:p>
            <w:pPr>
              <w:spacing w:before="0" w:after="0"/>
              <w:jc w:val="left"/>
            </w:pPr>
            <w:r>
              <w:rPr>
                <w:rFonts w:ascii="Times New Roman" w:hAnsi="Times New Roman" w:cs="Times New Roman"/>
                <w:b/>
                <w:i w:val="0"/>
                <w:sz w:val="24"/>
              </w:rPr>
              <w:t>APPROXIMATE VALUE</w:t>
            </w:r>
          </w:p>
        </w:tc>
      </w:tr>
      <w:tr>
        <w:tc>
          <w:tcPr>
            <w:tcW w:type="dxa" w:w="6480"/>
          </w:tcPr>
          <w:p>
            <w:pPr>
              <w:spacing w:before="0" w:after="0"/>
              <w:jc w:val="left"/>
            </w:pPr>
            <w:r>
              <w:rPr>
                <w:rFonts w:ascii="Times New Roman" w:hAnsi="Times New Roman" w:cs="Times New Roman"/>
                <w:b w:val="0"/>
                <w:i w:val="0"/>
                <w:sz w:val="24"/>
              </w:rPr>
              <w:t>{#estate_assets}{asset_description}</w:t>
            </w:r>
          </w:p>
        </w:tc>
        <w:tc>
          <w:tcPr>
            <w:tcW w:type="dxa" w:w="2880"/>
          </w:tcPr>
          <w:p>
            <w:pPr>
              <w:spacing w:before="0" w:after="0"/>
              <w:jc w:val="left"/>
            </w:pPr>
            <w:r>
              <w:rPr>
                <w:rFonts w:ascii="Times New Roman" w:hAnsi="Times New Roman" w:cs="Times New Roman"/>
                <w:b w:val="0"/>
                <w:i w:val="0"/>
                <w:sz w:val="24"/>
              </w:rPr>
              <w:t>{asset_value_formatted}{/estate_assets}</w:t>
            </w:r>
          </w:p>
        </w:tc>
      </w:tr>
    </w:tbl>
    <w:p>
      <w:pPr>
        <w:spacing w:before="0" w:after="0" w:line="360" w:lineRule="auto"/>
        <w:numPr>
          <w:ilvl w:val="0"/>
          <w:numId w:val="1"/>
        </w:numPr>
      </w:pPr>
      <w:r>
        <w:rPr>
          <w:rFonts w:ascii="Times New Roman" w:hAnsi="Times New Roman" w:cs="Times New Roman"/>
          <w:b w:val="0"/>
          <w:i w:val="0"/>
          <w:sz w:val="24"/>
        </w:rPr>
        <w:t>This estate {#estate_tax_return_required}will{/estate_tax_return_required}{^estate_tax_return_required}will not{/estate_tax_return_required} be required to file a federal estate tax return.</w:t>
      </w:r>
    </w:p>
    <w:p>
      <w:pPr>
        <w:spacing w:before="0" w:after="0" w:line="360" w:lineRule="auto"/>
        <w:numPr>
          <w:ilvl w:val="0"/>
          <w:numId w:val="1"/>
        </w:numPr>
      </w:pPr>
      <w:r>
        <w:rPr>
          <w:rFonts w:ascii="Times New Roman" w:hAnsi="Times New Roman" w:cs="Times New Roman"/>
          <w:b w:val="0"/>
          <w:i w:val="0"/>
          <w:sz w:val="24"/>
        </w:rPr>
        <w:t>{#is_ancillary}Domiciliary proceedings are pending in {domiciliary_court_name}, the address of which is {domiciliary_court_address}, and letters have been issued to {domiciliary_representative}, whose address is {domiciliary_representative_address}.{/is_ancillary}{^is_ancillary}Domiciliary or principal proceedings {#domiciliary_proceedings_pending}are known to be pending in {domiciliary_court_name}, the address of which is {domiciliary_court_address}. Letters have been issued to {domiciliary_representative}, whose address is {domiciliary_representative_address}.{/domiciliary_proceedings_pending}{^domiciliary_proceedings_pending}are not known to be pending in another state or country.{/domiciliary_proceedings_pending}{/is_ancillary}</w:t>
      </w:r>
    </w:p>
    <w:p>
      <w:pPr>
        <w:spacing w:before="0" w:after="0" w:line="360" w:lineRule="auto"/>
        <w:numPr>
          <w:ilvl w:val="0"/>
          <w:numId w:val="1"/>
        </w:numPr>
      </w:pPr>
      <w:r>
        <w:rPr>
          <w:rFonts w:ascii="Times New Roman" w:hAnsi="Times New Roman" w:cs="Times New Roman"/>
          <w:b w:val="0"/>
          <w:i w:val="0"/>
          <w:sz w:val="24"/>
        </w:rPr>
        <w:t>{#is_testate}The decedent’s last will dated {will_date}{#has_codicil}, and codicil(s) dated {codicil_dates}{/has_codicil}, accompanies this petition. Petitioner is unaware of any unrevoked will or codicil of decedent other than as set forth above.{/is_testate}{^is_testate}After the exercise of reasonable diligence, petitioner is unaware of any unrevoked wills or codicils of decedent.{/is_testate}</w:t>
      </w:r>
    </w:p>
    <w:p>
      <w:pPr>
        <w:spacing w:before="240" w:after="240"/>
        <w:ind w:firstLine="720"/>
        <w:jc w:val="left"/>
      </w:pPr>
      <w:r>
        <w:rPr>
          <w:rFonts w:ascii="Times New Roman" w:hAnsi="Times New Roman" w:cs="Times New Roman"/>
          <w:b w:val="0"/>
          <w:i w:val="0"/>
          <w:sz w:val="24"/>
        </w:rPr>
        <w:t>WHEREFORE, {petitioner_label} respectfully {^multiple_petitioners}requests{/multiple_petitioners}{#multiple_petitioners}request{/multiple_petitioners} that {#is_testate}the decedent’s will be admitted to probate and that {/is_testate}{pr_names} be appointed {pr_label} of the estate of the decedent{#is_ancillary} and that letters of ancillary administration be issued{/is_ancillary}.</w:t>
      </w:r>
    </w:p>
    <w:p>
      <w:pPr>
        <w:spacing w:before="0" w:after="360"/>
        <w:ind w:firstLine="720"/>
        <w:jc w:val="left"/>
      </w:pPr>
      <w:r>
        <w:rPr>
          <w:rFonts w:ascii="Times New Roman" w:hAnsi="Times New Roman" w:cs="Times New Roman"/>
          <w:b w:val="0"/>
          <w:i w:val="0"/>
          <w:sz w:val="24"/>
        </w:rPr>
        <w:t>Under penalties of perjury, {petitioner_label} declare{^multiple_petitioners}s{/multiple_petitioners} that {petitioner_label} {petitioner_verb_has} read the foregoing, and the facts alleged are true, to the best of {petitioner_poss} knowledge and belief.</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Petition for Administration.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{pet_name}, Petitioner</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