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{#is_minor}A minor{/is_minor}{^is_minor}An alleged incapacitated person{/is_minor}</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PETITION FOR APPOINTMENT OF {guardian_kind_caps}</w:t>
      </w:r>
    </w:p>
    <w:p>
      <w:pPr>
        <w:spacing w:before="0" w:after="360"/>
        <w:jc w:val="center"/>
      </w:pPr>
      <w:r>
        <w:rPr>
          <w:rFonts w:ascii="Times New Roman" w:hAnsi="Times New Roman" w:cs="Times New Roman"/>
          <w:b w:val="0"/>
          <w:i w:val="0"/>
          <w:sz w:val="24"/>
        </w:rPr>
        <w:t>{scope_subtitle}</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Petitioner’s residence is {petitioner_residence} and petitioner’s post office address is {petitioner_address}.</w:t>
      </w:r>
    </w:p>
    <w:p>
      <w:pPr>
        <w:spacing w:before="0" w:after="0" w:line="360" w:lineRule="auto"/>
        <w:numPr>
          <w:ilvl w:val="0"/>
          <w:numId w:val="1"/>
        </w:numPr>
      </w:pPr>
      <w:r>
        <w:rPr>
          <w:rFonts w:ascii="Times New Roman" w:hAnsi="Times New Roman" w:cs="Times New Roman"/>
          <w:b w:val="0"/>
          <w:i w:val="0"/>
          <w:sz w:val="24"/>
        </w:rPr>
        <w:t>{#is_minor}{aip_name} is a minor, who is {aip_age} years of age. The residence of the minor is {aip_address}.{/is_minor}{^is_minor}{aip_name} (the Ward) is an alleged incapacitated person who is {aip_age} years of age, whose address is {aip_address}.{/is_minor}</w:t>
      </w:r>
    </w:p>
    <w:p>
      <w:pPr>
        <w:keepNext/>
        <w:spacing w:before="0" w:after="0" w:line="360" w:lineRule="auto"/>
        <w:numPr>
          <w:ilvl w:val="0"/>
          <w:numId w:val="1"/>
        </w:numPr>
      </w:pPr>
      <w:r>
        <w:rPr>
          <w:rFonts w:ascii="Times New Roman" w:hAnsi="Times New Roman" w:cs="Times New Roman"/>
          <w:b w:val="0"/>
          <w:i w:val="0"/>
          <w:sz w:val="24"/>
        </w:rPr>
        <w:t>{#is_adult_incapacity}The nature of the Ward’s alleged incapacity is {ward_incapacity_nature}.{/is_adult_incapacity}{#is_minor}The names and addresses of the parents, or if none, the next of kin, of the minor are as follows:{/is_minor}</w:t>
      </w:r>
    </w:p>
    <w:p>
      <w:pPr>
        <w:spacing w:before="0" w:after="0"/>
        <w:jc w:val="left"/>
      </w:pPr>
      <w:r>
        <w:rPr>
          <w:rFonts w:ascii="Times New Roman" w:hAnsi="Times New Roman" w:cs="Times New Roman"/>
          <w:b w:val="0"/>
          <w:i w:val="0"/>
          <w:sz w:val="24"/>
        </w:rPr>
        <w:t>{#is_minor}</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312"/>
          </w:tcPr>
          <w:p>
            <w:pPr>
              <w:spacing w:before="0" w:after="0"/>
              <w:jc w:val="left"/>
            </w:pPr>
            <w:r>
              <w:rPr>
                <w:rFonts w:ascii="Times New Roman" w:hAnsi="Times New Roman" w:cs="Times New Roman"/>
                <w:b/>
                <w:i w:val="0"/>
                <w:sz w:val="24"/>
              </w:rPr>
              <w:t>NAME</w:t>
            </w:r>
          </w:p>
        </w:tc>
        <w:tc>
          <w:tcPr>
            <w:tcW w:type="dxa" w:w="4176"/>
          </w:tcPr>
          <w:p>
            <w:pPr>
              <w:spacing w:before="0" w:after="0"/>
              <w:jc w:val="left"/>
            </w:pPr>
            <w:r>
              <w:rPr>
                <w:rFonts w:ascii="Times New Roman" w:hAnsi="Times New Roman" w:cs="Times New Roman"/>
                <w:b/>
                <w:i w:val="0"/>
                <w:sz w:val="24"/>
              </w:rPr>
              <w:t>ADDRESS</w:t>
            </w:r>
          </w:p>
        </w:tc>
        <w:tc>
          <w:tcPr>
            <w:tcW w:type="dxa" w:w="1872"/>
          </w:tcPr>
          <w:p>
            <w:pPr>
              <w:spacing w:before="0" w:after="0"/>
              <w:jc w:val="left"/>
            </w:pPr>
            <w:r>
              <w:rPr>
                <w:rFonts w:ascii="Times New Roman" w:hAnsi="Times New Roman" w:cs="Times New Roman"/>
                <w:b/>
                <w:i w:val="0"/>
                <w:sz w:val="24"/>
              </w:rPr>
              <w:t>RELATIONSHIP</w:t>
            </w:r>
          </w:p>
        </w:tc>
      </w:tr>
      <w:tr>
        <w:tc>
          <w:tcPr>
            <w:tcW w:type="dxa" w:w="3312"/>
          </w:tcPr>
          <w:p>
            <w:pPr>
              <w:spacing w:before="0" w:after="0"/>
              <w:jc w:val="left"/>
            </w:pPr>
            <w:r>
              <w:rPr>
                <w:rFonts w:ascii="Times New Roman" w:hAnsi="Times New Roman" w:cs="Times New Roman"/>
                <w:b w:val="0"/>
                <w:i w:val="0"/>
                <w:sz w:val="24"/>
              </w:rPr>
              <w:t>{#next_of_kin}{name}</w:t>
            </w:r>
          </w:p>
        </w:tc>
        <w:tc>
          <w:tcPr>
            <w:tcW w:type="dxa" w:w="4176"/>
          </w:tcPr>
          <w:p>
            <w:pPr>
              <w:spacing w:before="0" w:after="0"/>
              <w:jc w:val="left"/>
            </w:pPr>
            <w:r>
              <w:rPr>
                <w:rFonts w:ascii="Times New Roman" w:hAnsi="Times New Roman" w:cs="Times New Roman"/>
                <w:b w:val="0"/>
                <w:i w:val="0"/>
                <w:sz w:val="24"/>
              </w:rPr>
              <w:t>{address}</w:t>
            </w:r>
          </w:p>
        </w:tc>
        <w:tc>
          <w:tcPr>
            <w:tcW w:type="dxa" w:w="1872"/>
          </w:tcPr>
          <w:p>
            <w:pPr>
              <w:spacing w:before="0" w:after="0"/>
              <w:jc w:val="left"/>
            </w:pPr>
            <w:r>
              <w:rPr>
                <w:rFonts w:ascii="Times New Roman" w:hAnsi="Times New Roman" w:cs="Times New Roman"/>
                <w:b w:val="0"/>
                <w:i w:val="0"/>
                <w:sz w:val="24"/>
              </w:rPr>
              <w:t>{relationship}{/next_of_kin}</w:t>
            </w:r>
          </w:p>
        </w:tc>
      </w:tr>
    </w:tbl>
    <w:p>
      <w:pPr>
        <w:spacing w:before="0" w:after="0"/>
        <w:jc w:val="left"/>
      </w:pPr>
      <w:r>
        <w:rPr>
          <w:rFonts w:ascii="Times New Roman" w:hAnsi="Times New Roman" w:cs="Times New Roman"/>
          <w:b w:val="0"/>
          <w:i w:val="0"/>
          <w:sz w:val="24"/>
        </w:rPr>
        <w:t>{/is_minor}</w:t>
      </w:r>
    </w:p>
    <w:p>
      <w:pPr>
        <w:keepNext/>
        <w:spacing w:before="0" w:after="0" w:line="360" w:lineRule="auto"/>
        <w:numPr>
          <w:ilvl w:val="0"/>
          <w:numId w:val="1"/>
        </w:numPr>
      </w:pPr>
      <w:r>
        <w:rPr>
          <w:rFonts w:ascii="Times New Roman" w:hAnsi="Times New Roman" w:cs="Times New Roman"/>
          <w:b w:val="0"/>
          <w:i w:val="0"/>
          <w:sz w:val="24"/>
        </w:rPr>
        <w:t>{#is_limited}The Ward is unable to meet the essential requirements for certain aspects of the Ward’s {limited_aspects_phrase}. Consequently, the following rights should be removed:{/is_limited}</w:t>
      </w:r>
    </w:p>
    <w:p>
      <w:pPr>
        <w:spacing w:before="0" w:after="0"/>
        <w:jc w:val="left"/>
      </w:pPr>
      <w:r>
        <w:rPr>
          <w:rFonts w:ascii="Times New Roman" w:hAnsi="Times New Roman" w:cs="Times New Roman"/>
          <w:b w:val="0"/>
          <w:i w:val="0"/>
          <w:sz w:val="24"/>
        </w:rPr>
        <w:t>{#show_limited_person_rights}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{remove_marry_check}</w:t>
      </w:r>
      <w:r>
        <w:rPr>
          <w:rFonts w:ascii="Times New Roman" w:hAnsi="Times New Roman" w:cs="Times New Roman"/>
          <w:b w:val="0"/>
          <w:i w:val="0"/>
          <w:sz w:val="24"/>
        </w:rPr>
        <w:t>) to marry,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{remove_vote_check}</w:t>
      </w:r>
      <w:r>
        <w:rPr>
          <w:rFonts w:ascii="Times New Roman" w:hAnsi="Times New Roman" w:cs="Times New Roman"/>
          <w:b w:val="0"/>
          <w:i w:val="0"/>
          <w:sz w:val="24"/>
        </w:rPr>
        <w:t>) to vote,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{remove_govt_benefits_check}</w:t>
      </w:r>
      <w:r>
        <w:rPr>
          <w:rFonts w:ascii="Times New Roman" w:hAnsi="Times New Roman" w:cs="Times New Roman"/>
          <w:b w:val="0"/>
          <w:i w:val="0"/>
          <w:sz w:val="24"/>
        </w:rPr>
        <w:t>) to personally apply for government benefits,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{remove_drivers_license_check}</w:t>
      </w:r>
      <w:r>
        <w:rPr>
          <w:rFonts w:ascii="Times New Roman" w:hAnsi="Times New Roman" w:cs="Times New Roman"/>
          <w:b w:val="0"/>
          <w:i w:val="0"/>
          <w:sz w:val="24"/>
        </w:rPr>
        <w:t>) to have a driver’s license,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{remove_travel_check}</w:t>
      </w:r>
      <w:r>
        <w:rPr>
          <w:rFonts w:ascii="Times New Roman" w:hAnsi="Times New Roman" w:cs="Times New Roman"/>
          <w:b w:val="0"/>
          <w:i w:val="0"/>
          <w:sz w:val="24"/>
        </w:rPr>
        <w:t>) to travel,</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{remove_employment_check}</w:t>
      </w:r>
      <w:r>
        <w:rPr>
          <w:rFonts w:ascii="Times New Roman" w:hAnsi="Times New Roman" w:cs="Times New Roman"/>
          <w:b w:val="0"/>
          <w:i w:val="0"/>
          <w:sz w:val="24"/>
        </w:rPr>
        <w:t>) to seek or retain employment,</w:t>
      </w:r>
    </w:p>
    <w:p>
      <w:pPr>
        <w:spacing w:before="0" w:after="0"/>
        <w:jc w:val="left"/>
      </w:pPr>
      <w:r>
        <w:rPr>
          <w:rFonts w:ascii="Times New Roman" w:hAnsi="Times New Roman" w:cs="Times New Roman"/>
          <w:b w:val="0"/>
          <w:i w:val="0"/>
          <w:sz w:val="24"/>
        </w:rPr>
        <w:t>{/show_limited_person_rights}</w:t>
      </w:r>
    </w:p>
    <w:p>
      <w:pPr>
        <w:spacing w:before="0" w:after="0"/>
        <w:jc w:val="left"/>
      </w:pPr>
      <w:r>
        <w:rPr>
          <w:rFonts w:ascii="Times New Roman" w:hAnsi="Times New Roman" w:cs="Times New Roman"/>
          <w:b w:val="0"/>
          <w:i w:val="0"/>
          <w:sz w:val="24"/>
        </w:rPr>
        <w:t>{#show_limited_property_rights_only}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{remove_contract_check}</w:t>
      </w:r>
      <w:r>
        <w:rPr>
          <w:rFonts w:ascii="Times New Roman" w:hAnsi="Times New Roman" w:cs="Times New Roman"/>
          <w:b w:val="0"/>
          <w:i w:val="0"/>
          <w:sz w:val="24"/>
        </w:rPr>
        <w:t>) to contract,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{remove_sue_check}</w:t>
      </w:r>
      <w:r>
        <w:rPr>
          <w:rFonts w:ascii="Times New Roman" w:hAnsi="Times New Roman" w:cs="Times New Roman"/>
          <w:b w:val="0"/>
          <w:i w:val="0"/>
          <w:sz w:val="24"/>
        </w:rPr>
        <w:t>) to sue and defend lawsuits,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{remove_property_check}</w:t>
      </w:r>
      <w:r>
        <w:rPr>
          <w:rFonts w:ascii="Times New Roman" w:hAnsi="Times New Roman" w:cs="Times New Roman"/>
          <w:b w:val="0"/>
          <w:i w:val="0"/>
          <w:sz w:val="24"/>
        </w:rPr>
        <w:t>) to manage property or to make any gift or disposition of property,</w:t>
      </w:r>
    </w:p>
    <w:p>
      <w:pPr>
        <w:spacing w:before="0" w:after="0"/>
        <w:jc w:val="left"/>
      </w:pPr>
      <w:r>
        <w:rPr>
          <w:rFonts w:ascii="Times New Roman" w:hAnsi="Times New Roman" w:cs="Times New Roman"/>
          <w:b w:val="0"/>
          <w:i w:val="0"/>
          <w:sz w:val="24"/>
        </w:rPr>
        <w:t>{/show_limited_property_rights_only}</w:t>
      </w:r>
    </w:p>
    <w:p>
      <w:pPr>
        <w:keepNext/>
        <w:spacing w:before="0" w:after="120"/>
        <w:jc w:val="left"/>
      </w:pPr>
      <w:r>
        <w:rPr>
          <w:rFonts w:ascii="Times New Roman" w:hAnsi="Times New Roman" w:cs="Times New Roman"/>
          <w:b w:val="0"/>
          <w:i w:val="0"/>
          <w:sz w:val="24"/>
        </w:rPr>
        <w:t>{#is_limited}and the following rights should be delegated to a limited guardian {scope_phrase} of the Ward:{/is_limited}</w:t>
      </w:r>
    </w:p>
    <w:p>
      <w:pPr>
        <w:spacing w:before="0" w:after="0"/>
        <w:jc w:val="left"/>
      </w:pPr>
      <w:r>
        <w:rPr>
          <w:rFonts w:ascii="Times New Roman" w:hAnsi="Times New Roman" w:cs="Times New Roman"/>
          <w:b w:val="0"/>
          <w:i w:val="0"/>
          <w:sz w:val="24"/>
        </w:rPr>
        <w:t>{#is_limited}{#is_scope_person_only}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{delegate_residence_check}</w:t>
      </w:r>
      <w:r>
        <w:rPr>
          <w:rFonts w:ascii="Times New Roman" w:hAnsi="Times New Roman" w:cs="Times New Roman"/>
          <w:b w:val="0"/>
          <w:i w:val="0"/>
          <w:sz w:val="24"/>
        </w:rPr>
        <w:t>) to determine the Ward’s residence,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{delegate_medical_check}</w:t>
      </w:r>
      <w:r>
        <w:rPr>
          <w:rFonts w:ascii="Times New Roman" w:hAnsi="Times New Roman" w:cs="Times New Roman"/>
          <w:b w:val="0"/>
          <w:i w:val="0"/>
          <w:sz w:val="24"/>
        </w:rPr>
        <w:t>) to consent to medical and mental health treatment,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{delegate_social_check}</w:t>
      </w:r>
      <w:r>
        <w:rPr>
          <w:rFonts w:ascii="Times New Roman" w:hAnsi="Times New Roman" w:cs="Times New Roman"/>
          <w:b w:val="0"/>
          <w:i w:val="0"/>
          <w:sz w:val="24"/>
        </w:rPr>
        <w:t>) to make decisions about the Ward’s social environment or other social aspects of the Ward’s life.</w:t>
      </w:r>
    </w:p>
    <w:p>
      <w:pPr>
        <w:spacing w:before="0" w:after="0"/>
        <w:jc w:val="left"/>
      </w:pPr>
      <w:r>
        <w:rPr>
          <w:rFonts w:ascii="Times New Roman" w:hAnsi="Times New Roman" w:cs="Times New Roman"/>
          <w:b w:val="0"/>
          <w:i w:val="0"/>
          <w:sz w:val="24"/>
        </w:rPr>
        <w:t>{/is_scope_person_only}{/is_limited}</w:t>
      </w:r>
    </w:p>
    <w:p>
      <w:pPr>
        <w:spacing w:before="0" w:after="0"/>
        <w:jc w:val="left"/>
      </w:pPr>
      <w:r>
        <w:rPr>
          <w:rFonts w:ascii="Times New Roman" w:hAnsi="Times New Roman" w:cs="Times New Roman"/>
          <w:b w:val="0"/>
          <w:i w:val="0"/>
          <w:sz w:val="24"/>
        </w:rPr>
        <w:t>{#is_limited}{#is_scope_property_only}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{delegate_contract_check}</w:t>
      </w:r>
      <w:r>
        <w:rPr>
          <w:rFonts w:ascii="Times New Roman" w:hAnsi="Times New Roman" w:cs="Times New Roman"/>
          <w:b w:val="0"/>
          <w:i w:val="0"/>
          <w:sz w:val="24"/>
        </w:rPr>
        <w:t>) to contract,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{delegate_sue_check}</w:t>
      </w:r>
      <w:r>
        <w:rPr>
          <w:rFonts w:ascii="Times New Roman" w:hAnsi="Times New Roman" w:cs="Times New Roman"/>
          <w:b w:val="0"/>
          <w:i w:val="0"/>
          <w:sz w:val="24"/>
        </w:rPr>
        <w:t>) to sue and defend lawsuits,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{delegate_govt_benefits_check}</w:t>
      </w:r>
      <w:r>
        <w:rPr>
          <w:rFonts w:ascii="Times New Roman" w:hAnsi="Times New Roman" w:cs="Times New Roman"/>
          <w:b w:val="0"/>
          <w:i w:val="0"/>
          <w:sz w:val="24"/>
        </w:rPr>
        <w:t>) to apply for government benefits,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{delegate_property_check}</w:t>
      </w:r>
      <w:r>
        <w:rPr>
          <w:rFonts w:ascii="Times New Roman" w:hAnsi="Times New Roman" w:cs="Times New Roman"/>
          <w:b w:val="0"/>
          <w:i w:val="0"/>
          <w:sz w:val="24"/>
        </w:rPr>
        <w:t>) to manage property or to make any gift or disposition of property.</w:t>
      </w:r>
    </w:p>
    <w:p>
      <w:pPr>
        <w:spacing w:before="0" w:after="0"/>
        <w:jc w:val="left"/>
      </w:pPr>
      <w:r>
        <w:rPr>
          <w:rFonts w:ascii="Times New Roman" w:hAnsi="Times New Roman" w:cs="Times New Roman"/>
          <w:b w:val="0"/>
          <w:i w:val="0"/>
          <w:sz w:val="24"/>
        </w:rPr>
        <w:t>{/is_scope_property_only}{/is_limited}</w:t>
      </w:r>
    </w:p>
    <w:p>
      <w:pPr>
        <w:spacing w:before="0" w:after="0"/>
        <w:jc w:val="left"/>
      </w:pPr>
      <w:r>
        <w:rPr>
          <w:rFonts w:ascii="Times New Roman" w:hAnsi="Times New Roman" w:cs="Times New Roman"/>
          <w:b w:val="0"/>
          <w:i w:val="0"/>
          <w:sz w:val="24"/>
        </w:rPr>
        <w:t>{#is_limited}{#scope_both}</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{delegate_contract_check}</w:t>
      </w:r>
      <w:r>
        <w:rPr>
          <w:rFonts w:ascii="Times New Roman" w:hAnsi="Times New Roman" w:cs="Times New Roman"/>
          <w:b w:val="0"/>
          <w:i w:val="0"/>
          <w:sz w:val="24"/>
        </w:rPr>
        <w:t>) to contract,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{delegate_sue_check}</w:t>
      </w:r>
      <w:r>
        <w:rPr>
          <w:rFonts w:ascii="Times New Roman" w:hAnsi="Times New Roman" w:cs="Times New Roman"/>
          <w:b w:val="0"/>
          <w:i w:val="0"/>
          <w:sz w:val="24"/>
        </w:rPr>
        <w:t>) to sue and defend lawsuits,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{delegate_govt_benefits_check}</w:t>
      </w:r>
      <w:r>
        <w:rPr>
          <w:rFonts w:ascii="Times New Roman" w:hAnsi="Times New Roman" w:cs="Times New Roman"/>
          <w:b w:val="0"/>
          <w:i w:val="0"/>
          <w:sz w:val="24"/>
        </w:rPr>
        <w:t>) to apply for government benefits,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{delegate_property_check}</w:t>
      </w:r>
      <w:r>
        <w:rPr>
          <w:rFonts w:ascii="Times New Roman" w:hAnsi="Times New Roman" w:cs="Times New Roman"/>
          <w:b w:val="0"/>
          <w:i w:val="0"/>
          <w:sz w:val="24"/>
        </w:rPr>
        <w:t>) to manage property or to make any gift or disposition of property,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{delegate_residence_check}</w:t>
      </w:r>
      <w:r>
        <w:rPr>
          <w:rFonts w:ascii="Times New Roman" w:hAnsi="Times New Roman" w:cs="Times New Roman"/>
          <w:b w:val="0"/>
          <w:i w:val="0"/>
          <w:sz w:val="24"/>
        </w:rPr>
        <w:t>) to determine the Ward’s residence,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{delegate_medical_check}</w:t>
      </w:r>
      <w:r>
        <w:rPr>
          <w:rFonts w:ascii="Times New Roman" w:hAnsi="Times New Roman" w:cs="Times New Roman"/>
          <w:b w:val="0"/>
          <w:i w:val="0"/>
          <w:sz w:val="24"/>
        </w:rPr>
        <w:t>) to consent to medical and mental health treatment,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{delegate_social_check}</w:t>
      </w:r>
      <w:r>
        <w:rPr>
          <w:rFonts w:ascii="Times New Roman" w:hAnsi="Times New Roman" w:cs="Times New Roman"/>
          <w:b w:val="0"/>
          <w:i w:val="0"/>
          <w:sz w:val="24"/>
        </w:rPr>
        <w:t>) to make decisions about the Ward’s social environment or other social aspects of the Ward’s life.</w:t>
      </w:r>
    </w:p>
    <w:p>
      <w:pPr>
        <w:spacing w:before="0" w:after="0"/>
        <w:jc w:val="left"/>
      </w:pPr>
      <w:r>
        <w:rPr>
          <w:rFonts w:ascii="Times New Roman" w:hAnsi="Times New Roman" w:cs="Times New Roman"/>
          <w:b w:val="0"/>
          <w:i w:val="0"/>
          <w:sz w:val="24"/>
        </w:rPr>
        <w:t>{/scope_both}{/is_limited}</w:t>
      </w:r>
    </w:p>
    <w:p>
      <w:pPr>
        <w:keepNext/>
        <w:spacing w:before="0" w:after="0" w:line="360" w:lineRule="auto"/>
        <w:numPr>
          <w:ilvl w:val="0"/>
          <w:numId w:val="1"/>
        </w:numPr>
      </w:pPr>
      <w:r>
        <w:rPr>
          <w:rFonts w:ascii="Times New Roman" w:hAnsi="Times New Roman" w:cs="Times New Roman"/>
          <w:b w:val="0"/>
          <w:i w:val="0"/>
          <w:sz w:val="24"/>
        </w:rPr>
        <w:t>{#includes_property}{#is_minor}The nature and value of property subject to the guardianship are as follows:{/is_minor}{#is_adult_incapacity}The {limited_property_lead}value and description of the Ward’s property are as follows:{/is_adult_incapacity}{/includes_property}</w:t>
      </w:r>
    </w:p>
    <w:p>
      <w:pPr>
        <w:spacing w:before="0" w:after="0"/>
        <w:jc w:val="left"/>
      </w:pPr>
      <w:r>
        <w:rPr>
          <w:rFonts w:ascii="Times New Roman" w:hAnsi="Times New Roman" w:cs="Times New Roman"/>
          <w:b w:val="0"/>
          <w:i w:val="0"/>
          <w:sz w:val="24"/>
        </w:rPr>
        <w:t>{#includes_property}</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Property</w:t>
            </w:r>
          </w:p>
        </w:tc>
        <w:tc>
          <w:tcPr>
            <w:tcW w:type="dxa" w:w="2880"/>
          </w:tcPr>
          <w:p>
            <w:pPr>
              <w:spacing w:before="0" w:after="0"/>
              <w:jc w:val="left"/>
            </w:pPr>
            <w:r>
              <w:rPr>
                <w:rFonts w:ascii="Times New Roman" w:hAnsi="Times New Roman" w:cs="Times New Roman"/>
                <w:b/>
                <w:i w:val="0"/>
                <w:sz w:val="24"/>
              </w:rPr>
              <w:t>Value</w:t>
            </w:r>
          </w:p>
        </w:tc>
      </w:tr>
      <w:tr>
        <w:tc>
          <w:tcPr>
            <w:tcW w:type="dxa" w:w="6480"/>
          </w:tcPr>
          <w:p>
            <w:pPr>
              <w:spacing w:before="0" w:after="0"/>
              <w:jc w:val="left"/>
            </w:pPr>
            <w:r>
              <w:rPr>
                <w:rFonts w:ascii="Times New Roman" w:hAnsi="Times New Roman" w:cs="Times New Roman"/>
                <w:b w:val="0"/>
                <w:i w:val="0"/>
                <w:sz w:val="24"/>
              </w:rPr>
              <w:t>{#property_items}{item_description}</w:t>
            </w:r>
          </w:p>
        </w:tc>
        <w:tc>
          <w:tcPr>
            <w:tcW w:type="dxa" w:w="2880"/>
          </w:tcPr>
          <w:p>
            <w:pPr>
              <w:spacing w:before="0" w:after="0"/>
              <w:jc w:val="left"/>
            </w:pPr>
            <w:r>
              <w:rPr>
                <w:rFonts w:ascii="Times New Roman" w:hAnsi="Times New Roman" w:cs="Times New Roman"/>
                <w:b w:val="0"/>
                <w:i w:val="0"/>
                <w:sz w:val="24"/>
              </w:rPr>
              <w:t>{item_value}{/property_items}</w:t>
            </w:r>
          </w:p>
        </w:tc>
      </w:tr>
    </w:tbl>
    <w:p>
      <w:pPr>
        <w:spacing w:before="0" w:after="0"/>
        <w:jc w:val="left"/>
      </w:pPr>
      <w:r>
        <w:rPr>
          <w:rFonts w:ascii="Times New Roman" w:hAnsi="Times New Roman" w:cs="Times New Roman"/>
          <w:b w:val="0"/>
          <w:i w:val="0"/>
          <w:sz w:val="24"/>
        </w:rPr>
        <w:t>{/includes_property}</w:t>
      </w:r>
    </w:p>
    <w:p>
      <w:pPr>
        <w:spacing w:before="0" w:after="0" w:line="360" w:lineRule="auto"/>
        <w:numPr>
          <w:ilvl w:val="0"/>
          <w:numId w:val="1"/>
        </w:numPr>
      </w:pPr>
      <w:r>
        <w:rPr>
          <w:rFonts w:ascii="Times New Roman" w:hAnsi="Times New Roman" w:cs="Times New Roman"/>
          <w:b w:val="0"/>
          <w:i w:val="0"/>
          <w:sz w:val="24"/>
        </w:rPr>
        <w:t>{#show_limited_property_section}The Ward is incapable of managing the following property, responsibility for which should be delegated to the guardian: {incapable_property}.{/show_limited_property_section}</w:t>
      </w:r>
    </w:p>
    <w:p>
      <w:pPr>
        <w:spacing w:before="0" w:after="0" w:line="360" w:lineRule="auto"/>
        <w:numPr>
          <w:ilvl w:val="0"/>
          <w:numId w:val="1"/>
        </w:numPr>
      </w:pPr>
      <w:r>
        <w:rPr>
          <w:rFonts w:ascii="Times New Roman" w:hAnsi="Times New Roman" w:cs="Times New Roman"/>
          <w:b w:val="0"/>
          <w:i w:val="0"/>
          <w:sz w:val="24"/>
        </w:rPr>
        <w:t>{#is_minor}There {#has_alternatives}are{/has_alternatives}{^has_alternatives}are not{/has_alternatives} possible alternatives to guardianship known to petitioner, such as trust agreements, powers of attorney, surrogates, guardian advocates appointed pursuant to Florida Statutes section 744.3085 or advance directives.{#has_alternatives} They are described as follows: {alternatives_description}. However, they are insufficient to meet the needs of the minor because {alternatives_insufficient_reason}.{/has_alternatives} Thus, it is necessary that a guardian be appointed for the minor.{/is_minor}{#is_adult_incapacity}Petitioner {#has_alternatives}has knowledge, information and belief that there are alternatives to the appointment of a guardian, such as trust agreements, powers of attorney, designations of health care surrogate, a guardian advocate under Florida Statutes section 744.3085, other type of guardianship or other advance directives. They are described as follows: {alternatives_description}. However, they are insufficient to meet the needs of the Ward because: {alternatives_insufficient_reason}. Thus, it is necessary that a {guardian_kind_lower} be appointed to exercise {delegable_rights_phrase}.{/has_alternatives}{^has_alternatives}has knowledge, information and belief that there are NO alternatives to the appointment of a guardian, such as trust agreements, powers of attorney, designations of health care surrogate, a guardian advocate under Florida Statutes section 744.3085, other type of guardianship or other advance directives. Thus, it is necessary that a {guardian_kind_lower} be appointed to exercise {delegable_rights_phrase}, as no other alternatives exist.{/has_alternatives}{/is_adult_incapacity}</w:t>
      </w:r>
    </w:p>
    <w:p>
      <w:pPr>
        <w:spacing w:before="0" w:after="0" w:line="360" w:lineRule="auto"/>
        <w:numPr>
          <w:ilvl w:val="0"/>
          <w:numId w:val="1"/>
        </w:numPr>
      </w:pPr>
      <w:r>
        <w:rPr>
          <w:rFonts w:ascii="Times New Roman" w:hAnsi="Times New Roman" w:cs="Times New Roman"/>
          <w:b w:val="0"/>
          <w:i w:val="0"/>
          <w:sz w:val="24"/>
        </w:rPr>
        <w:t>{#is_adult_incapacity}Petitioner {#has_preneed}has knowledge, information and belief that the alleged incapacitated person has a preneed guardian designation. The designated preneed guardian is {preneed_guardian_name}.{/has_preneed}{^has_preneed}has knowledge, information and belief that the alleged incapacitated person has NO preneed guardian designation{#preneed_reason}, {preneed_reason}{/preneed_reason}.{/has_preneed}{/is_adult_incapacity}</w:t>
      </w:r>
    </w:p>
    <w:p>
      <w:pPr>
        <w:keepNext/>
        <w:spacing w:before="0" w:after="0" w:line="360" w:lineRule="auto"/>
        <w:numPr>
          <w:ilvl w:val="0"/>
          <w:numId w:val="1"/>
        </w:numPr>
      </w:pPr>
      <w:r>
        <w:rPr>
          <w:rFonts w:ascii="Times New Roman" w:hAnsi="Times New Roman" w:cs="Times New Roman"/>
          <w:b w:val="0"/>
          <w:i w:val="0"/>
          <w:sz w:val="24"/>
        </w:rPr>
        <w:t>{#is_adult_incapacity}The names and addresses of the next of kin of the Ward are:{/is_adult_incapacity}</w:t>
      </w:r>
    </w:p>
    <w:p>
      <w:pPr>
        <w:spacing w:before="0" w:after="0"/>
        <w:jc w:val="left"/>
      </w:pPr>
      <w:r>
        <w:rPr>
          <w:rFonts w:ascii="Times New Roman" w:hAnsi="Times New Roman" w:cs="Times New Roman"/>
          <w:b w:val="0"/>
          <w:i w:val="0"/>
          <w:sz w:val="24"/>
        </w:rPr>
        <w:t>{#is_adult_incapacity}</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312"/>
          </w:tcPr>
          <w:p>
            <w:pPr>
              <w:spacing w:before="0" w:after="0"/>
              <w:jc w:val="left"/>
            </w:pPr>
            <w:r>
              <w:rPr>
                <w:rFonts w:ascii="Times New Roman" w:hAnsi="Times New Roman" w:cs="Times New Roman"/>
                <w:b/>
                <w:i w:val="0"/>
                <w:sz w:val="24"/>
              </w:rPr>
              <w:t>NAME</w:t>
            </w:r>
          </w:p>
        </w:tc>
        <w:tc>
          <w:tcPr>
            <w:tcW w:type="dxa" w:w="4176"/>
          </w:tcPr>
          <w:p>
            <w:pPr>
              <w:spacing w:before="0" w:after="0"/>
              <w:jc w:val="left"/>
            </w:pPr>
            <w:r>
              <w:rPr>
                <w:rFonts w:ascii="Times New Roman" w:hAnsi="Times New Roman" w:cs="Times New Roman"/>
                <w:b/>
                <w:i w:val="0"/>
                <w:sz w:val="24"/>
              </w:rPr>
              <w:t>ADDRESS</w:t>
            </w:r>
          </w:p>
        </w:tc>
        <w:tc>
          <w:tcPr>
            <w:tcW w:type="dxa" w:w="1872"/>
          </w:tcPr>
          <w:p>
            <w:pPr>
              <w:spacing w:before="0" w:after="0"/>
              <w:jc w:val="left"/>
            </w:pPr>
            <w:r>
              <w:rPr>
                <w:rFonts w:ascii="Times New Roman" w:hAnsi="Times New Roman" w:cs="Times New Roman"/>
                <w:b/>
                <w:i w:val="0"/>
                <w:sz w:val="24"/>
              </w:rPr>
              <w:t>RELATIONSHIP</w:t>
            </w:r>
          </w:p>
        </w:tc>
      </w:tr>
      <w:tr>
        <w:tc>
          <w:tcPr>
            <w:tcW w:type="dxa" w:w="3312"/>
          </w:tcPr>
          <w:p>
            <w:pPr>
              <w:spacing w:before="0" w:after="0"/>
              <w:jc w:val="left"/>
            </w:pPr>
            <w:r>
              <w:rPr>
                <w:rFonts w:ascii="Times New Roman" w:hAnsi="Times New Roman" w:cs="Times New Roman"/>
                <w:b w:val="0"/>
                <w:i w:val="0"/>
                <w:sz w:val="24"/>
              </w:rPr>
              <w:t>{#next_of_kin}{name}</w:t>
            </w:r>
          </w:p>
        </w:tc>
        <w:tc>
          <w:tcPr>
            <w:tcW w:type="dxa" w:w="4176"/>
          </w:tcPr>
          <w:p>
            <w:pPr>
              <w:spacing w:before="0" w:after="0"/>
              <w:jc w:val="left"/>
            </w:pPr>
            <w:r>
              <w:rPr>
                <w:rFonts w:ascii="Times New Roman" w:hAnsi="Times New Roman" w:cs="Times New Roman"/>
                <w:b w:val="0"/>
                <w:i w:val="0"/>
                <w:sz w:val="24"/>
              </w:rPr>
              <w:t>{address}</w:t>
            </w:r>
          </w:p>
        </w:tc>
        <w:tc>
          <w:tcPr>
            <w:tcW w:type="dxa" w:w="1872"/>
          </w:tcPr>
          <w:p>
            <w:pPr>
              <w:spacing w:before="0" w:after="0"/>
              <w:jc w:val="left"/>
            </w:pPr>
            <w:r>
              <w:rPr>
                <w:rFonts w:ascii="Times New Roman" w:hAnsi="Times New Roman" w:cs="Times New Roman"/>
                <w:b w:val="0"/>
                <w:i w:val="0"/>
                <w:sz w:val="24"/>
              </w:rPr>
              <w:t>{relationship}{/next_of_kin}</w:t>
            </w:r>
          </w:p>
        </w:tc>
      </w:tr>
    </w:tbl>
    <w:p>
      <w:pPr>
        <w:spacing w:before="0" w:after="0"/>
        <w:jc w:val="left"/>
      </w:pPr>
      <w:r>
        <w:rPr>
          <w:rFonts w:ascii="Times New Roman" w:hAnsi="Times New Roman" w:cs="Times New Roman"/>
          <w:b w:val="0"/>
          <w:i w:val="0"/>
          <w:sz w:val="24"/>
        </w:rPr>
        <w:t>{/is_adult_incapacity}</w:t>
      </w:r>
    </w:p>
    <w:p>
      <w:pPr>
        <w:spacing w:before="0" w:after="0" w:line="360" w:lineRule="auto"/>
        <w:numPr>
          <w:ilvl w:val="0"/>
          <w:numId w:val="1"/>
        </w:numPr>
      </w:pPr>
      <w:r>
        <w:rPr>
          <w:rFonts w:ascii="Times New Roman" w:hAnsi="Times New Roman" w:cs="Times New Roman"/>
          <w:b w:val="0"/>
          <w:i w:val="0"/>
          <w:sz w:val="24"/>
        </w:rPr>
        <w:t>The proposed guardian, {proposed_guardian_name}, whose address is {proposed_guardian_address}, is sui juris and otherwise qualified under the laws of Florida to act as {guardian_kind_lower} {scope_phrase} of the {ward_term_lower}.{#is_professional_guardian} The proposed guardian is a professional guardian and has complied with the registration requirements of Florida Statutes section 744.2002.{/is_professional_guardian} The relationship and previous association of the proposed guardian to the {ward_term_lower} (including any activities designated in Florida Statutes section 744.446(3)) are {proposed_guardian_relationship}. The proposed guardian should be appointed because {appointment_reason}.</w:t>
      </w:r>
    </w:p>
    <w:p>
      <w:pPr>
        <w:spacing w:before="0" w:after="0" w:line="360" w:lineRule="auto"/>
        <w:numPr>
          <w:ilvl w:val="0"/>
          <w:numId w:val="1"/>
        </w:numPr>
      </w:pPr>
      <w:r>
        <w:rPr>
          <w:rFonts w:ascii="Times New Roman" w:hAnsi="Times New Roman" w:cs="Times New Roman"/>
          <w:b w:val="0"/>
          <w:i w:val="0"/>
          <w:sz w:val="24"/>
        </w:rPr>
        <w:t>{#is_adult_incapacity}Reasonable search has been made for all of the information required by Florida law and by the applicable Florida Probate Rules. Any such information that is not set forth in full above cannot be ascertained without delay that would adversely affect the Ward or the Ward’s property.{/is_adult_incapacity}</w:t>
      </w:r>
    </w:p>
    <w:p>
      <w:pPr>
        <w:spacing w:before="240" w:after="240"/>
        <w:ind w:firstLine="720"/>
        <w:jc w:val="left"/>
      </w:pPr>
      <w:r>
        <w:rPr>
          <w:rFonts w:ascii="Times New Roman" w:hAnsi="Times New Roman" w:cs="Times New Roman"/>
          <w:b w:val="0"/>
          <w:i w:val="0"/>
          <w:sz w:val="24"/>
        </w:rPr>
        <w:t>Petitioner requests that {proposed_guardian_name} be appointed {guardian_kind_lower} {scope_phrase} of the {ward_term_lower}.</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Appointment of Guardian.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