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 SUMMARY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set forth in paragraph 3 and the name and office address of petitioner’s attorney are set forth at the end of this petition.{/petitioners}{/multiple_petitioners}{#multiple_petitioners}Each petitioner has an interest in the above estate as set forth below: {#petitioners}{pet_name} is {pet_interest}. {/petitioners}Their addresses are set forth in paragraph 3 and the name and office address of their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and on the date of death, decedent was domiciled in {^is_ancillary}{decedent_domicile} County, Florida{/is_ancillary}{#is_ancillary}{decedent_domicile_state}{/is_ancillary}.</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{#is_testate}{^is_ancillary}The original of the decedent’s last will, dated {will_date}{#has_codicil}, and codicil(s) dated {codicil_dates}{/has_codicil}, is/are in the possession of the above court or accompany/accompanies this petition.{/is_ancillary}{#is_ancillary}An authenticated copy of the decedent’s last will, dated {will_date}{#has_codicil}, and codicil(s) dated {codicil_dates}{/has_codicil}, and an authenticated copy of so much of the domiciliary proceedings as is required by Florida Probate Rule 5.470 accompany this petition.{/is_ancillary}{/is_testate}{^is_testate}After the exercise of reasonable diligence, {petitioner_label} {petitioner_verb_is} unaware of any unrevoked wills or codicils of decedent.{/is_testate}</w:t>
      </w:r>
    </w:p>
    <w:p>
      <w:pPr>
        <w:spacing w:before="0" w:after="0" w:line="360" w:lineRule="auto"/>
        <w:numPr>
          <w:ilvl w:val="0"/>
          <w:numId w:val="1"/>
        </w:numPr>
      </w:pPr>
      <w:r>
        <w:rPr>
          <w:rFonts w:ascii="Times New Roman" w:hAnsi="Times New Roman" w:cs="Times New Roman"/>
          <w:b w:val="0"/>
          <w:i w:val="0"/>
          <w:sz w:val="24"/>
        </w:rPr>
        <w:t>{#is_testate}{petitioner_label} {petitioner_verb_is} unaware of any unrevoked will or codicil of decedent other than as set forth in paragraph 5.{/is_testate}</w:t>
      </w:r>
    </w:p>
    <w:p>
      <w:pPr>
        <w:spacing w:before="0" w:after="0" w:line="360" w:lineRule="auto"/>
        <w:numPr>
          <w:ilvl w:val="0"/>
          <w:numId w:val="1"/>
        </w:numPr>
      </w:pPr>
      <w:r>
        <w:rPr>
          <w:rFonts w:ascii="Times New Roman" w:hAnsi="Times New Roman" w:cs="Times New Roman"/>
          <w:b w:val="0"/>
          <w:i w:val="0"/>
          <w:sz w:val="24"/>
        </w:rPr>
        <w:t>{petitioner_label} {petitioner_verb_is} entitled to summary administration because:{#qualifies_no_admin_required} Decedent’s will does not direct administration as required by Florida Statutes Chapter 733.{/qualifies_no_admin_required}{#qualifies_under_75k} To the best knowledge of the {#multiple_petitioners}petitioners{/multiple_petitioners}{^multiple_petitioners}petitioner{/multiple_petitioners}, the value of the entire estate subject to administration in this state, less the value of property exempt from the claims of creditors, does not exceed $75,000.{/qualifies_under_75k}{#qualifies_2_year_rule} The decedent has been dead for more than two years.{/qualifies_2_year_rule}</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probate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keepNext/>
        <w:spacing w:before="0" w:after="0" w:line="360" w:lineRule="auto"/>
        <w:numPr>
          <w:ilvl w:val="0"/>
          <w:numId w:val="1"/>
        </w:numPr>
      </w:pPr>
      <w:r>
        <w:rPr>
          <w:rFonts w:ascii="Times New Roman" w:hAnsi="Times New Roman" w:cs="Times New Roman"/>
          <w:b w:val="0"/>
          <w:i w:val="0"/>
          <w:sz w:val="24"/>
        </w:rPr>
        <w:t>The following is a complete list of the assets in this estate and their estimated values, together with those assets claimed to be exempt:</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With respect to claims of creditors:{#creditors_all_barred} All claims of creditors are barred.{/creditors_all_barred}{#creditors_no_debt} {petitioner_label} {petitioner_verb_has} made diligent search and reasonable inquiry for any known or reasonably ascertainable creditors and the estate is not indebted.{/creditors_no_debt}{#creditors_has_debt} {petitioner_label} {petitioner_verb_has} made diligent search and reasonable inquiry for any known or reasonably ascertainable creditors and the estate is indebted; provision for the payment of debts and the information required by Florida Statutes section 735.206 and Florida Probate Rule 5.530 are set forth on the attached schedule.{/creditors_has_debt}</w:t>
      </w:r>
    </w:p>
    <w:p>
      <w:pPr>
        <w:spacing w:before="0" w:after="0" w:line="360" w:lineRule="auto"/>
        <w:numPr>
          <w:ilvl w:val="0"/>
          <w:numId w:val="1"/>
        </w:numPr>
      </w:pPr>
      <w:r>
        <w:rPr>
          <w:rFonts w:ascii="Times New Roman" w:hAnsi="Times New Roman" w:cs="Times New Roman"/>
          <w:b w:val="0"/>
          <w:i w:val="0"/>
          <w:sz w:val="24"/>
        </w:rPr>
        <w:t>All creditors ascertained to have claims and which have not joined in this petition or consented to entry of the order requested will be served by formal notice with a copy of this petition. {petitioner_label} {#multiple_petitioners}acknowledge{/multiple_petitioners}{^multiple_petitioners}acknowledges{/multiple_petitioners} that any known or reasonably ascertainable creditor who did not receive timely notice of this petition and for whom provision for payment was not made may enforce a timely claim and, if the creditor prevails, shall be awarded reasonable attorney’s fees as an element of costs against those who joined in the petition.</w:t>
      </w:r>
    </w:p>
    <w:p>
      <w:pPr>
        <w:keepNext/>
        <w:spacing w:before="0" w:after="0" w:line="360" w:lineRule="auto"/>
        <w:numPr>
          <w:ilvl w:val="0"/>
          <w:numId w:val="1"/>
        </w:numPr>
      </w:pPr>
      <w:r>
        <w:rPr>
          <w:rFonts w:ascii="Times New Roman" w:hAnsi="Times New Roman" w:cs="Times New Roman"/>
          <w:b w:val="0"/>
          <w:i w:val="0"/>
          <w:sz w:val="24"/>
        </w:rPr>
        <w:t>It is proposed that all assets of the decedent, including exempt property, be distributed to the following:</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2880"/>
          </w:tcPr>
          <w:p>
            <w:pPr>
              <w:spacing w:before="0" w:after="0"/>
              <w:jc w:val="left"/>
            </w:pPr>
            <w:r>
              <w:rPr>
                <w:rFonts w:ascii="Times New Roman" w:hAnsi="Times New Roman" w:cs="Times New Roman"/>
                <w:b/>
                <w:i w:val="0"/>
                <w:sz w:val="24"/>
              </w:rPr>
              <w:t>NAME</w:t>
            </w:r>
          </w:p>
        </w:tc>
        <w:tc>
          <w:tcPr>
            <w:tcW w:type="dxa" w:w="4032"/>
          </w:tcPr>
          <w:p>
            <w:pPr>
              <w:spacing w:before="0" w:after="0"/>
              <w:jc w:val="left"/>
            </w:pPr>
            <w:r>
              <w:rPr>
                <w:rFonts w:ascii="Times New Roman" w:hAnsi="Times New Roman" w:cs="Times New Roman"/>
                <w:b/>
                <w:i w:val="0"/>
                <w:sz w:val="24"/>
              </w:rPr>
              <w:t>ADDRESS</w:t>
            </w:r>
          </w:p>
        </w:tc>
        <w:tc>
          <w:tcPr>
            <w:tcW w:type="dxa" w:w="2448"/>
          </w:tcPr>
          <w:p>
            <w:pPr>
              <w:spacing w:before="0" w:after="0"/>
              <w:jc w:val="left"/>
            </w:pPr>
            <w:r>
              <w:rPr>
                <w:rFonts w:ascii="Times New Roman" w:hAnsi="Times New Roman" w:cs="Times New Roman"/>
                <w:b/>
                <w:i w:val="0"/>
                <w:sz w:val="24"/>
              </w:rPr>
              <w:t>ASSET, SHARE OR AMOUNT</w:t>
            </w:r>
          </w:p>
        </w:tc>
      </w:tr>
      <w:tr>
        <w:tc>
          <w:tcPr>
            <w:tcW w:type="dxa" w:w="2880"/>
          </w:tcPr>
          <w:p>
            <w:pPr>
              <w:spacing w:before="0" w:after="0"/>
              <w:jc w:val="left"/>
            </w:pPr>
            <w:r>
              <w:rPr>
                <w:rFonts w:ascii="Times New Roman" w:hAnsi="Times New Roman" w:cs="Times New Roman"/>
                <w:b w:val="0"/>
                <w:i w:val="0"/>
                <w:sz w:val="24"/>
              </w:rPr>
              <w:t>{#summary_admin_distributees}{dist_name}</w:t>
            </w:r>
          </w:p>
        </w:tc>
        <w:tc>
          <w:tcPr>
            <w:tcW w:type="dxa" w:w="4032"/>
          </w:tcPr>
          <w:p>
            <w:pPr>
              <w:spacing w:before="0" w:after="0"/>
              <w:jc w:val="left"/>
            </w:pPr>
            <w:r>
              <w:rPr>
                <w:rFonts w:ascii="Times New Roman" w:hAnsi="Times New Roman" w:cs="Times New Roman"/>
                <w:b w:val="0"/>
                <w:i w:val="0"/>
                <w:sz w:val="24"/>
              </w:rPr>
              <w:t>{dist_address}</w:t>
            </w:r>
          </w:p>
        </w:tc>
        <w:tc>
          <w:tcPr>
            <w:tcW w:type="dxa" w:w="2448"/>
          </w:tcPr>
          <w:p>
            <w:pPr>
              <w:spacing w:before="0" w:after="0"/>
              <w:jc w:val="left"/>
            </w:pPr>
            <w:r>
              <w:rPr>
                <w:rFonts w:ascii="Times New Roman" w:hAnsi="Times New Roman" w:cs="Times New Roman"/>
                <w:b w:val="0"/>
                <w:i w:val="0"/>
                <w:sz w:val="24"/>
              </w:rPr>
              <w:t>{dist_share}{/summary_admin_distributees}</w:t>
            </w:r>
          </w:p>
        </w:tc>
      </w:tr>
    </w:tbl>
    <w:p>
      <w:pPr>
        <w:spacing w:before="240" w:after="240"/>
        <w:ind w:firstLine="720"/>
        <w:jc w:val="left"/>
      </w:pPr>
      <w:r>
        <w:rPr>
          <w:rFonts w:ascii="Times New Roman" w:hAnsi="Times New Roman" w:cs="Times New Roman"/>
          <w:b w:val="0"/>
          <w:i w:val="0"/>
          <w:sz w:val="24"/>
        </w:rPr>
        <w:t>{petitioner_label} {#multiple_petitioners}waive{/multiple_petitioners}{^multiple_petitioners}waives{/multiple_petitioners} notice of hearing on this petition and {#multiple_petitioners}request{/multiple_petitioners}{^multiple_petitioners}requests{/multiple_petitioners} that {#is_testate}the decedent’s last will and codicil(s), if applicable, be admitted to probate and {/is_testate}an order of summary administration be entered directing distribution of the assets in the estate in accordance with the schedule set forth above.</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Summary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