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ORDER APPOINTING CURATOR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 w:val="0"/>
          <w:i/>
          <w:sz w:val="24"/>
        </w:rPr>
        <w:t>{#bond_required}(bond required){/bond_required}{^bond_required}(no bond){/bond_required}</w:t>
      </w:r>
    </w:p>
    <w:p>
      <w:pPr>
        <w:spacing w:before="0" w:after="24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On the petition of {petitioner_name} to appoint a curator of the estate of {decedent_full_name}, deceased, the court finding that the decedent died on {decedent_death_date}, and that {curator_name} is entitled to appointment as curator of the estate because {curator_appointment_reason}, it is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ADJUDGED that: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{curator_name} is appointed curator of the estate of the decedent, and that upon taking the prescribed oath and filing designation and acceptance of resident agent{#bond_required} and posting bond in the amount of {bond_amount}{/bond_required}, letters of curatorship shall be issued.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The curator shall have the following powers: {curator_powers}</w:t>
      </w:r>
    </w:p>
    <w:p>
      <w:pPr>
        <w:spacing w:before="0" w:after="240"/>
        <w:jc w:val="left"/>
      </w:pPr>
    </w:p>
    <w:p>
      <w:pPr>
        <w:spacing w:before="0" w:after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ORDERED on _____ day of ______________________, 20____.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