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An alleged incapacitated person</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PETITION FOR APPOINTMENT OF LIMITED GUARDIAN</w:t>
      </w:r>
    </w:p>
    <w:p>
      <w:pPr>
        <w:spacing w:before="0" w:after="360"/>
        <w:jc w:val="center"/>
      </w:pPr>
      <w:r>
        <w:rPr>
          <w:rFonts w:ascii="Times New Roman" w:hAnsi="Times New Roman" w:cs="Times New Roman"/>
          <w:b w:val="0"/>
          <w:i w:val="0"/>
          <w:sz w:val="24"/>
        </w:rPr>
        <w:t>(Incapacity - person and property)</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Petitioner’s residence is {petitioner_residence} and petitioner’s post office address is {petitioner_address}.</w:t>
      </w:r>
    </w:p>
    <w:p>
      <w:pPr>
        <w:spacing w:before="0" w:after="0" w:line="360" w:lineRule="auto"/>
        <w:numPr>
          <w:ilvl w:val="0"/>
          <w:numId w:val="1"/>
        </w:numPr>
      </w:pPr>
      <w:r>
        <w:rPr>
          <w:rFonts w:ascii="Times New Roman" w:hAnsi="Times New Roman" w:cs="Times New Roman"/>
          <w:b w:val="0"/>
          <w:i w:val="0"/>
          <w:sz w:val="24"/>
        </w:rPr>
        <w:t>{aip_name} (the AIP-Alleged Incapacitated Person) is an alleged incapacitated person who is {aip_age} years of age, whose address is {aip_address}.</w:t>
      </w:r>
    </w:p>
    <w:p>
      <w:pPr>
        <w:keepNext/>
        <w:spacing w:before="0" w:after="0" w:line="360" w:lineRule="auto"/>
        <w:numPr>
          <w:ilvl w:val="0"/>
          <w:numId w:val="1"/>
        </w:numPr>
      </w:pPr>
      <w:r>
        <w:rPr>
          <w:rFonts w:ascii="Times New Roman" w:hAnsi="Times New Roman" w:cs="Times New Roman"/>
          <w:b w:val="0"/>
          <w:i w:val="0"/>
          <w:sz w:val="24"/>
        </w:rPr>
        <w:t>The Ward is unable to meet the essential requirements for certain aspects of the Ward’s physical health or safety and certain aspects of the management of the Ward’s financial resources. Consequently, the following rights should be removed:</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{remove_marry_check}</w:t>
      </w:r>
      <w:r>
        <w:rPr>
          <w:rFonts w:ascii="Times New Roman" w:hAnsi="Times New Roman" w:cs="Times New Roman"/>
          <w:b w:val="0"/>
          <w:i w:val="0"/>
          <w:sz w:val="24"/>
        </w:rPr>
        <w:t>) to marry,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{remove_vote_check}</w:t>
      </w:r>
      <w:r>
        <w:rPr>
          <w:rFonts w:ascii="Times New Roman" w:hAnsi="Times New Roman" w:cs="Times New Roman"/>
          <w:b w:val="0"/>
          <w:i w:val="0"/>
          <w:sz w:val="24"/>
        </w:rPr>
        <w:t>) to vote,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{remove_govt_benefits_check}</w:t>
      </w:r>
      <w:r>
        <w:rPr>
          <w:rFonts w:ascii="Times New Roman" w:hAnsi="Times New Roman" w:cs="Times New Roman"/>
          <w:b w:val="0"/>
          <w:i w:val="0"/>
          <w:sz w:val="24"/>
        </w:rPr>
        <w:t>) to personally apply for government benefits,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{remove_drivers_license_check}</w:t>
      </w:r>
      <w:r>
        <w:rPr>
          <w:rFonts w:ascii="Times New Roman" w:hAnsi="Times New Roman" w:cs="Times New Roman"/>
          <w:b w:val="0"/>
          <w:i w:val="0"/>
          <w:sz w:val="24"/>
        </w:rPr>
        <w:t>) to have a driver’s license,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{remove_travel_check}</w:t>
      </w:r>
      <w:r>
        <w:rPr>
          <w:rFonts w:ascii="Times New Roman" w:hAnsi="Times New Roman" w:cs="Times New Roman"/>
          <w:b w:val="0"/>
          <w:i w:val="0"/>
          <w:sz w:val="24"/>
        </w:rPr>
        <w:t>) to travel,</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{remove_employment_check}</w:t>
      </w:r>
      <w:r>
        <w:rPr>
          <w:rFonts w:ascii="Times New Roman" w:hAnsi="Times New Roman" w:cs="Times New Roman"/>
          <w:b w:val="0"/>
          <w:i w:val="0"/>
          <w:sz w:val="24"/>
        </w:rPr>
        <w:t>) to seek or retain employment,</w:t>
      </w:r>
    </w:p>
    <w:p>
      <w:pPr>
        <w:spacing w:before="0" w:after="0"/>
        <w:jc w:val="left"/>
      </w:pPr>
    </w:p>
    <w:p>
      <w:pPr>
        <w:keepNext/>
        <w:spacing w:before="0" w:after="120"/>
        <w:jc w:val="left"/>
      </w:pPr>
      <w:r>
        <w:rPr>
          <w:rFonts w:ascii="Times New Roman" w:hAnsi="Times New Roman" w:cs="Times New Roman"/>
          <w:b w:val="0"/>
          <w:i w:val="0"/>
          <w:sz w:val="24"/>
        </w:rPr>
        <w:t>and the following rights should be delegated to a limited guardian of the person and property of the Ward:</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{delegate_contract_check}</w:t>
      </w:r>
      <w:r>
        <w:rPr>
          <w:rFonts w:ascii="Times New Roman" w:hAnsi="Times New Roman" w:cs="Times New Roman"/>
          <w:b w:val="0"/>
          <w:i w:val="0"/>
          <w:sz w:val="24"/>
        </w:rPr>
        <w:t>) to contract,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{delegate_sue_check}</w:t>
      </w:r>
      <w:r>
        <w:rPr>
          <w:rFonts w:ascii="Times New Roman" w:hAnsi="Times New Roman" w:cs="Times New Roman"/>
          <w:b w:val="0"/>
          <w:i w:val="0"/>
          <w:sz w:val="24"/>
        </w:rPr>
        <w:t>) to sue and defend lawsuits,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{delegate_govt_benefits_check}</w:t>
      </w:r>
      <w:r>
        <w:rPr>
          <w:rFonts w:ascii="Times New Roman" w:hAnsi="Times New Roman" w:cs="Times New Roman"/>
          <w:b w:val="0"/>
          <w:i w:val="0"/>
          <w:sz w:val="24"/>
        </w:rPr>
        <w:t>) to apply for government benefits,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{delegate_property_check}</w:t>
      </w:r>
      <w:r>
        <w:rPr>
          <w:rFonts w:ascii="Times New Roman" w:hAnsi="Times New Roman" w:cs="Times New Roman"/>
          <w:b w:val="0"/>
          <w:i w:val="0"/>
          <w:sz w:val="24"/>
        </w:rPr>
        <w:t>) to manage property or to make any gift or disposition of property,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{delegate_residence_check}</w:t>
      </w:r>
      <w:r>
        <w:rPr>
          <w:rFonts w:ascii="Times New Roman" w:hAnsi="Times New Roman" w:cs="Times New Roman"/>
          <w:b w:val="0"/>
          <w:i w:val="0"/>
          <w:sz w:val="24"/>
        </w:rPr>
        <w:t>) to determine the Ward’s residence,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{delegate_medical_check}</w:t>
      </w:r>
      <w:r>
        <w:rPr>
          <w:rFonts w:ascii="Times New Roman" w:hAnsi="Times New Roman" w:cs="Times New Roman"/>
          <w:b w:val="0"/>
          <w:i w:val="0"/>
          <w:sz w:val="24"/>
        </w:rPr>
        <w:t>) to consent to medical and mental health treatment,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{delegate_social_check}</w:t>
      </w:r>
      <w:r>
        <w:rPr>
          <w:rFonts w:ascii="Times New Roman" w:hAnsi="Times New Roman" w:cs="Times New Roman"/>
          <w:b w:val="0"/>
          <w:i w:val="0"/>
          <w:sz w:val="24"/>
        </w:rPr>
        <w:t>) to make decisions about the Ward’s social environment or other social aspects of the Ward’s life.</w:t>
      </w:r>
    </w:p>
    <w:p>
      <w:pPr>
        <w:spacing w:before="0" w:after="0"/>
        <w:jc w:val="left"/>
      </w:pPr>
    </w:p>
    <w:p>
      <w:pPr>
        <w:keepNext/>
        <w:spacing w:before="0" w:after="0" w:line="360" w:lineRule="auto"/>
        <w:numPr>
          <w:ilvl w:val="0"/>
          <w:numId w:val="1"/>
        </w:numPr>
      </w:pPr>
      <w:r>
        <w:rPr>
          <w:rFonts w:ascii="Times New Roman" w:hAnsi="Times New Roman" w:cs="Times New Roman"/>
          <w:b w:val="0"/>
          <w:i w:val="0"/>
          <w:sz w:val="24"/>
        </w:rPr>
        <w:t>The approximate value and description of the Ward’s property are as follows: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Property</w:t>
            </w:r>
          </w:p>
        </w:tc>
        <w:tc>
          <w:tcPr>
            <w:tcW w:type="dxa" w:w="2880"/>
          </w:tcPr>
          <w:p>
            <w:pPr>
              <w:spacing w:before="0" w:after="0"/>
              <w:jc w:val="left"/>
            </w:pPr>
            <w:r>
              <w:rPr>
                <w:rFonts w:ascii="Times New Roman" w:hAnsi="Times New Roman" w:cs="Times New Roman"/>
                <w:b/>
                <w:i w:val="0"/>
                <w:sz w:val="24"/>
              </w:rPr>
              <w:t>Value</w:t>
            </w:r>
          </w:p>
        </w:tc>
      </w:tr>
      <w:tr>
        <w:tc>
          <w:tcPr>
            <w:tcW w:type="dxa" w:w="6480"/>
          </w:tcPr>
          <w:p>
            <w:pPr>
              <w:spacing w:before="0" w:after="0"/>
              <w:jc w:val="left"/>
            </w:pPr>
            <w:r>
              <w:rPr>
                <w:rFonts w:ascii="Times New Roman" w:hAnsi="Times New Roman" w:cs="Times New Roman"/>
                <w:b w:val="0"/>
                <w:i w:val="0"/>
                <w:sz w:val="24"/>
              </w:rPr>
              <w:t>{#property_items}{item_description}</w:t>
            </w:r>
          </w:p>
        </w:tc>
        <w:tc>
          <w:tcPr>
            <w:tcW w:type="dxa" w:w="2880"/>
          </w:tcPr>
          <w:p>
            <w:pPr>
              <w:spacing w:before="0" w:after="0"/>
              <w:jc w:val="left"/>
            </w:pPr>
            <w:r>
              <w:rPr>
                <w:rFonts w:ascii="Times New Roman" w:hAnsi="Times New Roman" w:cs="Times New Roman"/>
                <w:b w:val="0"/>
                <w:i w:val="0"/>
                <w:sz w:val="24"/>
              </w:rPr>
              <w:t>{item_value}{/property_items}</w:t>
            </w:r>
          </w:p>
        </w:tc>
      </w:tr>
    </w:tbl>
    <w:p>
      <w:pPr>
        <w:spacing w:before="0" w:after="0" w:line="360" w:lineRule="auto"/>
        <w:numPr>
          <w:ilvl w:val="0"/>
          <w:numId w:val="1"/>
        </w:numPr>
      </w:pPr>
      <w:r>
        <w:rPr>
          <w:rFonts w:ascii="Times New Roman" w:hAnsi="Times New Roman" w:cs="Times New Roman"/>
          <w:b w:val="0"/>
          <w:i w:val="0"/>
          <w:sz w:val="24"/>
        </w:rPr>
        <w:t>The Ward is incapable of managing the following property, responsibility for which should be delegated to the guardian: {incapable_property}.</w:t>
      </w:r>
    </w:p>
    <w:p>
      <w:pPr>
        <w:spacing w:before="0" w:after="0" w:line="360" w:lineRule="auto"/>
        <w:numPr>
          <w:ilvl w:val="0"/>
          <w:numId w:val="1"/>
        </w:numPr>
      </w:pPr>
      <w:r>
        <w:rPr>
          <w:rFonts w:ascii="Times New Roman" w:hAnsi="Times New Roman" w:cs="Times New Roman"/>
          <w:b w:val="0"/>
          <w:i w:val="0"/>
          <w:sz w:val="24"/>
        </w:rPr>
        <w:t>Petitioner {#has_alternatives}has knowledge, information and belief that there are alternatives to the appointment of a guardian, such as trust agreements, powers of attorney, designations of health care surrogate, a guardian advocate under Florida Statutes section 744.3085, other type of guardianship or other advance directives. They are described as follows: {alternatives_description}. However, they are insufficient to meet the needs of the Ward because: {alternatives_insufficient_reason}. Thus, it is necessary that a limited guardian be appointed to exercise the delegable rights of the Ward identified above.{/has_alternatives}{^has_alternatives}has knowledge, information and belief that there are NO alternatives to the appointment of a guardian, such as trust agreements, powers of attorney, designations of health care surrogate, a guardian advocate under Florida Statutes section 744.3085, other type of guardianship or other advance directives. Thus, it is necessary that a limited guardian be appointed to exercise the delegable rights of the Ward identified above, as no other alternatives exist.{/has_alternatives}</w:t>
      </w:r>
    </w:p>
    <w:p>
      <w:pPr>
        <w:spacing w:before="0" w:after="0" w:line="360" w:lineRule="auto"/>
        <w:numPr>
          <w:ilvl w:val="0"/>
          <w:numId w:val="1"/>
        </w:numPr>
      </w:pPr>
      <w:r>
        <w:rPr>
          <w:rFonts w:ascii="Times New Roman" w:hAnsi="Times New Roman" w:cs="Times New Roman"/>
          <w:b w:val="0"/>
          <w:i w:val="0"/>
          <w:sz w:val="24"/>
        </w:rPr>
        <w:t>Petitioner {#has_preneed}has knowledge, information and belief that the alleged incapacitated person has a preneed guardian designation. The designated preneed guardian is {preneed_guardian_name}.{/has_preneed}{^has_preneed}has knowledge, information and belief that the alleged incapacitated person has NO preneed guardian designation{#preneed_reason}, {preneed_reason}{/preneed_reason}.{/has_preneed}</w:t>
      </w:r>
    </w:p>
    <w:p>
      <w:pPr>
        <w:keepNext/>
        <w:spacing w:before="0" w:after="0" w:line="360" w:lineRule="auto"/>
        <w:numPr>
          <w:ilvl w:val="0"/>
          <w:numId w:val="1"/>
        </w:numPr>
      </w:pPr>
      <w:r>
        <w:rPr>
          <w:rFonts w:ascii="Times New Roman" w:hAnsi="Times New Roman" w:cs="Times New Roman"/>
          <w:b w:val="0"/>
          <w:i w:val="0"/>
          <w:sz w:val="24"/>
        </w:rPr>
        <w:t>The names and addresses of the next of kin of the Ward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312"/>
          </w:tcPr>
          <w:p>
            <w:pPr>
              <w:spacing w:before="0" w:after="0"/>
              <w:jc w:val="left"/>
            </w:pPr>
            <w:r>
              <w:rPr>
                <w:rFonts w:ascii="Times New Roman" w:hAnsi="Times New Roman" w:cs="Times New Roman"/>
                <w:b/>
                <w:i w:val="0"/>
                <w:sz w:val="24"/>
              </w:rPr>
              <w:t>NAME</w:t>
            </w:r>
          </w:p>
        </w:tc>
        <w:tc>
          <w:tcPr>
            <w:tcW w:type="dxa" w:w="4176"/>
          </w:tcPr>
          <w:p>
            <w:pPr>
              <w:spacing w:before="0" w:after="0"/>
              <w:jc w:val="left"/>
            </w:pPr>
            <w:r>
              <w:rPr>
                <w:rFonts w:ascii="Times New Roman" w:hAnsi="Times New Roman" w:cs="Times New Roman"/>
                <w:b/>
                <w:i w:val="0"/>
                <w:sz w:val="24"/>
              </w:rPr>
              <w:t>ADDRESS</w:t>
            </w:r>
          </w:p>
        </w:tc>
        <w:tc>
          <w:tcPr>
            <w:tcW w:type="dxa" w:w="1872"/>
          </w:tcPr>
          <w:p>
            <w:pPr>
              <w:spacing w:before="0" w:after="0"/>
              <w:jc w:val="left"/>
            </w:pPr>
            <w:r>
              <w:rPr>
                <w:rFonts w:ascii="Times New Roman" w:hAnsi="Times New Roman" w:cs="Times New Roman"/>
                <w:b/>
                <w:i w:val="0"/>
                <w:sz w:val="24"/>
              </w:rPr>
              <w:t>RELATIONSHIP</w:t>
            </w:r>
          </w:p>
        </w:tc>
      </w:tr>
      <w:tr>
        <w:tc>
          <w:tcPr>
            <w:tcW w:type="dxa" w:w="3312"/>
          </w:tcPr>
          <w:p>
            <w:pPr>
              <w:spacing w:before="0" w:after="0"/>
              <w:jc w:val="left"/>
            </w:pPr>
            <w:r>
              <w:rPr>
                <w:rFonts w:ascii="Times New Roman" w:hAnsi="Times New Roman" w:cs="Times New Roman"/>
                <w:b w:val="0"/>
                <w:i w:val="0"/>
                <w:sz w:val="24"/>
              </w:rPr>
              <w:t>{#next_of_kin}{name}</w:t>
            </w:r>
          </w:p>
        </w:tc>
        <w:tc>
          <w:tcPr>
            <w:tcW w:type="dxa" w:w="4176"/>
          </w:tcPr>
          <w:p>
            <w:pPr>
              <w:spacing w:before="0" w:after="0"/>
              <w:jc w:val="left"/>
            </w:pPr>
            <w:r>
              <w:rPr>
                <w:rFonts w:ascii="Times New Roman" w:hAnsi="Times New Roman" w:cs="Times New Roman"/>
                <w:b w:val="0"/>
                <w:i w:val="0"/>
                <w:sz w:val="24"/>
              </w:rPr>
              <w:t>{address}</w:t>
            </w:r>
          </w:p>
        </w:tc>
        <w:tc>
          <w:tcPr>
            <w:tcW w:type="dxa" w:w="1872"/>
          </w:tcPr>
          <w:p>
            <w:pPr>
              <w:spacing w:before="0" w:after="0"/>
              <w:jc w:val="left"/>
            </w:pPr>
            <w:r>
              <w:rPr>
                <w:rFonts w:ascii="Times New Roman" w:hAnsi="Times New Roman" w:cs="Times New Roman"/>
                <w:b w:val="0"/>
                <w:i w:val="0"/>
                <w:sz w:val="24"/>
              </w:rPr>
              <w:t>{relationship}{/next_of_kin}</w:t>
            </w:r>
          </w:p>
        </w:tc>
      </w:tr>
    </w:tbl>
    <w:p>
      <w:pPr>
        <w:spacing w:before="0" w:after="0" w:line="360" w:lineRule="auto"/>
        <w:numPr>
          <w:ilvl w:val="0"/>
          <w:numId w:val="1"/>
        </w:numPr>
      </w:pPr>
      <w:r>
        <w:rPr>
          <w:rFonts w:ascii="Times New Roman" w:hAnsi="Times New Roman" w:cs="Times New Roman"/>
          <w:b w:val="0"/>
          <w:i w:val="0"/>
          <w:sz w:val="24"/>
        </w:rPr>
        <w:t>The proposed guardian, {proposed_guardian_name}, whose address is {proposed_guardian_address}, is sui juris and otherwise qualified under the laws of Florida to act as limited guardian of the person and property of the Ward.{#is_professional_guardian} The proposed guardian is a professional guardian and has complied with the registration requirements of Florida Statutes section 744.2002.{/is_professional_guardian} The relationship and previous association of the proposed guardian to the Ward (including any activities designated in Florida Statutes section 744.446(3)) are {proposed_guardian_relationship}. The proposed guardian should be appointed because {appointment_reason}.</w:t>
      </w:r>
    </w:p>
    <w:p>
      <w:pPr>
        <w:spacing w:before="0" w:after="0" w:line="360" w:lineRule="auto"/>
        <w:numPr>
          <w:ilvl w:val="0"/>
          <w:numId w:val="1"/>
        </w:numPr>
      </w:pPr>
      <w:r>
        <w:rPr>
          <w:rFonts w:ascii="Times New Roman" w:hAnsi="Times New Roman" w:cs="Times New Roman"/>
          <w:b w:val="0"/>
          <w:i w:val="0"/>
          <w:sz w:val="24"/>
        </w:rPr>
        <w:t>Reasonable search has been made for all of the information required by Florida law and by the applicable Florida Probate Rules. Any such information that is not set forth in full above cannot be ascertained without delay that would adversely affect the Ward or the Ward’s property.</w:t>
      </w:r>
    </w:p>
    <w:p>
      <w:pPr>
        <w:spacing w:before="240" w:after="240"/>
        <w:ind w:firstLine="720"/>
        <w:jc w:val="left"/>
      </w:pPr>
      <w:r>
        <w:rPr>
          <w:rFonts w:ascii="Times New Roman" w:hAnsi="Times New Roman" w:cs="Times New Roman"/>
          <w:b w:val="0"/>
          <w:i w:val="0"/>
          <w:sz w:val="24"/>
        </w:rPr>
        <w:t>Petitioner requests that {proposed_guardian_name} be appointed limited guardian of the person and property of the Ward.</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Appointment of Limited Guardian of Person and Property.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