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PLENARY GUARDIAN</w:t>
      </w:r>
    </w:p>
    <w:p>
      <w:pPr>
        <w:spacing w:before="0" w:after="360"/>
        <w:jc w:val="center"/>
      </w:pPr>
      <w:r>
        <w:rPr>
          <w:rFonts w:ascii="Times New Roman" w:hAnsi="Times New Roman" w:cs="Times New Roman"/>
          <w:b w:val="0"/>
          <w:i w:val="0"/>
          <w:sz w:val="24"/>
        </w:rPr>
        <w:t>(Incapacity -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The residence of the Ward is {aip_residence}; and the post office address of the Ward is {aip_address}.</w:t>
      </w:r>
    </w:p>
    <w:p>
      <w:pPr>
        <w:spacing w:before="0" w:after="0" w:line="360" w:lineRule="auto"/>
        <w:numPr>
          <w:ilvl w:val="0"/>
          <w:numId w:val="1"/>
        </w:numPr>
      </w:pPr>
      <w:r>
        <w:rPr>
          <w:rFonts w:ascii="Times New Roman" w:hAnsi="Times New Roman" w:cs="Times New Roman"/>
          <w:b w:val="0"/>
          <w:i w:val="0"/>
          <w:sz w:val="24"/>
        </w:rPr>
        <w:t>The nature of the Ward’s alleged incapacity is {ward_incapacity_nature}.</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plenary guardian be appointed to exercise all delegable rights of the Ward.{/has_alternatives}{^has_alternatives}has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plenary guardian be appointed to exercise all delegable rights of the Ward,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residence is {proposed_guardian_residence}, and whose post office address is {proposed_guardian_address}, is sui juris and otherwise qualified under the laws of Florida to act as plenary guardian of the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plenary guardian of the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Plenary Guardian of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