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GUARDIANSHIP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 LIMITED GUARDIAN</w:t>
      </w:r>
    </w:p>
    <w:p>
      <w:pPr>
        <w:spacing w:before="0" w:after="360"/>
        <w:jc w:val="center"/>
      </w:pPr>
      <w:r>
        <w:rPr>
          <w:rFonts w:ascii="Times New Roman" w:hAnsi="Times New Roman" w:cs="Times New Roman"/>
          <w:b w:val="0"/>
          <w:i w:val="0"/>
          <w:sz w:val="24"/>
        </w:rPr>
        <w:t>(Incapacity - person and property)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and petitioner’s post office address is {petitioner_address}.</w:t>
      </w:r>
    </w:p>
    <w:p>
      <w:pPr>
        <w:spacing w:before="0" w:after="0" w:line="360" w:lineRule="auto"/>
        <w:numPr>
          <w:ilvl w:val="0"/>
          <w:numId w:val="1"/>
        </w:numPr>
      </w:pPr>
      <w:r>
        <w:rPr>
          <w:rFonts w:ascii="Times New Roman" w:hAnsi="Times New Roman" w:cs="Times New Roman"/>
          <w:b w:val="0"/>
          <w:i w:val="0"/>
          <w:sz w:val="24"/>
        </w:rPr>
        <w:t>{aip_name} (the AIP-Alleged Incapacitated Person) is an alleged incapacitated person who is {aip_age} years of age.  The residence of the Ward is {aip_residence}; and the post office address of the Ward is {aip_address}.</w:t>
      </w:r>
    </w:p>
    <w:p>
      <w:pPr>
        <w:keepNext/>
        <w:spacing w:before="0" w:after="0" w:line="360" w:lineRule="auto"/>
        <w:numPr>
          <w:ilvl w:val="0"/>
          <w:numId w:val="1"/>
        </w:numPr>
      </w:pPr>
      <w:r>
        <w:rPr>
          <w:rFonts w:ascii="Times New Roman" w:hAnsi="Times New Roman" w:cs="Times New Roman"/>
          <w:b w:val="0"/>
          <w:i w:val="0"/>
          <w:sz w:val="24"/>
        </w:rPr>
        <w:t>The Ward is unable to meet the essential requirements for certain aspects of the Ward’s physical health or safety and certain aspects of the management of the Ward’s financial resources. Consequently, the following rights should be removed:</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{remove_marry_check}</w:t>
      </w:r>
      <w:r>
        <w:rPr>
          <w:rFonts w:ascii="Times New Roman" w:hAnsi="Times New Roman" w:cs="Times New Roman"/>
          <w:b w:val="0"/>
          <w:i w:val="0"/>
          <w:sz w:val="24"/>
        </w:rPr>
        <w:t>) to marry,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{remove_vote_check}</w:t>
      </w:r>
      <w:r>
        <w:rPr>
          <w:rFonts w:ascii="Times New Roman" w:hAnsi="Times New Roman" w:cs="Times New Roman"/>
          <w:b w:val="0"/>
          <w:i w:val="0"/>
          <w:sz w:val="24"/>
        </w:rPr>
        <w:t>) to vote,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{remove_govt_benefits_check}</w:t>
      </w:r>
      <w:r>
        <w:rPr>
          <w:rFonts w:ascii="Times New Roman" w:hAnsi="Times New Roman" w:cs="Times New Roman"/>
          <w:b w:val="0"/>
          <w:i w:val="0"/>
          <w:sz w:val="24"/>
        </w:rPr>
        <w:t>) to personally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{remove_drivers_license_check}</w:t>
      </w:r>
      <w:r>
        <w:rPr>
          <w:rFonts w:ascii="Times New Roman" w:hAnsi="Times New Roman" w:cs="Times New Roman"/>
          <w:b w:val="0"/>
          <w:i w:val="0"/>
          <w:sz w:val="24"/>
        </w:rPr>
        <w:t>) to have a driver’s license,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{remove_travel_check}</w:t>
      </w:r>
      <w:r>
        <w:rPr>
          <w:rFonts w:ascii="Times New Roman" w:hAnsi="Times New Roman" w:cs="Times New Roman"/>
          <w:b w:val="0"/>
          <w:i w:val="0"/>
          <w:sz w:val="24"/>
        </w:rPr>
        <w:t>) to travel,</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{remove_employment_check}</w:t>
      </w:r>
      <w:r>
        <w:rPr>
          <w:rFonts w:ascii="Times New Roman" w:hAnsi="Times New Roman" w:cs="Times New Roman"/>
          <w:b w:val="0"/>
          <w:i w:val="0"/>
          <w:sz w:val="24"/>
        </w:rPr>
        <w:t>) to seek or retain employment,</w:t>
      </w:r>
    </w:p>
    <w:p>
      <w:pPr>
        <w:spacing w:before="0" w:after="0"/>
        <w:jc w:val="left"/>
      </w:pPr>
    </w:p>
    <w:p>
      <w:pPr>
        <w:keepNext/>
        <w:spacing w:before="0" w:after="120"/>
        <w:jc w:val="left"/>
      </w:pPr>
      <w:r>
        <w:rPr>
          <w:rFonts w:ascii="Times New Roman" w:hAnsi="Times New Roman" w:cs="Times New Roman"/>
          <w:b w:val="0"/>
          <w:i w:val="0"/>
          <w:sz w:val="24"/>
        </w:rPr>
        <w:t>and the following rights should be delegated to a limited guardian of the person and property of the Ward:</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{delegate_contract_check}</w:t>
      </w:r>
      <w:r>
        <w:rPr>
          <w:rFonts w:ascii="Times New Roman" w:hAnsi="Times New Roman" w:cs="Times New Roman"/>
          <w:b w:val="0"/>
          <w:i w:val="0"/>
          <w:sz w:val="24"/>
        </w:rPr>
        <w:t>) to contract,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{delegate_sue_check}</w:t>
      </w:r>
      <w:r>
        <w:rPr>
          <w:rFonts w:ascii="Times New Roman" w:hAnsi="Times New Roman" w:cs="Times New Roman"/>
          <w:b w:val="0"/>
          <w:i w:val="0"/>
          <w:sz w:val="24"/>
        </w:rPr>
        <w:t>) to sue and defend lawsuits,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{delegate_govt_benefits_check}</w:t>
      </w:r>
      <w:r>
        <w:rPr>
          <w:rFonts w:ascii="Times New Roman" w:hAnsi="Times New Roman" w:cs="Times New Roman"/>
          <w:b w:val="0"/>
          <w:i w:val="0"/>
          <w:sz w:val="24"/>
        </w:rPr>
        <w:t>) to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{delegate_property_check}</w:t>
      </w:r>
      <w:r>
        <w:rPr>
          <w:rFonts w:ascii="Times New Roman" w:hAnsi="Times New Roman" w:cs="Times New Roman"/>
          <w:b w:val="0"/>
          <w:i w:val="0"/>
          <w:sz w:val="24"/>
        </w:rPr>
        <w:t>) to manage property or to make any gift or disposition of property,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{delegate_residence_check}</w:t>
      </w:r>
      <w:r>
        <w:rPr>
          <w:rFonts w:ascii="Times New Roman" w:hAnsi="Times New Roman" w:cs="Times New Roman"/>
          <w:b w:val="0"/>
          <w:i w:val="0"/>
          <w:sz w:val="24"/>
        </w:rPr>
        <w:t>) to determine the Ward’s residence,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{delegate_medical_check}</w:t>
      </w:r>
      <w:r>
        <w:rPr>
          <w:rFonts w:ascii="Times New Roman" w:hAnsi="Times New Roman" w:cs="Times New Roman"/>
          <w:b w:val="0"/>
          <w:i w:val="0"/>
          <w:sz w:val="24"/>
        </w:rPr>
        <w:t>) to consent to medical and mental health treatment,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{delegate_social_check}</w:t>
      </w:r>
      <w:r>
        <w:rPr>
          <w:rFonts w:ascii="Times New Roman" w:hAnsi="Times New Roman" w:cs="Times New Roman"/>
          <w:b w:val="0"/>
          <w:i w:val="0"/>
          <w:sz w:val="24"/>
        </w:rPr>
        <w:t>) to make decisions about the Ward’s social environment or other social aspects of the Ward’s life.</w:t>
      </w:r>
    </w:p>
    <w:p>
      <w:pPr>
        <w:spacing w:before="0" w:after="0"/>
        <w:jc w:val="left"/>
      </w:pPr>
    </w:p>
    <w:p>
      <w:pPr>
        <w:keepNext/>
        <w:spacing w:before="0" w:after="0" w:line="360" w:lineRule="auto"/>
        <w:numPr>
          <w:ilvl w:val="0"/>
          <w:numId w:val="1"/>
        </w:numPr>
      </w:pPr>
      <w:r>
        <w:rPr>
          <w:rFonts w:ascii="Times New Roman" w:hAnsi="Times New Roman" w:cs="Times New Roman"/>
          <w:b w:val="0"/>
          <w:i w:val="0"/>
          <w:sz w:val="24"/>
        </w:rPr>
        <w:t>The approximate value and description of the Ward’s property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The Ward is incapable of managing the following property, responsibility for which should be delegated to the guardian: {incapable_property}.</w:t>
      </w:r>
    </w:p>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alternatives to the appointment of a guardian, such as trust agreements, powers of attorney, designations of health care surrogate, a guardian advocate under Florida Statutes section 744.3085, other type of guardianship or other advance directives. They are described as follows: {alternatives_description}. However, they are insufficient to meet the needs of the Ward because: {alternatives_insufficient_reason}. Thus, it is necessary that a limited guardian be appointed to exercise the delegable rights of the Ward identified above.{/has_alternatives}{^has_alternatives}has knowledge, information and belief that there are NO alternatives to the appointment of a guardian, such as trust agreements, powers of attorney, designations of health care surrogate, a guardian advocate under Florida Statutes section 744.3085, other type of guardianship or other advance directives. Thus, it is necessary that a limited guardian be appointed to exercise the delegable rights of the Ward identified above, as no other alternatives exist.{/has_alternatives}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Ward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guardian, {proposed_guardian_name}, whose residence is {proposed_guardian_residence}, and whose post office address is {proposed_guardian_address}, is sui juris and otherwise qualified under the laws of Florida to act as limited guardian of the person and property of the Ward.{#is_professional_guardian} The proposed guardian is a professional guardian and has complied with the registration requirements of Florida Statutes section 744.2002.{/is_professional_guardian} The relationship and previous association of the proposed guardian to the Ward (including any activities designated in Florida Statutes section 744.446(3)) are {proposed_guardian_relationship}. The proposed guardian should be appointed because {appointment_reason}.</w:t>
      </w:r>
    </w:p>
    <w:p>
      <w:pPr>
        <w:spacing w:before="0" w:after="0" w:line="360" w:lineRule="auto"/>
        <w:numPr>
          <w:ilvl w:val="0"/>
          <w:numId w:val="1"/>
        </w:numPr>
      </w:pPr>
      <w:r>
        <w:rPr>
          <w:rFonts w:ascii="Times New Roman" w:hAnsi="Times New Roman" w:cs="Times New Roman"/>
          <w:b w:val="0"/>
          <w:i w:val="0"/>
          <w:sz w:val="24"/>
        </w:rPr>
        <w:t>Reasonable search has been made for all of the information required by Florida law and by the applicable Florida Probate Rules. Any such information that is not set forth in full above cannot be ascertained without delay that would adversely affect the Ward or the Ward’s property.</w:t>
      </w:r>
    </w:p>
    <w:p>
      <w:pPr>
        <w:spacing w:before="240" w:after="240"/>
        <w:ind w:firstLine="720"/>
        <w:jc w:val="left"/>
      </w:pPr>
      <w:r>
        <w:rPr>
          <w:rFonts w:ascii="Times New Roman" w:hAnsi="Times New Roman" w:cs="Times New Roman"/>
          <w:b w:val="0"/>
          <w:i w:val="0"/>
          <w:sz w:val="24"/>
        </w:rPr>
        <w:t>Petitioner requests that {proposed_guardian_name} be appointed limited guardian of the person and property of the Ward.</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Limited Guardian of Person and Property.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