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4897" w:rsidRDefault="00724897">
      <w:pPr>
        <w:spacing w:before="62" w:line="566" w:lineRule="auto"/>
        <w:ind w:left="2128" w:right="2111"/>
        <w:jc w:val="center"/>
        <w:rPr>
          <w:b/>
          <w:sz w:val="32"/>
        </w:rPr>
      </w:pPr>
    </w:p>
    <w:p w:rsidR="00724897" w:rsidRDefault="00724897">
      <w:pPr>
        <w:spacing w:before="62" w:line="566" w:lineRule="auto"/>
        <w:ind w:left="2128" w:right="2111"/>
        <w:jc w:val="center"/>
        <w:rPr>
          <w:b/>
          <w:sz w:val="32"/>
        </w:rPr>
      </w:pPr>
    </w:p>
    <w:p w:rsidR="009508F7" w:rsidRDefault="00CF0715">
      <w:pPr>
        <w:spacing w:before="62" w:line="566" w:lineRule="auto"/>
        <w:ind w:left="2128" w:right="2111"/>
        <w:jc w:val="center"/>
        <w:rPr>
          <w:b/>
          <w:sz w:val="32"/>
        </w:rPr>
      </w:pPr>
      <w:r>
        <w:rPr>
          <w:b/>
          <w:sz w:val="32"/>
        </w:rPr>
        <w:t xml:space="preserve">Predicting City Quality Score Based on Venue </w:t>
      </w:r>
      <w:r w:rsidR="00724897">
        <w:rPr>
          <w:b/>
          <w:sz w:val="32"/>
        </w:rPr>
        <w:t>Frequency</w:t>
      </w:r>
    </w:p>
    <w:p w:rsidR="009508F7" w:rsidRDefault="00724897">
      <w:pPr>
        <w:spacing w:before="3"/>
        <w:ind w:left="2128" w:right="2033"/>
        <w:jc w:val="center"/>
        <w:rPr>
          <w:sz w:val="32"/>
        </w:rPr>
      </w:pPr>
      <w:r>
        <w:rPr>
          <w:sz w:val="32"/>
        </w:rPr>
        <w:t>Sunjin David Kim</w:t>
      </w:r>
    </w:p>
    <w:p w:rsidR="009508F7" w:rsidRDefault="009508F7">
      <w:pPr>
        <w:pStyle w:val="BodyText"/>
        <w:rPr>
          <w:sz w:val="20"/>
        </w:rPr>
      </w:pPr>
    </w:p>
    <w:p w:rsidR="009508F7" w:rsidRDefault="009508F7">
      <w:pPr>
        <w:pStyle w:val="BodyText"/>
        <w:spacing w:before="1"/>
        <w:rPr>
          <w:sz w:val="16"/>
        </w:rPr>
      </w:pPr>
    </w:p>
    <w:p w:rsidR="009508F7" w:rsidRDefault="00724897">
      <w:pPr>
        <w:spacing w:before="87"/>
        <w:ind w:left="2126" w:right="2111"/>
        <w:jc w:val="center"/>
        <w:rPr>
          <w:sz w:val="32"/>
        </w:rPr>
      </w:pPr>
      <w:r>
        <w:rPr>
          <w:sz w:val="32"/>
        </w:rPr>
        <w:t>August</w:t>
      </w:r>
      <w:r w:rsidR="00CF0715">
        <w:rPr>
          <w:sz w:val="32"/>
        </w:rPr>
        <w:t xml:space="preserve"> </w:t>
      </w:r>
      <w:r>
        <w:rPr>
          <w:sz w:val="32"/>
        </w:rPr>
        <w:t>23</w:t>
      </w:r>
      <w:r w:rsidR="00CF0715">
        <w:rPr>
          <w:sz w:val="32"/>
        </w:rPr>
        <w:t>, 201</w:t>
      </w:r>
      <w:r>
        <w:rPr>
          <w:sz w:val="32"/>
        </w:rPr>
        <w:t>9</w:t>
      </w:r>
    </w:p>
    <w:p w:rsidR="009508F7" w:rsidRDefault="00CF0715">
      <w:pPr>
        <w:pStyle w:val="Heading1"/>
        <w:numPr>
          <w:ilvl w:val="0"/>
          <w:numId w:val="1"/>
        </w:numPr>
        <w:tabs>
          <w:tab w:val="left" w:pos="380"/>
        </w:tabs>
        <w:spacing w:before="159"/>
        <w:ind w:hanging="279"/>
      </w:pPr>
      <w:r>
        <w:t>Introduction</w:t>
      </w:r>
    </w:p>
    <w:p w:rsidR="009508F7" w:rsidRDefault="009508F7">
      <w:pPr>
        <w:pStyle w:val="BodyText"/>
        <w:spacing w:before="10"/>
        <w:rPr>
          <w:b/>
          <w:sz w:val="36"/>
        </w:rPr>
      </w:pPr>
    </w:p>
    <w:p w:rsidR="009508F7" w:rsidRDefault="00CF0715">
      <w:pPr>
        <w:pStyle w:val="Heading2"/>
        <w:numPr>
          <w:ilvl w:val="1"/>
          <w:numId w:val="1"/>
        </w:numPr>
        <w:tabs>
          <w:tab w:val="left" w:pos="460"/>
        </w:tabs>
      </w:pPr>
      <w:r>
        <w:t>Background</w:t>
      </w:r>
    </w:p>
    <w:p w:rsidR="009508F7" w:rsidRDefault="00724897">
      <w:pPr>
        <w:pStyle w:val="BodyText"/>
        <w:spacing w:before="54"/>
        <w:ind w:left="100"/>
      </w:pPr>
      <w:r>
        <w:t xml:space="preserve">Every year, </w:t>
      </w:r>
      <w:r w:rsidR="00CF0715">
        <w:t>UN News</w:t>
      </w:r>
      <w:r>
        <w:t xml:space="preserve"> </w:t>
      </w:r>
      <w:r w:rsidR="000652A9">
        <w:t>analysis the 125 most populous cities of United States to determine the best cities to live. These cities are given an overall score from 0-10, and a ranking from 1-125. In addition to original surveys conducted by UN News, the following data sources were used to determine the city scores.</w:t>
      </w:r>
    </w:p>
    <w:p w:rsidR="000652A9" w:rsidRPr="000652A9" w:rsidRDefault="000652A9" w:rsidP="000652A9">
      <w:pPr>
        <w:widowControl/>
        <w:autoSpaceDE/>
        <w:autoSpaceDN/>
        <w:ind w:firstLine="720"/>
        <w:rPr>
          <w:sz w:val="24"/>
          <w:szCs w:val="24"/>
          <w:lang w:eastAsia="ja-JP"/>
        </w:rPr>
      </w:pPr>
      <w:r w:rsidRPr="000652A9">
        <w:rPr>
          <w:rFonts w:hAnsi="Symbol"/>
          <w:sz w:val="24"/>
          <w:szCs w:val="24"/>
          <w:lang w:eastAsia="ja-JP"/>
        </w:rPr>
        <w:t></w:t>
      </w:r>
      <w:r w:rsidRPr="000652A9">
        <w:rPr>
          <w:sz w:val="24"/>
          <w:szCs w:val="24"/>
          <w:lang w:eastAsia="ja-JP"/>
        </w:rPr>
        <w:t xml:space="preserve">  </w:t>
      </w:r>
      <w:hyperlink r:id="rId5" w:tgtFrame="_blank" w:history="1">
        <w:r w:rsidRPr="000652A9">
          <w:rPr>
            <w:color w:val="2C7EF0"/>
            <w:sz w:val="24"/>
            <w:szCs w:val="24"/>
            <w:u w:val="single"/>
            <w:lang w:eastAsia="ja-JP"/>
          </w:rPr>
          <w:t>U</w:t>
        </w:r>
        <w:r w:rsidRPr="000652A9">
          <w:rPr>
            <w:color w:val="2C7EF0"/>
            <w:sz w:val="24"/>
            <w:szCs w:val="24"/>
            <w:u w:val="single"/>
            <w:lang w:eastAsia="ja-JP"/>
          </w:rPr>
          <w:t>nited States Census</w:t>
        </w:r>
      </w:hyperlink>
    </w:p>
    <w:p w:rsidR="000652A9" w:rsidRPr="000652A9" w:rsidRDefault="000652A9" w:rsidP="000652A9">
      <w:pPr>
        <w:widowControl/>
        <w:autoSpaceDE/>
        <w:autoSpaceDN/>
        <w:ind w:firstLine="720"/>
        <w:rPr>
          <w:sz w:val="24"/>
          <w:szCs w:val="24"/>
          <w:lang w:eastAsia="ja-JP"/>
        </w:rPr>
      </w:pPr>
      <w:r w:rsidRPr="000652A9">
        <w:rPr>
          <w:rFonts w:hAnsi="Symbol"/>
          <w:sz w:val="24"/>
          <w:szCs w:val="24"/>
          <w:lang w:eastAsia="ja-JP"/>
        </w:rPr>
        <w:t></w:t>
      </w:r>
      <w:r w:rsidRPr="000652A9">
        <w:rPr>
          <w:sz w:val="24"/>
          <w:szCs w:val="24"/>
          <w:lang w:eastAsia="ja-JP"/>
        </w:rPr>
        <w:t xml:space="preserve"> </w:t>
      </w:r>
      <w:hyperlink r:id="rId6" w:tgtFrame="_blank" w:history="1">
        <w:r w:rsidRPr="000652A9">
          <w:rPr>
            <w:color w:val="2C7EF0"/>
            <w:sz w:val="24"/>
            <w:szCs w:val="24"/>
            <w:u w:val="single"/>
            <w:lang w:eastAsia="ja-JP"/>
          </w:rPr>
          <w:t>Gallup-</w:t>
        </w:r>
        <w:proofErr w:type="spellStart"/>
        <w:r w:rsidRPr="000652A9">
          <w:rPr>
            <w:color w:val="2C7EF0"/>
            <w:sz w:val="24"/>
            <w:szCs w:val="24"/>
            <w:u w:val="single"/>
            <w:lang w:eastAsia="ja-JP"/>
          </w:rPr>
          <w:t>Healthways</w:t>
        </w:r>
        <w:proofErr w:type="spellEnd"/>
        <w:r w:rsidRPr="000652A9">
          <w:rPr>
            <w:color w:val="2C7EF0"/>
            <w:sz w:val="24"/>
            <w:szCs w:val="24"/>
            <w:u w:val="single"/>
            <w:lang w:eastAsia="ja-JP"/>
          </w:rPr>
          <w:t xml:space="preserve"> Well-Being Index</w:t>
        </w:r>
      </w:hyperlink>
    </w:p>
    <w:p w:rsidR="000652A9" w:rsidRPr="000652A9" w:rsidRDefault="000652A9" w:rsidP="000652A9">
      <w:pPr>
        <w:widowControl/>
        <w:autoSpaceDE/>
        <w:autoSpaceDN/>
        <w:ind w:firstLine="720"/>
        <w:rPr>
          <w:sz w:val="24"/>
          <w:szCs w:val="24"/>
          <w:lang w:eastAsia="ja-JP"/>
        </w:rPr>
      </w:pPr>
      <w:r w:rsidRPr="000652A9">
        <w:rPr>
          <w:rFonts w:hAnsi="Symbol"/>
          <w:sz w:val="24"/>
          <w:szCs w:val="24"/>
          <w:lang w:eastAsia="ja-JP"/>
        </w:rPr>
        <w:t></w:t>
      </w:r>
      <w:r>
        <w:rPr>
          <w:rFonts w:hAnsi="Symbol"/>
          <w:sz w:val="24"/>
          <w:szCs w:val="24"/>
          <w:lang w:eastAsia="ja-JP"/>
        </w:rPr>
        <w:t xml:space="preserve"> </w:t>
      </w:r>
      <w:hyperlink r:id="rId7" w:tgtFrame="_blank" w:history="1">
        <w:r w:rsidRPr="000652A9">
          <w:rPr>
            <w:color w:val="2C7EF0"/>
            <w:sz w:val="24"/>
            <w:szCs w:val="24"/>
            <w:u w:val="single"/>
            <w:lang w:eastAsia="ja-JP"/>
          </w:rPr>
          <w:t>Federal Bureau of Investigation Uniform Crime Report</w:t>
        </w:r>
      </w:hyperlink>
    </w:p>
    <w:p w:rsidR="000652A9" w:rsidRPr="000652A9" w:rsidRDefault="000652A9" w:rsidP="000652A9">
      <w:pPr>
        <w:widowControl/>
        <w:autoSpaceDE/>
        <w:autoSpaceDN/>
        <w:ind w:firstLine="720"/>
        <w:rPr>
          <w:sz w:val="24"/>
          <w:szCs w:val="24"/>
          <w:lang w:eastAsia="ja-JP"/>
        </w:rPr>
      </w:pPr>
      <w:r w:rsidRPr="000652A9">
        <w:rPr>
          <w:rFonts w:hAnsi="Symbol"/>
          <w:sz w:val="24"/>
          <w:szCs w:val="24"/>
          <w:lang w:eastAsia="ja-JP"/>
        </w:rPr>
        <w:t></w:t>
      </w:r>
      <w:r>
        <w:rPr>
          <w:rFonts w:hAnsi="Symbol"/>
          <w:sz w:val="24"/>
          <w:szCs w:val="24"/>
          <w:lang w:eastAsia="ja-JP"/>
        </w:rPr>
        <w:t xml:space="preserve"> </w:t>
      </w:r>
      <w:hyperlink r:id="rId8" w:tgtFrame="_blank" w:history="1">
        <w:r w:rsidRPr="000652A9">
          <w:rPr>
            <w:color w:val="2C7EF0"/>
            <w:sz w:val="24"/>
            <w:szCs w:val="24"/>
            <w:u w:val="single"/>
            <w:lang w:eastAsia="ja-JP"/>
          </w:rPr>
          <w:t>Bureau of Labor Statistics</w:t>
        </w:r>
      </w:hyperlink>
    </w:p>
    <w:p w:rsidR="000652A9" w:rsidRDefault="000652A9">
      <w:pPr>
        <w:pStyle w:val="BodyText"/>
        <w:spacing w:before="54"/>
        <w:ind w:left="100"/>
      </w:pPr>
      <w:bookmarkStart w:id="0" w:name="_GoBack"/>
      <w:bookmarkEnd w:id="0"/>
    </w:p>
    <w:p w:rsidR="009508F7" w:rsidRDefault="009508F7">
      <w:pPr>
        <w:pStyle w:val="BodyText"/>
        <w:spacing w:before="7"/>
        <w:rPr>
          <w:sz w:val="25"/>
        </w:rPr>
      </w:pPr>
    </w:p>
    <w:p w:rsidR="009508F7" w:rsidRDefault="00CF0715">
      <w:pPr>
        <w:pStyle w:val="Heading2"/>
        <w:numPr>
          <w:ilvl w:val="1"/>
          <w:numId w:val="1"/>
        </w:numPr>
        <w:tabs>
          <w:tab w:val="left" w:pos="460"/>
        </w:tabs>
        <w:spacing w:before="90"/>
      </w:pPr>
      <w:r>
        <w:t>Problem</w:t>
      </w:r>
    </w:p>
    <w:p w:rsidR="009508F7" w:rsidRDefault="000652A9" w:rsidP="000652A9">
      <w:pPr>
        <w:pStyle w:val="BodyText"/>
        <w:spacing w:before="3"/>
        <w:ind w:left="90"/>
      </w:pPr>
      <w:r w:rsidRPr="000652A9">
        <w:t xml:space="preserve">In order to be competitive in the </w:t>
      </w:r>
      <w:proofErr w:type="spellStart"/>
      <w:r w:rsidRPr="000652A9">
        <w:t>Realestate</w:t>
      </w:r>
      <w:proofErr w:type="spellEnd"/>
      <w:r w:rsidRPr="000652A9">
        <w:t xml:space="preserve"> business, or to personally purchase home in a nice neighborhood before the prices of homes rise, it is important to use data to predict potential cities that will become popular in the future. Although the Rankings provided by USNEWS is very helpful in determining current hotspots, as potential home buyers, it is imperative to be ahead of the curve and purchase a home in a city before the popularity and prices rise. Therefore, using the data gathered from Foursquare, we will attempt to identify variables that </w:t>
      </w:r>
      <w:proofErr w:type="spellStart"/>
      <w:r w:rsidRPr="000652A9">
        <w:t>correllate</w:t>
      </w:r>
      <w:proofErr w:type="spellEnd"/>
      <w:r w:rsidRPr="000652A9">
        <w:t xml:space="preserve"> with city popularity represented by the City Scores, which could potentially help us find cities that will become popular in the future.</w:t>
      </w:r>
    </w:p>
    <w:p w:rsidR="000652A9" w:rsidRDefault="000652A9">
      <w:pPr>
        <w:pStyle w:val="BodyText"/>
        <w:spacing w:before="3"/>
        <w:rPr>
          <w:sz w:val="28"/>
        </w:rPr>
      </w:pPr>
    </w:p>
    <w:p w:rsidR="009508F7" w:rsidRDefault="00CF0715">
      <w:pPr>
        <w:pStyle w:val="Heading2"/>
        <w:numPr>
          <w:ilvl w:val="1"/>
          <w:numId w:val="1"/>
        </w:numPr>
        <w:tabs>
          <w:tab w:val="left" w:pos="460"/>
        </w:tabs>
      </w:pPr>
      <w:r>
        <w:t>Interest</w:t>
      </w:r>
    </w:p>
    <w:p w:rsidR="000652A9" w:rsidRDefault="000652A9" w:rsidP="000652A9">
      <w:pPr>
        <w:pStyle w:val="BodyText"/>
        <w:spacing w:before="3"/>
      </w:pPr>
      <w:r>
        <w:t>This analysis may be useful to the following groups:</w:t>
      </w:r>
    </w:p>
    <w:p w:rsidR="000652A9" w:rsidRDefault="000652A9" w:rsidP="000652A9">
      <w:pPr>
        <w:pStyle w:val="BodyText"/>
        <w:spacing w:before="3"/>
      </w:pPr>
    </w:p>
    <w:p w:rsidR="000652A9" w:rsidRDefault="000652A9" w:rsidP="000652A9">
      <w:pPr>
        <w:pStyle w:val="BodyText"/>
        <w:spacing w:before="3"/>
      </w:pPr>
      <w:r>
        <w:t xml:space="preserve">1. </w:t>
      </w:r>
      <w:r>
        <w:t>Real-estate</w:t>
      </w:r>
      <w:r>
        <w:t xml:space="preserve"> Agents looking for potential cities to work in.</w:t>
      </w:r>
    </w:p>
    <w:p w:rsidR="000652A9" w:rsidRDefault="000652A9" w:rsidP="000652A9">
      <w:pPr>
        <w:pStyle w:val="BodyText"/>
        <w:spacing w:before="3"/>
      </w:pPr>
      <w:r>
        <w:t>2. Individuals looking for a good place to live.</w:t>
      </w:r>
    </w:p>
    <w:p w:rsidR="000652A9" w:rsidRDefault="000652A9" w:rsidP="000652A9">
      <w:pPr>
        <w:pStyle w:val="BodyText"/>
        <w:spacing w:before="3"/>
      </w:pPr>
      <w:r>
        <w:t>3. City developers and officials seeking to improve their cities can also use this information to determine what types of venues to increase or decrease.</w:t>
      </w:r>
    </w:p>
    <w:p w:rsidR="009508F7" w:rsidRDefault="009508F7">
      <w:pPr>
        <w:pStyle w:val="BodyText"/>
        <w:spacing w:before="3"/>
        <w:rPr>
          <w:sz w:val="31"/>
        </w:rPr>
      </w:pPr>
    </w:p>
    <w:p w:rsidR="009508F7" w:rsidRDefault="00CF0715">
      <w:pPr>
        <w:pStyle w:val="Heading1"/>
        <w:numPr>
          <w:ilvl w:val="0"/>
          <w:numId w:val="1"/>
        </w:numPr>
        <w:tabs>
          <w:tab w:val="left" w:pos="380"/>
        </w:tabs>
        <w:spacing w:before="1"/>
        <w:ind w:hanging="279"/>
      </w:pPr>
      <w:r>
        <w:t>Data acquisitio</w:t>
      </w:r>
      <w:r>
        <w:t>n and</w:t>
      </w:r>
      <w:r>
        <w:rPr>
          <w:spacing w:val="-3"/>
        </w:rPr>
        <w:t xml:space="preserve"> </w:t>
      </w:r>
      <w:r>
        <w:t>cleaning</w:t>
      </w:r>
    </w:p>
    <w:p w:rsidR="009508F7" w:rsidRDefault="009508F7">
      <w:pPr>
        <w:pStyle w:val="BodyText"/>
        <w:spacing w:before="8"/>
        <w:rPr>
          <w:b/>
          <w:sz w:val="31"/>
        </w:rPr>
      </w:pPr>
    </w:p>
    <w:p w:rsidR="009508F7" w:rsidRDefault="00CF0715">
      <w:pPr>
        <w:pStyle w:val="Heading2"/>
        <w:numPr>
          <w:ilvl w:val="1"/>
          <w:numId w:val="1"/>
        </w:numPr>
        <w:tabs>
          <w:tab w:val="left" w:pos="460"/>
        </w:tabs>
      </w:pPr>
      <w:r>
        <w:t>Data sources</w:t>
      </w:r>
    </w:p>
    <w:p w:rsidR="000652A9" w:rsidRPr="000652A9" w:rsidRDefault="000652A9" w:rsidP="000652A9">
      <w:pPr>
        <w:spacing w:line="314" w:lineRule="auto"/>
        <w:rPr>
          <w:sz w:val="24"/>
          <w:szCs w:val="24"/>
        </w:rPr>
      </w:pPr>
      <w:r w:rsidRPr="000652A9">
        <w:rPr>
          <w:sz w:val="24"/>
          <w:szCs w:val="24"/>
        </w:rPr>
        <w:t xml:space="preserve">I will be conducting an analysis the 5 top ranked and the 5 lowest ranked cities to live in the US according to the 2019 Best Places to Live Research conducted by US NEWS. </w:t>
      </w:r>
    </w:p>
    <w:p w:rsidR="000652A9" w:rsidRPr="000652A9" w:rsidRDefault="000652A9" w:rsidP="000652A9">
      <w:pPr>
        <w:spacing w:line="314" w:lineRule="auto"/>
        <w:rPr>
          <w:sz w:val="24"/>
          <w:szCs w:val="24"/>
        </w:rPr>
      </w:pPr>
    </w:p>
    <w:p w:rsidR="000652A9" w:rsidRPr="000652A9" w:rsidRDefault="000652A9" w:rsidP="000652A9">
      <w:pPr>
        <w:spacing w:line="314" w:lineRule="auto"/>
        <w:rPr>
          <w:sz w:val="24"/>
          <w:szCs w:val="24"/>
        </w:rPr>
      </w:pPr>
      <w:r w:rsidRPr="000652A9">
        <w:rPr>
          <w:sz w:val="24"/>
          <w:szCs w:val="24"/>
        </w:rPr>
        <w:t>The Following Cities will be analyzed:</w:t>
      </w:r>
    </w:p>
    <w:p w:rsidR="000652A9" w:rsidRPr="000652A9" w:rsidRDefault="000652A9" w:rsidP="000652A9">
      <w:pPr>
        <w:spacing w:line="314" w:lineRule="auto"/>
        <w:rPr>
          <w:sz w:val="24"/>
          <w:szCs w:val="24"/>
        </w:rPr>
      </w:pPr>
      <w:r w:rsidRPr="000652A9">
        <w:rPr>
          <w:sz w:val="24"/>
          <w:szCs w:val="24"/>
        </w:rPr>
        <w:t>Rank #1: Austin, TX</w:t>
      </w:r>
    </w:p>
    <w:p w:rsidR="000652A9" w:rsidRPr="000652A9" w:rsidRDefault="000652A9" w:rsidP="000652A9">
      <w:pPr>
        <w:spacing w:line="314" w:lineRule="auto"/>
        <w:rPr>
          <w:sz w:val="24"/>
          <w:szCs w:val="24"/>
        </w:rPr>
      </w:pPr>
      <w:r w:rsidRPr="000652A9">
        <w:rPr>
          <w:sz w:val="24"/>
          <w:szCs w:val="24"/>
        </w:rPr>
        <w:t>Rank #2: Denver, CO</w:t>
      </w:r>
    </w:p>
    <w:p w:rsidR="000652A9" w:rsidRPr="000652A9" w:rsidRDefault="000652A9" w:rsidP="000652A9">
      <w:pPr>
        <w:spacing w:line="314" w:lineRule="auto"/>
        <w:rPr>
          <w:sz w:val="24"/>
          <w:szCs w:val="24"/>
        </w:rPr>
      </w:pPr>
      <w:r w:rsidRPr="000652A9">
        <w:rPr>
          <w:sz w:val="24"/>
          <w:szCs w:val="24"/>
        </w:rPr>
        <w:t>Rank #3: Colorado Springs, CO</w:t>
      </w:r>
    </w:p>
    <w:p w:rsidR="000652A9" w:rsidRPr="000652A9" w:rsidRDefault="000652A9" w:rsidP="000652A9">
      <w:pPr>
        <w:spacing w:line="314" w:lineRule="auto"/>
        <w:rPr>
          <w:sz w:val="24"/>
          <w:szCs w:val="24"/>
        </w:rPr>
      </w:pPr>
      <w:r w:rsidRPr="000652A9">
        <w:rPr>
          <w:sz w:val="24"/>
          <w:szCs w:val="24"/>
        </w:rPr>
        <w:t>Rank #4: Fayetteville, AR</w:t>
      </w:r>
    </w:p>
    <w:p w:rsidR="000652A9" w:rsidRPr="000652A9" w:rsidRDefault="000652A9" w:rsidP="000652A9">
      <w:pPr>
        <w:spacing w:line="314" w:lineRule="auto"/>
        <w:rPr>
          <w:sz w:val="24"/>
          <w:szCs w:val="24"/>
        </w:rPr>
      </w:pPr>
      <w:r w:rsidRPr="000652A9">
        <w:rPr>
          <w:sz w:val="24"/>
          <w:szCs w:val="24"/>
        </w:rPr>
        <w:t>Rank #5: Des Moines, IA</w:t>
      </w:r>
    </w:p>
    <w:p w:rsidR="000652A9" w:rsidRPr="000652A9" w:rsidRDefault="000652A9" w:rsidP="000652A9">
      <w:pPr>
        <w:spacing w:line="314" w:lineRule="auto"/>
        <w:rPr>
          <w:sz w:val="24"/>
          <w:szCs w:val="24"/>
        </w:rPr>
      </w:pPr>
    </w:p>
    <w:p w:rsidR="000652A9" w:rsidRPr="000652A9" w:rsidRDefault="000652A9" w:rsidP="000652A9">
      <w:pPr>
        <w:spacing w:line="314" w:lineRule="auto"/>
        <w:rPr>
          <w:sz w:val="24"/>
          <w:szCs w:val="24"/>
        </w:rPr>
      </w:pPr>
      <w:r w:rsidRPr="000652A9">
        <w:rPr>
          <w:sz w:val="24"/>
          <w:szCs w:val="24"/>
        </w:rPr>
        <w:t>Rank #125: San Juan, PR</w:t>
      </w:r>
    </w:p>
    <w:p w:rsidR="000652A9" w:rsidRPr="000652A9" w:rsidRDefault="000652A9" w:rsidP="000652A9">
      <w:pPr>
        <w:spacing w:line="314" w:lineRule="auto"/>
        <w:rPr>
          <w:sz w:val="24"/>
          <w:szCs w:val="24"/>
        </w:rPr>
      </w:pPr>
      <w:r w:rsidRPr="000652A9">
        <w:rPr>
          <w:sz w:val="24"/>
          <w:szCs w:val="24"/>
        </w:rPr>
        <w:t>Rank #124: Bakersfield, CA</w:t>
      </w:r>
    </w:p>
    <w:p w:rsidR="000652A9" w:rsidRPr="000652A9" w:rsidRDefault="000652A9" w:rsidP="000652A9">
      <w:pPr>
        <w:spacing w:line="314" w:lineRule="auto"/>
        <w:rPr>
          <w:sz w:val="24"/>
          <w:szCs w:val="24"/>
        </w:rPr>
      </w:pPr>
      <w:r w:rsidRPr="000652A9">
        <w:rPr>
          <w:sz w:val="24"/>
          <w:szCs w:val="24"/>
        </w:rPr>
        <w:t>Rank #123: Stockton, CA</w:t>
      </w:r>
    </w:p>
    <w:p w:rsidR="000652A9" w:rsidRPr="000652A9" w:rsidRDefault="000652A9" w:rsidP="000652A9">
      <w:pPr>
        <w:spacing w:line="314" w:lineRule="auto"/>
        <w:rPr>
          <w:sz w:val="24"/>
          <w:szCs w:val="24"/>
        </w:rPr>
      </w:pPr>
      <w:r w:rsidRPr="000652A9">
        <w:rPr>
          <w:sz w:val="24"/>
          <w:szCs w:val="24"/>
        </w:rPr>
        <w:t>Rank #122: Shreveport, LA</w:t>
      </w:r>
    </w:p>
    <w:p w:rsidR="000652A9" w:rsidRPr="000652A9" w:rsidRDefault="000652A9" w:rsidP="000652A9">
      <w:pPr>
        <w:spacing w:line="314" w:lineRule="auto"/>
        <w:rPr>
          <w:sz w:val="24"/>
          <w:szCs w:val="24"/>
        </w:rPr>
      </w:pPr>
      <w:r w:rsidRPr="000652A9">
        <w:rPr>
          <w:sz w:val="24"/>
          <w:szCs w:val="24"/>
        </w:rPr>
        <w:t>Rank #121: Mobile, AL</w:t>
      </w:r>
    </w:p>
    <w:p w:rsidR="000652A9" w:rsidRDefault="000652A9" w:rsidP="000652A9">
      <w:pPr>
        <w:spacing w:line="314" w:lineRule="auto"/>
        <w:rPr>
          <w:sz w:val="24"/>
          <w:szCs w:val="24"/>
        </w:rPr>
      </w:pPr>
    </w:p>
    <w:p w:rsidR="009508F7" w:rsidRDefault="00CF0715" w:rsidP="000652A9">
      <w:pPr>
        <w:spacing w:line="314" w:lineRule="auto"/>
        <w:rPr>
          <w:sz w:val="24"/>
          <w:szCs w:val="24"/>
        </w:rPr>
      </w:pPr>
      <w:r>
        <w:rPr>
          <w:sz w:val="24"/>
          <w:szCs w:val="24"/>
        </w:rPr>
        <w:t xml:space="preserve">I will be obtaining the city scores from the research conducted by US News and the city coordinates from the web. </w:t>
      </w:r>
      <w:r w:rsidR="000652A9" w:rsidRPr="000652A9">
        <w:rPr>
          <w:sz w:val="24"/>
          <w:szCs w:val="24"/>
        </w:rPr>
        <w:t>It should be noted that the Lowest Ranked Cities, are not the worst cities to live in. Rather, they are the cities ranked 123-124th in the list of best places to live.</w:t>
      </w:r>
    </w:p>
    <w:p w:rsidR="00CF0715" w:rsidRDefault="00CF0715" w:rsidP="000652A9">
      <w:pPr>
        <w:spacing w:line="314" w:lineRule="auto"/>
        <w:rPr>
          <w:sz w:val="24"/>
          <w:szCs w:val="24"/>
        </w:rPr>
      </w:pPr>
    </w:p>
    <w:p w:rsidR="00CF0715" w:rsidRPr="00CF0715" w:rsidRDefault="00CF0715" w:rsidP="000652A9">
      <w:pPr>
        <w:spacing w:line="314" w:lineRule="auto"/>
        <w:rPr>
          <w:b/>
          <w:bCs/>
          <w:sz w:val="24"/>
          <w:szCs w:val="24"/>
        </w:rPr>
      </w:pPr>
      <w:r w:rsidRPr="00CF0715">
        <w:rPr>
          <w:b/>
          <w:bCs/>
          <w:sz w:val="24"/>
          <w:szCs w:val="24"/>
        </w:rPr>
        <w:t>Venue Data</w:t>
      </w:r>
    </w:p>
    <w:p w:rsidR="00CF0715" w:rsidRDefault="00CF0715" w:rsidP="00CF0715">
      <w:pPr>
        <w:spacing w:line="314" w:lineRule="auto"/>
      </w:pPr>
      <w:r>
        <w:t xml:space="preserve">I will be using the Foursquare API to determine the frequency and ratio of venue types in each of the cities to determine whether there are any significant correlation between the venues found in a city and its overall score. If possible, we will use a machine learning algorithms to make predictive model that can </w:t>
      </w:r>
      <w:proofErr w:type="spellStart"/>
      <w:r>
        <w:t>can</w:t>
      </w:r>
      <w:proofErr w:type="spellEnd"/>
      <w:r>
        <w:t xml:space="preserve"> predict for us the city's overall score based on their venues</w:t>
      </w:r>
    </w:p>
    <w:p w:rsidR="00CF0715" w:rsidRDefault="00CF0715" w:rsidP="00CF0715">
      <w:pPr>
        <w:spacing w:line="314" w:lineRule="auto"/>
        <w:sectPr w:rsidR="00CF0715">
          <w:type w:val="continuous"/>
          <w:pgSz w:w="12240" w:h="15840"/>
          <w:pgMar w:top="860" w:right="1300" w:bottom="280" w:left="1340" w:header="720" w:footer="720" w:gutter="0"/>
          <w:cols w:space="720"/>
        </w:sectPr>
      </w:pPr>
      <w:r>
        <w:t>I will pick 4 random cities to test this model.</w:t>
      </w:r>
    </w:p>
    <w:p w:rsidR="009508F7" w:rsidRDefault="009508F7">
      <w:pPr>
        <w:pStyle w:val="BodyText"/>
        <w:spacing w:before="4"/>
        <w:rPr>
          <w:sz w:val="28"/>
        </w:rPr>
      </w:pPr>
    </w:p>
    <w:p w:rsidR="009508F7" w:rsidRDefault="00CF0715">
      <w:pPr>
        <w:pStyle w:val="Heading2"/>
        <w:numPr>
          <w:ilvl w:val="1"/>
          <w:numId w:val="1"/>
        </w:numPr>
        <w:tabs>
          <w:tab w:val="left" w:pos="460"/>
        </w:tabs>
      </w:pPr>
      <w:r>
        <w:t>Data cleaning</w:t>
      </w:r>
    </w:p>
    <w:p w:rsidR="009508F7" w:rsidRDefault="009508F7">
      <w:pPr>
        <w:pStyle w:val="BodyText"/>
        <w:spacing w:before="7"/>
      </w:pPr>
    </w:p>
    <w:p w:rsidR="00CF0715" w:rsidRDefault="00CF0715">
      <w:pPr>
        <w:pStyle w:val="BodyText"/>
        <w:spacing w:before="7"/>
        <w:rPr>
          <w:sz w:val="25"/>
        </w:rPr>
      </w:pPr>
    </w:p>
    <w:p w:rsidR="009508F7" w:rsidRDefault="00CF0715">
      <w:pPr>
        <w:pStyle w:val="Heading2"/>
        <w:numPr>
          <w:ilvl w:val="1"/>
          <w:numId w:val="1"/>
        </w:numPr>
        <w:tabs>
          <w:tab w:val="left" w:pos="460"/>
        </w:tabs>
        <w:spacing w:before="1"/>
      </w:pPr>
      <w:r>
        <w:t>Feature selection</w:t>
      </w:r>
    </w:p>
    <w:p w:rsidR="009508F7" w:rsidRDefault="00CF0715">
      <w:pPr>
        <w:pStyle w:val="BodyText"/>
        <w:spacing w:before="54" w:line="288" w:lineRule="auto"/>
        <w:ind w:left="100" w:right="149"/>
        <w:jc w:val="both"/>
      </w:pPr>
      <w:r>
        <w:t>After data cleaning, there were 13,378 samples and 49 features in the data. Upo</w:t>
      </w:r>
      <w:r>
        <w:t xml:space="preserve">n examining </w:t>
      </w:r>
      <w:r>
        <w:rPr>
          <w:spacing w:val="-6"/>
        </w:rPr>
        <w:t xml:space="preserve">the </w:t>
      </w:r>
      <w:r>
        <w:t xml:space="preserve">meaning of each feature, it was clear that there was some redundancy in the features. </w:t>
      </w:r>
      <w:r>
        <w:rPr>
          <w:spacing w:val="-6"/>
        </w:rPr>
        <w:t>For</w:t>
      </w:r>
    </w:p>
    <w:p w:rsidR="009508F7" w:rsidRDefault="009508F7">
      <w:pPr>
        <w:spacing w:line="288" w:lineRule="auto"/>
        <w:jc w:val="both"/>
        <w:sectPr w:rsidR="009508F7">
          <w:pgSz w:w="12240" w:h="15840"/>
          <w:pgMar w:top="1380" w:right="1300" w:bottom="280" w:left="1340" w:header="720" w:footer="720" w:gutter="0"/>
          <w:cols w:space="720"/>
        </w:sectPr>
      </w:pPr>
    </w:p>
    <w:p w:rsidR="009508F7" w:rsidRDefault="00CF0715">
      <w:pPr>
        <w:pStyle w:val="BodyText"/>
        <w:spacing w:before="61" w:line="288" w:lineRule="auto"/>
        <w:ind w:left="100" w:right="139"/>
        <w:jc w:val="both"/>
      </w:pPr>
      <w:r>
        <w:lastRenderedPageBreak/>
        <w:t>example, there was a feature of the number of rebounds a player collected, and another feature of the rate of rebounds he collected. These t</w:t>
      </w:r>
      <w:r>
        <w:t>wo features contained very similar information (a player’s ability to rebound), with the difference being that the former feature increased with playing time, while the latter feature did not. Such total vs. rate relationship also existed between other fea</w:t>
      </w:r>
      <w:r>
        <w:t xml:space="preserve">tures. These features are problematic for two reasons: (1) A player’s certain abilities were duplicated in two features. (2) A player’s playing time were duplicated in multiple features. In order to fix this, I decided to keep all features that were rates </w:t>
      </w:r>
      <w:r>
        <w:t>in nature, and drop their cumulative counterparts (Table 1).</w:t>
      </w:r>
    </w:p>
    <w:p w:rsidR="009508F7" w:rsidRDefault="00CF0715">
      <w:pPr>
        <w:pStyle w:val="BodyText"/>
        <w:spacing w:line="288" w:lineRule="auto"/>
        <w:ind w:left="100" w:right="141" w:firstLine="720"/>
        <w:jc w:val="both"/>
      </w:pPr>
      <w:r>
        <w:t>There were also other redundancies, such as that total rebounds are the sum of offensive rebounds and defensive rebounds. For features that can be calculated by sum of other features, I decided t</w:t>
      </w:r>
      <w:r>
        <w:t>o drop them (Table 1).</w:t>
      </w:r>
    </w:p>
    <w:p w:rsidR="009508F7" w:rsidRDefault="00CF0715">
      <w:pPr>
        <w:pStyle w:val="BodyText"/>
        <w:spacing w:line="288" w:lineRule="auto"/>
        <w:ind w:left="100" w:right="138" w:firstLine="720"/>
        <w:jc w:val="both"/>
      </w:pPr>
      <w:r>
        <w:t>After discarding redundant features, I inspected the correlation of independent variables, and found several pairs that were highly correlated (Pearson correlation coefficient &gt; 0.9). For example, shots attempted, shots made, and poi</w:t>
      </w:r>
      <w:r>
        <w:t xml:space="preserve">nts scored were highly correlated. This </w:t>
      </w:r>
      <w:r>
        <w:rPr>
          <w:spacing w:val="-4"/>
        </w:rPr>
        <w:t xml:space="preserve">makes </w:t>
      </w:r>
      <w:r>
        <w:t>sense, after all, you score points by making shots. From these highly correlated features, only one was kept, others were dropped from the dataset. After all, 24 features were selected.</w:t>
      </w:r>
    </w:p>
    <w:p w:rsidR="009508F7" w:rsidRDefault="009508F7">
      <w:pPr>
        <w:pStyle w:val="BodyText"/>
        <w:spacing w:before="4"/>
        <w:rPr>
          <w:sz w:val="27"/>
        </w:rPr>
      </w:pPr>
    </w:p>
    <w:p w:rsidR="009508F7" w:rsidRDefault="00CF0715">
      <w:pPr>
        <w:spacing w:after="43"/>
        <w:ind w:left="2365"/>
      </w:pPr>
      <w:r>
        <w:t>Table 1. Simple feature selection during data cleaning.</w:t>
      </w: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20"/>
        <w:gridCol w:w="3120"/>
        <w:gridCol w:w="3120"/>
      </w:tblGrid>
      <w:tr w:rsidR="009508F7">
        <w:trPr>
          <w:trHeight w:val="475"/>
        </w:trPr>
        <w:tc>
          <w:tcPr>
            <w:tcW w:w="3120" w:type="dxa"/>
          </w:tcPr>
          <w:p w:rsidR="009508F7" w:rsidRDefault="00CF0715">
            <w:pPr>
              <w:pStyle w:val="TableParagraph"/>
              <w:spacing w:before="107"/>
              <w:ind w:left="130" w:right="149"/>
              <w:jc w:val="center"/>
            </w:pPr>
            <w:r>
              <w:t>Kept features</w:t>
            </w:r>
          </w:p>
        </w:tc>
        <w:tc>
          <w:tcPr>
            <w:tcW w:w="3120" w:type="dxa"/>
          </w:tcPr>
          <w:p w:rsidR="009508F7" w:rsidRDefault="00CF0715">
            <w:pPr>
              <w:pStyle w:val="TableParagraph"/>
              <w:spacing w:before="107"/>
              <w:ind w:left="139" w:right="147"/>
              <w:jc w:val="center"/>
            </w:pPr>
            <w:r>
              <w:t>Dropped features</w:t>
            </w:r>
          </w:p>
        </w:tc>
        <w:tc>
          <w:tcPr>
            <w:tcW w:w="3120" w:type="dxa"/>
          </w:tcPr>
          <w:p w:rsidR="009508F7" w:rsidRDefault="00CF0715">
            <w:pPr>
              <w:pStyle w:val="TableParagraph"/>
              <w:spacing w:before="107"/>
              <w:ind w:left="259"/>
            </w:pPr>
            <w:r>
              <w:t>Reason for dropping features</w:t>
            </w:r>
          </w:p>
        </w:tc>
      </w:tr>
      <w:tr w:rsidR="009508F7">
        <w:trPr>
          <w:trHeight w:val="1015"/>
        </w:trPr>
        <w:tc>
          <w:tcPr>
            <w:tcW w:w="3120" w:type="dxa"/>
          </w:tcPr>
          <w:p w:rsidR="009508F7" w:rsidRDefault="009508F7">
            <w:pPr>
              <w:pStyle w:val="TableParagraph"/>
              <w:rPr>
                <w:sz w:val="21"/>
              </w:rPr>
            </w:pPr>
          </w:p>
          <w:p w:rsidR="009508F7" w:rsidRDefault="00CF0715">
            <w:pPr>
              <w:pStyle w:val="TableParagraph"/>
              <w:spacing w:line="256" w:lineRule="auto"/>
              <w:ind w:left="829" w:right="136" w:hanging="690"/>
            </w:pPr>
            <w:r>
              <w:t>TRB%, ORB%, AST%, STL%, BLK%, TOV%,</w:t>
            </w:r>
          </w:p>
        </w:tc>
        <w:tc>
          <w:tcPr>
            <w:tcW w:w="3120" w:type="dxa"/>
          </w:tcPr>
          <w:p w:rsidR="009508F7" w:rsidRDefault="009508F7">
            <w:pPr>
              <w:pStyle w:val="TableParagraph"/>
              <w:rPr>
                <w:sz w:val="21"/>
              </w:rPr>
            </w:pPr>
          </w:p>
          <w:p w:rsidR="009508F7" w:rsidRDefault="00CF0715">
            <w:pPr>
              <w:pStyle w:val="TableParagraph"/>
              <w:spacing w:line="256" w:lineRule="auto"/>
              <w:ind w:left="1039" w:right="509" w:hanging="540"/>
            </w:pPr>
            <w:r>
              <w:t>TRB, ORB, AST, STL, BLK, TOV</w:t>
            </w:r>
          </w:p>
        </w:tc>
        <w:tc>
          <w:tcPr>
            <w:tcW w:w="3120" w:type="dxa"/>
          </w:tcPr>
          <w:p w:rsidR="009508F7" w:rsidRDefault="00CF0715">
            <w:pPr>
              <w:pStyle w:val="TableParagraph"/>
              <w:spacing w:before="107" w:line="256" w:lineRule="auto"/>
              <w:ind w:left="139" w:right="149"/>
              <w:jc w:val="center"/>
            </w:pPr>
            <w:r>
              <w:t>Two similar features (one being total, one being rates) depicting the same ability of players.</w:t>
            </w:r>
          </w:p>
        </w:tc>
      </w:tr>
      <w:tr w:rsidR="009508F7">
        <w:trPr>
          <w:trHeight w:val="745"/>
        </w:trPr>
        <w:tc>
          <w:tcPr>
            <w:tcW w:w="3120" w:type="dxa"/>
          </w:tcPr>
          <w:p w:rsidR="009508F7" w:rsidRDefault="009508F7">
            <w:pPr>
              <w:pStyle w:val="TableParagraph"/>
              <w:rPr>
                <w:sz w:val="21"/>
              </w:rPr>
            </w:pPr>
          </w:p>
          <w:p w:rsidR="009508F7" w:rsidRDefault="00CF0715">
            <w:pPr>
              <w:pStyle w:val="TableParagraph"/>
              <w:ind w:left="139" w:right="143"/>
              <w:jc w:val="center"/>
            </w:pPr>
            <w:r>
              <w:t>TRB%, ORB%, WS, OWS</w:t>
            </w:r>
          </w:p>
        </w:tc>
        <w:tc>
          <w:tcPr>
            <w:tcW w:w="3120" w:type="dxa"/>
          </w:tcPr>
          <w:p w:rsidR="009508F7" w:rsidRDefault="009508F7">
            <w:pPr>
              <w:pStyle w:val="TableParagraph"/>
              <w:rPr>
                <w:sz w:val="21"/>
              </w:rPr>
            </w:pPr>
          </w:p>
          <w:p w:rsidR="009508F7" w:rsidRDefault="00CF0715">
            <w:pPr>
              <w:pStyle w:val="TableParagraph"/>
              <w:ind w:left="139" w:right="141"/>
              <w:jc w:val="center"/>
            </w:pPr>
            <w:r>
              <w:t>DRB%, DRB, DWS</w:t>
            </w:r>
          </w:p>
        </w:tc>
        <w:tc>
          <w:tcPr>
            <w:tcW w:w="3120" w:type="dxa"/>
          </w:tcPr>
          <w:p w:rsidR="009508F7" w:rsidRDefault="00CF0715">
            <w:pPr>
              <w:pStyle w:val="TableParagraph"/>
              <w:spacing w:before="107"/>
              <w:ind w:left="139" w:right="141"/>
              <w:jc w:val="center"/>
            </w:pPr>
            <w:r>
              <w:t>Total = offense + defense.</w:t>
            </w:r>
          </w:p>
          <w:p w:rsidR="009508F7" w:rsidRDefault="00CF0715">
            <w:pPr>
              <w:pStyle w:val="TableParagraph"/>
              <w:spacing w:before="17"/>
              <w:ind w:left="139" w:right="146"/>
              <w:jc w:val="center"/>
            </w:pPr>
            <w:r>
              <w:t>Dropped defense.</w:t>
            </w:r>
          </w:p>
        </w:tc>
      </w:tr>
      <w:tr w:rsidR="009508F7">
        <w:trPr>
          <w:trHeight w:val="1015"/>
        </w:trPr>
        <w:tc>
          <w:tcPr>
            <w:tcW w:w="3120" w:type="dxa"/>
          </w:tcPr>
          <w:p w:rsidR="009508F7" w:rsidRDefault="009508F7">
            <w:pPr>
              <w:pStyle w:val="TableParagraph"/>
              <w:spacing w:before="9"/>
              <w:rPr>
                <w:sz w:val="32"/>
              </w:rPr>
            </w:pPr>
          </w:p>
          <w:p w:rsidR="009508F7" w:rsidRDefault="00CF0715">
            <w:pPr>
              <w:pStyle w:val="TableParagraph"/>
              <w:ind w:left="127" w:right="149"/>
              <w:jc w:val="center"/>
            </w:pPr>
            <w:r>
              <w:t>TS%, FGA, 3P%, 3PA</w:t>
            </w:r>
          </w:p>
        </w:tc>
        <w:tc>
          <w:tcPr>
            <w:tcW w:w="3120" w:type="dxa"/>
          </w:tcPr>
          <w:p w:rsidR="009508F7" w:rsidRDefault="009508F7">
            <w:pPr>
              <w:pStyle w:val="TableParagraph"/>
              <w:spacing w:before="9"/>
              <w:rPr>
                <w:sz w:val="32"/>
              </w:rPr>
            </w:pPr>
          </w:p>
          <w:p w:rsidR="009508F7" w:rsidRDefault="00CF0715">
            <w:pPr>
              <w:pStyle w:val="TableParagraph"/>
              <w:ind w:left="139" w:right="140"/>
              <w:jc w:val="center"/>
            </w:pPr>
            <w:r>
              <w:t>2PA, 2P, 2P%</w:t>
            </w:r>
          </w:p>
        </w:tc>
        <w:tc>
          <w:tcPr>
            <w:tcW w:w="3120" w:type="dxa"/>
          </w:tcPr>
          <w:p w:rsidR="009508F7" w:rsidRDefault="00CF0715">
            <w:pPr>
              <w:pStyle w:val="TableParagraph"/>
              <w:spacing w:before="107" w:line="256" w:lineRule="auto"/>
              <w:ind w:left="319" w:right="337"/>
              <w:jc w:val="center"/>
            </w:pPr>
            <w:r>
              <w:t>Field goal = 2-point shots + 3-point shots.</w:t>
            </w:r>
          </w:p>
          <w:p w:rsidR="009508F7" w:rsidRDefault="00CF0715">
            <w:pPr>
              <w:pStyle w:val="TableParagraph"/>
              <w:spacing w:line="252" w:lineRule="exact"/>
              <w:ind w:left="133" w:right="149"/>
              <w:jc w:val="center"/>
            </w:pPr>
            <w:r>
              <w:t>Dropped 2-point shots.</w:t>
            </w:r>
          </w:p>
        </w:tc>
      </w:tr>
      <w:tr w:rsidR="009508F7">
        <w:trPr>
          <w:trHeight w:val="1015"/>
        </w:trPr>
        <w:tc>
          <w:tcPr>
            <w:tcW w:w="3120" w:type="dxa"/>
          </w:tcPr>
          <w:p w:rsidR="009508F7" w:rsidRDefault="009508F7">
            <w:pPr>
              <w:pStyle w:val="TableParagraph"/>
              <w:spacing w:before="9"/>
              <w:rPr>
                <w:sz w:val="32"/>
              </w:rPr>
            </w:pPr>
          </w:p>
          <w:p w:rsidR="009508F7" w:rsidRDefault="00CF0715">
            <w:pPr>
              <w:pStyle w:val="TableParagraph"/>
              <w:ind w:left="131" w:right="149"/>
              <w:jc w:val="center"/>
            </w:pPr>
            <w:r>
              <w:t>TS%, WS</w:t>
            </w:r>
          </w:p>
        </w:tc>
        <w:tc>
          <w:tcPr>
            <w:tcW w:w="3120" w:type="dxa"/>
          </w:tcPr>
          <w:p w:rsidR="009508F7" w:rsidRDefault="009508F7">
            <w:pPr>
              <w:pStyle w:val="TableParagraph"/>
              <w:rPr>
                <w:sz w:val="21"/>
              </w:rPr>
            </w:pPr>
          </w:p>
          <w:p w:rsidR="009508F7" w:rsidRDefault="00CF0715">
            <w:pPr>
              <w:pStyle w:val="TableParagraph"/>
              <w:spacing w:line="256" w:lineRule="auto"/>
              <w:ind w:left="859" w:right="312" w:hanging="555"/>
            </w:pPr>
            <w:r>
              <w:t xml:space="preserve">FG%, </w:t>
            </w:r>
            <w:proofErr w:type="spellStart"/>
            <w:r>
              <w:t>eFG</w:t>
            </w:r>
            <w:proofErr w:type="spellEnd"/>
            <w:r>
              <w:t>%, VORP, BPM, OBPM, DBPM</w:t>
            </w:r>
          </w:p>
        </w:tc>
        <w:tc>
          <w:tcPr>
            <w:tcW w:w="3120" w:type="dxa"/>
          </w:tcPr>
          <w:p w:rsidR="009508F7" w:rsidRDefault="00CF0715">
            <w:pPr>
              <w:pStyle w:val="TableParagraph"/>
              <w:spacing w:before="107" w:line="256" w:lineRule="auto"/>
              <w:ind w:left="154" w:right="159" w:hanging="21"/>
              <w:jc w:val="center"/>
            </w:pPr>
            <w:r>
              <w:t>Slightly different features that depict the same overall abilities of players.</w:t>
            </w:r>
          </w:p>
        </w:tc>
      </w:tr>
    </w:tbl>
    <w:p w:rsidR="009508F7" w:rsidRDefault="009508F7">
      <w:pPr>
        <w:pStyle w:val="BodyText"/>
      </w:pPr>
    </w:p>
    <w:p w:rsidR="009508F7" w:rsidRDefault="009508F7">
      <w:pPr>
        <w:pStyle w:val="BodyText"/>
      </w:pPr>
    </w:p>
    <w:p w:rsidR="009508F7" w:rsidRDefault="00CF0715">
      <w:pPr>
        <w:pStyle w:val="Heading1"/>
        <w:numPr>
          <w:ilvl w:val="0"/>
          <w:numId w:val="1"/>
        </w:numPr>
        <w:tabs>
          <w:tab w:val="left" w:pos="380"/>
        </w:tabs>
        <w:spacing w:before="176"/>
        <w:ind w:hanging="279"/>
      </w:pPr>
      <w:r>
        <w:t>Exploratory Data</w:t>
      </w:r>
      <w:r>
        <w:rPr>
          <w:spacing w:val="-22"/>
        </w:rPr>
        <w:t xml:space="preserve"> </w:t>
      </w:r>
      <w:r>
        <w:t>Analysis</w:t>
      </w:r>
    </w:p>
    <w:p w:rsidR="009508F7" w:rsidRDefault="009508F7">
      <w:pPr>
        <w:pStyle w:val="BodyText"/>
        <w:rPr>
          <w:b/>
          <w:sz w:val="34"/>
        </w:rPr>
      </w:pPr>
    </w:p>
    <w:p w:rsidR="009508F7" w:rsidRDefault="00CF0715">
      <w:pPr>
        <w:pStyle w:val="Heading2"/>
        <w:numPr>
          <w:ilvl w:val="1"/>
          <w:numId w:val="1"/>
        </w:numPr>
        <w:tabs>
          <w:tab w:val="left" w:pos="460"/>
        </w:tabs>
      </w:pPr>
      <w:r>
        <w:t>Calculation of target variable</w:t>
      </w:r>
    </w:p>
    <w:p w:rsidR="009508F7" w:rsidRDefault="00CF0715">
      <w:pPr>
        <w:pStyle w:val="BodyText"/>
        <w:spacing w:before="54" w:line="288" w:lineRule="auto"/>
        <w:ind w:left="100"/>
      </w:pPr>
      <w:r>
        <w:t>Player improvement year over year was not a feature in the dataset, and had to be calculated. I chose to calculate t</w:t>
      </w:r>
      <w:r>
        <w:t>he difference of win shares between two consecutive years as the target</w:t>
      </w:r>
    </w:p>
    <w:p w:rsidR="009508F7" w:rsidRDefault="009508F7">
      <w:pPr>
        <w:spacing w:line="288" w:lineRule="auto"/>
        <w:sectPr w:rsidR="009508F7">
          <w:pgSz w:w="12240" w:h="15840"/>
          <w:pgMar w:top="1380" w:right="1300" w:bottom="280" w:left="1340" w:header="720" w:footer="720" w:gutter="0"/>
          <w:cols w:space="720"/>
        </w:sectPr>
      </w:pPr>
    </w:p>
    <w:p w:rsidR="009508F7" w:rsidRDefault="00CF0715">
      <w:pPr>
        <w:pStyle w:val="BodyText"/>
        <w:spacing w:before="61" w:line="288" w:lineRule="auto"/>
        <w:ind w:left="100" w:right="138"/>
        <w:jc w:val="both"/>
      </w:pPr>
      <w:r>
        <w:lastRenderedPageBreak/>
        <w:t>variable. Win shares were chosen out of a few metrics because it is the most interpretable, after all, we play basketball to win. Calculated player improvement had a normal d</w:t>
      </w:r>
      <w:r>
        <w:t>istribution centered around 0, with most values between -6 and 6. To verify if this calculation is consistent with people’s eye-test of player improvement, I plotted the rank of improvement of past Most Improved Players winners among all players, and found</w:t>
      </w:r>
      <w:r>
        <w:t xml:space="preserve"> that in most cases, they were among the most improved players (Figure 1). This suggested that the chosen metric of player improvement, was a reasonable one.</w:t>
      </w:r>
    </w:p>
    <w:p w:rsidR="009508F7" w:rsidRDefault="009508F7">
      <w:pPr>
        <w:pStyle w:val="BodyText"/>
        <w:spacing w:before="11"/>
        <w:rPr>
          <w:sz w:val="27"/>
        </w:rPr>
      </w:pPr>
    </w:p>
    <w:p w:rsidR="009508F7" w:rsidRDefault="00CF0715">
      <w:pPr>
        <w:pStyle w:val="Heading2"/>
        <w:numPr>
          <w:ilvl w:val="1"/>
          <w:numId w:val="1"/>
        </w:numPr>
        <w:tabs>
          <w:tab w:val="left" w:pos="460"/>
        </w:tabs>
      </w:pPr>
      <w:r>
        <w:t>Relationship between improvement and age</w:t>
      </w:r>
    </w:p>
    <w:p w:rsidR="009508F7" w:rsidRDefault="00CF0715">
      <w:pPr>
        <w:pStyle w:val="BodyText"/>
        <w:spacing w:before="54" w:line="288" w:lineRule="auto"/>
        <w:ind w:left="100" w:right="141"/>
        <w:jc w:val="both"/>
      </w:pPr>
      <w:r>
        <w:t>It is widely accepted that younger players are more likely to improve than older players, and it was indeed supported by our data. Players’ median improvement declined as players’ age increased (Figure 2), and the mean improvement of different age groups (</w:t>
      </w:r>
      <w:r>
        <w:t>&lt;25, 25-29, 30-34,</w:t>
      </w:r>
    </w:p>
    <w:p w:rsidR="009508F7" w:rsidRDefault="00CF0715">
      <w:pPr>
        <w:pStyle w:val="BodyText"/>
        <w:spacing w:line="288" w:lineRule="auto"/>
        <w:ind w:left="100" w:right="141"/>
        <w:jc w:val="both"/>
      </w:pPr>
      <w:r>
        <w:t>&gt;35) were all significantly different from each other (z-test, p&lt;0.001, except for 30-34 vs. &gt;35, p=0.002).</w:t>
      </w:r>
    </w:p>
    <w:p w:rsidR="009508F7" w:rsidRDefault="009508F7">
      <w:pPr>
        <w:pStyle w:val="BodyText"/>
        <w:rPr>
          <w:sz w:val="20"/>
        </w:rPr>
      </w:pPr>
    </w:p>
    <w:p w:rsidR="009508F7" w:rsidRDefault="00CF0715">
      <w:pPr>
        <w:pStyle w:val="BodyText"/>
        <w:spacing w:before="4"/>
        <w:rPr>
          <w:sz w:val="12"/>
        </w:rPr>
      </w:pPr>
      <w:r>
        <w:rPr>
          <w:noProof/>
        </w:rPr>
        <w:drawing>
          <wp:anchor distT="0" distB="0" distL="0" distR="0" simplePos="0" relativeHeight="251658240" behindDoc="0" locked="0" layoutInCell="1" allowOverlap="1">
            <wp:simplePos x="0" y="0"/>
            <wp:positionH relativeFrom="page">
              <wp:posOffset>977750</wp:posOffset>
            </wp:positionH>
            <wp:positionV relativeFrom="paragraph">
              <wp:posOffset>115358</wp:posOffset>
            </wp:positionV>
            <wp:extent cx="5896645" cy="3469576"/>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5896645" cy="3469576"/>
                    </a:xfrm>
                    <a:prstGeom prst="rect">
                      <a:avLst/>
                    </a:prstGeom>
                  </pic:spPr>
                </pic:pic>
              </a:graphicData>
            </a:graphic>
          </wp:anchor>
        </w:drawing>
      </w:r>
    </w:p>
    <w:p w:rsidR="009508F7" w:rsidRDefault="00CF0715">
      <w:pPr>
        <w:spacing w:before="153"/>
        <w:ind w:left="355"/>
      </w:pPr>
      <w:r>
        <w:t>Figure 1. Rank of delta-win-share of Most Improved Players winners among all players of each year</w:t>
      </w:r>
    </w:p>
    <w:p w:rsidR="009508F7" w:rsidRDefault="009508F7">
      <w:pPr>
        <w:sectPr w:rsidR="009508F7">
          <w:pgSz w:w="12240" w:h="15840"/>
          <w:pgMar w:top="1380" w:right="1300" w:bottom="280" w:left="1340" w:header="720" w:footer="720" w:gutter="0"/>
          <w:cols w:space="720"/>
        </w:sectPr>
      </w:pPr>
    </w:p>
    <w:p w:rsidR="009508F7" w:rsidRDefault="009508F7">
      <w:pPr>
        <w:pStyle w:val="BodyText"/>
        <w:spacing w:before="6"/>
        <w:rPr>
          <w:sz w:val="4"/>
        </w:rPr>
      </w:pPr>
    </w:p>
    <w:p w:rsidR="009508F7" w:rsidRDefault="00CF0715">
      <w:pPr>
        <w:pStyle w:val="BodyText"/>
        <w:ind w:left="239"/>
        <w:rPr>
          <w:sz w:val="20"/>
        </w:rPr>
      </w:pPr>
      <w:r>
        <w:rPr>
          <w:noProof/>
          <w:sz w:val="20"/>
        </w:rPr>
        <w:drawing>
          <wp:inline distT="0" distB="0" distL="0" distR="0">
            <wp:extent cx="5852940" cy="3137154"/>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5852940" cy="3137154"/>
                    </a:xfrm>
                    <a:prstGeom prst="rect">
                      <a:avLst/>
                    </a:prstGeom>
                  </pic:spPr>
                </pic:pic>
              </a:graphicData>
            </a:graphic>
          </wp:inline>
        </w:drawing>
      </w:r>
    </w:p>
    <w:p w:rsidR="009508F7" w:rsidRDefault="009508F7">
      <w:pPr>
        <w:pStyle w:val="BodyText"/>
        <w:spacing w:before="4"/>
        <w:rPr>
          <w:sz w:val="8"/>
        </w:rPr>
      </w:pPr>
    </w:p>
    <w:p w:rsidR="009508F7" w:rsidRDefault="00CF0715">
      <w:pPr>
        <w:spacing w:before="90"/>
        <w:ind w:left="1990"/>
      </w:pPr>
      <w:r>
        <w:t xml:space="preserve">Figure 2. Box </w:t>
      </w:r>
      <w:r>
        <w:t>plot of improvement of players of different ages.</w:t>
      </w:r>
    </w:p>
    <w:p w:rsidR="009508F7" w:rsidRDefault="009508F7">
      <w:pPr>
        <w:pStyle w:val="BodyText"/>
      </w:pPr>
    </w:p>
    <w:p w:rsidR="009508F7" w:rsidRDefault="009508F7">
      <w:pPr>
        <w:pStyle w:val="BodyText"/>
        <w:spacing w:before="7"/>
        <w:rPr>
          <w:sz w:val="34"/>
        </w:rPr>
      </w:pPr>
    </w:p>
    <w:p w:rsidR="009508F7" w:rsidRDefault="00CF0715">
      <w:pPr>
        <w:pStyle w:val="Heading2"/>
        <w:numPr>
          <w:ilvl w:val="1"/>
          <w:numId w:val="1"/>
        </w:numPr>
        <w:tabs>
          <w:tab w:val="left" w:pos="520"/>
        </w:tabs>
        <w:ind w:left="520" w:hanging="420"/>
      </w:pPr>
      <w:r>
        <w:t>Relationship between improvement and overall ability</w:t>
      </w:r>
    </w:p>
    <w:p w:rsidR="009508F7" w:rsidRDefault="00CF0715">
      <w:pPr>
        <w:pStyle w:val="BodyText"/>
        <w:spacing w:before="54" w:line="288" w:lineRule="auto"/>
        <w:ind w:left="100" w:right="140"/>
        <w:jc w:val="both"/>
      </w:pPr>
      <w:r>
        <w:t>The hypothesis here is that players who are already stars don’t have much room to improve, while a mediocre player can still improve. Our data were con</w:t>
      </w:r>
      <w:r>
        <w:t xml:space="preserve">sistent with this hypothesis. </w:t>
      </w:r>
      <w:r>
        <w:rPr>
          <w:spacing w:val="-3"/>
        </w:rPr>
        <w:t xml:space="preserve">Using </w:t>
      </w:r>
      <w:r>
        <w:t xml:space="preserve">win share per 48 minutes (WS/48) as a measure of a player’s overall ability, I observed a negative relationship between a player’s overall ability and his improvement next season (Figure 3). The mean improvement of star </w:t>
      </w:r>
      <w:r>
        <w:t xml:space="preserve">players (WS/48 &gt; 0.2), solid players (WS/48 between 0.1 </w:t>
      </w:r>
      <w:r>
        <w:rPr>
          <w:spacing w:val="-4"/>
        </w:rPr>
        <w:t xml:space="preserve">and </w:t>
      </w:r>
      <w:r>
        <w:t xml:space="preserve">0.2), rotational players (WS/48 between 0 and 0.1), and “scrubs” (WS/48 below 0) </w:t>
      </w:r>
      <w:r>
        <w:rPr>
          <w:spacing w:val="-5"/>
        </w:rPr>
        <w:t xml:space="preserve">were </w:t>
      </w:r>
      <w:r>
        <w:t>significantly different from each other (z-test, p&lt;0.001) (Figure 4).</w:t>
      </w:r>
    </w:p>
    <w:p w:rsidR="009508F7" w:rsidRDefault="009508F7">
      <w:pPr>
        <w:pStyle w:val="BodyText"/>
        <w:spacing w:before="11"/>
        <w:rPr>
          <w:sz w:val="27"/>
        </w:rPr>
      </w:pPr>
    </w:p>
    <w:p w:rsidR="009508F7" w:rsidRDefault="00CF0715">
      <w:pPr>
        <w:pStyle w:val="Heading2"/>
        <w:numPr>
          <w:ilvl w:val="1"/>
          <w:numId w:val="1"/>
        </w:numPr>
        <w:tabs>
          <w:tab w:val="left" w:pos="460"/>
        </w:tabs>
      </w:pPr>
      <w:r>
        <w:t>Relationship between improvement and minutes played</w:t>
      </w:r>
    </w:p>
    <w:p w:rsidR="009508F7" w:rsidRDefault="00CF0715">
      <w:pPr>
        <w:pStyle w:val="BodyText"/>
        <w:spacing w:before="54" w:line="288" w:lineRule="auto"/>
        <w:ind w:left="100" w:right="141"/>
        <w:jc w:val="both"/>
      </w:pPr>
      <w:r>
        <w:t xml:space="preserve">I hypothesized that players with less playing time might be more likely to improve. If a team recognizes a player's positive contribution during his limited time, he is likely to get </w:t>
      </w:r>
      <w:r>
        <w:rPr>
          <w:spacing w:val="-5"/>
        </w:rPr>
        <w:t xml:space="preserve">more </w:t>
      </w:r>
      <w:r>
        <w:t>playing time, an</w:t>
      </w:r>
      <w:r>
        <w:t xml:space="preserve">d therefore increase his production and/or improve his skills. On the other </w:t>
      </w:r>
      <w:r>
        <w:rPr>
          <w:spacing w:val="-3"/>
        </w:rPr>
        <w:t xml:space="preserve">hand, </w:t>
      </w:r>
      <w:r>
        <w:t xml:space="preserve">if a good player is already a starter, he is already playing a lot of minutes and can't get </w:t>
      </w:r>
      <w:r>
        <w:rPr>
          <w:spacing w:val="-4"/>
        </w:rPr>
        <w:t xml:space="preserve">more </w:t>
      </w:r>
      <w:r>
        <w:t xml:space="preserve">playing time. After inspecting the data, it was true that players who played </w:t>
      </w:r>
      <w:r>
        <w:t xml:space="preserve">less than 25 minutes </w:t>
      </w:r>
      <w:r>
        <w:rPr>
          <w:spacing w:val="-14"/>
        </w:rPr>
        <w:t xml:space="preserve">a </w:t>
      </w:r>
      <w:r>
        <w:t xml:space="preserve">game had statistically higher improvement than those who played more than 25 minutes a game (z-test, p&lt;0.001). However, the actual difference of mean between the two groups was </w:t>
      </w:r>
      <w:r>
        <w:rPr>
          <w:spacing w:val="-3"/>
        </w:rPr>
        <w:t xml:space="preserve">small </w:t>
      </w:r>
      <w:r>
        <w:t>(~0.7).</w:t>
      </w:r>
    </w:p>
    <w:p w:rsidR="009508F7" w:rsidRDefault="009508F7">
      <w:pPr>
        <w:spacing w:line="288" w:lineRule="auto"/>
        <w:jc w:val="both"/>
        <w:sectPr w:rsidR="009508F7">
          <w:pgSz w:w="12240" w:h="15840"/>
          <w:pgMar w:top="1500" w:right="1300" w:bottom="280" w:left="1340" w:header="720" w:footer="720" w:gutter="0"/>
          <w:cols w:space="720"/>
        </w:sectPr>
      </w:pPr>
    </w:p>
    <w:p w:rsidR="009508F7" w:rsidRDefault="00CF0715">
      <w:pPr>
        <w:pStyle w:val="Heading2"/>
        <w:numPr>
          <w:ilvl w:val="1"/>
          <w:numId w:val="1"/>
        </w:numPr>
        <w:tabs>
          <w:tab w:val="left" w:pos="460"/>
        </w:tabs>
        <w:spacing w:before="61"/>
      </w:pPr>
      <w:r>
        <w:lastRenderedPageBreak/>
        <w:t>Relationship between improvement</w:t>
      </w:r>
      <w:r>
        <w:t xml:space="preserve"> and games played</w:t>
      </w:r>
    </w:p>
    <w:p w:rsidR="009508F7" w:rsidRDefault="00CF0715">
      <w:pPr>
        <w:pStyle w:val="BodyText"/>
        <w:spacing w:before="54" w:line="288" w:lineRule="auto"/>
        <w:ind w:left="100" w:right="138"/>
        <w:jc w:val="both"/>
      </w:pPr>
      <w:r>
        <w:t xml:space="preserve">I observed a negative relationship between player improvement and the games played (Figure 5). If a good player missed significant numbers of games, it was probably because of injury, </w:t>
      </w:r>
      <w:r>
        <w:rPr>
          <w:spacing w:val="-4"/>
        </w:rPr>
        <w:t xml:space="preserve">which </w:t>
      </w:r>
      <w:r>
        <w:t xml:space="preserve">might have negatively impacted his performance. </w:t>
      </w:r>
      <w:r>
        <w:t xml:space="preserve">He might return to his former form </w:t>
      </w:r>
      <w:r>
        <w:rPr>
          <w:spacing w:val="-4"/>
        </w:rPr>
        <w:t xml:space="preserve">next </w:t>
      </w:r>
      <w:r>
        <w:t xml:space="preserve">season, and therefore improve. Players who played fewer than 50 games were more likely </w:t>
      </w:r>
      <w:r>
        <w:rPr>
          <w:spacing w:val="-8"/>
        </w:rPr>
        <w:t xml:space="preserve">to </w:t>
      </w:r>
      <w:r>
        <w:t>improve than those who played more than 50 games. (z-test, p&lt;0.001, difference of mean=1.3).</w:t>
      </w:r>
    </w:p>
    <w:p w:rsidR="009508F7" w:rsidRDefault="009508F7">
      <w:pPr>
        <w:pStyle w:val="BodyText"/>
        <w:rPr>
          <w:sz w:val="20"/>
        </w:rPr>
      </w:pPr>
    </w:p>
    <w:p w:rsidR="009508F7" w:rsidRDefault="009508F7">
      <w:pPr>
        <w:pStyle w:val="BodyText"/>
        <w:rPr>
          <w:sz w:val="20"/>
        </w:rPr>
      </w:pPr>
    </w:p>
    <w:p w:rsidR="009508F7" w:rsidRDefault="00CF0715">
      <w:pPr>
        <w:pStyle w:val="BodyText"/>
        <w:rPr>
          <w:sz w:val="23"/>
        </w:rPr>
      </w:pPr>
      <w:r>
        <w:rPr>
          <w:noProof/>
        </w:rPr>
        <w:drawing>
          <wp:anchor distT="0" distB="0" distL="0" distR="0" simplePos="0" relativeHeight="251659264" behindDoc="0" locked="0" layoutInCell="1" allowOverlap="1">
            <wp:simplePos x="0" y="0"/>
            <wp:positionH relativeFrom="page">
              <wp:posOffset>2115961</wp:posOffset>
            </wp:positionH>
            <wp:positionV relativeFrom="paragraph">
              <wp:posOffset>192847</wp:posOffset>
            </wp:positionV>
            <wp:extent cx="3531662" cy="3509581"/>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3531662" cy="3509581"/>
                    </a:xfrm>
                    <a:prstGeom prst="rect">
                      <a:avLst/>
                    </a:prstGeom>
                  </pic:spPr>
                </pic:pic>
              </a:graphicData>
            </a:graphic>
          </wp:anchor>
        </w:drawing>
      </w:r>
    </w:p>
    <w:p w:rsidR="009508F7" w:rsidRDefault="009508F7">
      <w:pPr>
        <w:pStyle w:val="BodyText"/>
        <w:spacing w:before="5"/>
        <w:rPr>
          <w:sz w:val="8"/>
        </w:rPr>
      </w:pPr>
    </w:p>
    <w:p w:rsidR="009508F7" w:rsidRDefault="00CF0715">
      <w:pPr>
        <w:spacing w:before="91"/>
        <w:ind w:left="190"/>
      </w:pPr>
      <w:r>
        <w:t>Figure</w:t>
      </w:r>
      <w:r>
        <w:rPr>
          <w:spacing w:val="-6"/>
        </w:rPr>
        <w:t xml:space="preserve"> </w:t>
      </w:r>
      <w:r>
        <w:t>3.</w:t>
      </w:r>
      <w:r>
        <w:rPr>
          <w:spacing w:val="-5"/>
        </w:rPr>
        <w:t xml:space="preserve"> </w:t>
      </w:r>
      <w:r>
        <w:t>Scatter</w:t>
      </w:r>
      <w:r>
        <w:rPr>
          <w:spacing w:val="-6"/>
        </w:rPr>
        <w:t xml:space="preserve"> </w:t>
      </w:r>
      <w:r>
        <w:t>plot</w:t>
      </w:r>
      <w:r>
        <w:rPr>
          <w:spacing w:val="-5"/>
        </w:rPr>
        <w:t xml:space="preserve"> </w:t>
      </w:r>
      <w:r>
        <w:t>of</w:t>
      </w:r>
      <w:r>
        <w:rPr>
          <w:spacing w:val="-5"/>
        </w:rPr>
        <w:t xml:space="preserve"> </w:t>
      </w:r>
      <w:r>
        <w:t>im</w:t>
      </w:r>
      <w:r>
        <w:t>provement</w:t>
      </w:r>
      <w:r>
        <w:rPr>
          <w:spacing w:val="-6"/>
        </w:rPr>
        <w:t xml:space="preserve"> </w:t>
      </w:r>
      <w:r>
        <w:t>and</w:t>
      </w:r>
      <w:r>
        <w:rPr>
          <w:spacing w:val="-5"/>
        </w:rPr>
        <w:t xml:space="preserve"> </w:t>
      </w:r>
      <w:r>
        <w:t>player</w:t>
      </w:r>
      <w:r>
        <w:rPr>
          <w:spacing w:val="-5"/>
        </w:rPr>
        <w:t xml:space="preserve"> </w:t>
      </w:r>
      <w:r>
        <w:t>overall</w:t>
      </w:r>
      <w:r>
        <w:rPr>
          <w:spacing w:val="-6"/>
        </w:rPr>
        <w:t xml:space="preserve"> </w:t>
      </w:r>
      <w:r>
        <w:t>ability</w:t>
      </w:r>
      <w:r>
        <w:rPr>
          <w:spacing w:val="-5"/>
        </w:rPr>
        <w:t xml:space="preserve"> </w:t>
      </w:r>
      <w:r>
        <w:t>(measured</w:t>
      </w:r>
      <w:r>
        <w:rPr>
          <w:spacing w:val="-6"/>
        </w:rPr>
        <w:t xml:space="preserve"> </w:t>
      </w:r>
      <w:r>
        <w:t>by</w:t>
      </w:r>
      <w:r>
        <w:rPr>
          <w:spacing w:val="-5"/>
        </w:rPr>
        <w:t xml:space="preserve"> </w:t>
      </w:r>
      <w:r>
        <w:t>win</w:t>
      </w:r>
      <w:r>
        <w:rPr>
          <w:spacing w:val="-5"/>
        </w:rPr>
        <w:t xml:space="preserve"> </w:t>
      </w:r>
      <w:r>
        <w:t>share</w:t>
      </w:r>
      <w:r>
        <w:rPr>
          <w:spacing w:val="-6"/>
        </w:rPr>
        <w:t xml:space="preserve"> </w:t>
      </w:r>
      <w:r>
        <w:t>per</w:t>
      </w:r>
      <w:r>
        <w:rPr>
          <w:spacing w:val="-5"/>
        </w:rPr>
        <w:t xml:space="preserve"> </w:t>
      </w:r>
      <w:r>
        <w:t>48</w:t>
      </w:r>
      <w:r>
        <w:rPr>
          <w:spacing w:val="-5"/>
        </w:rPr>
        <w:t xml:space="preserve"> </w:t>
      </w:r>
      <w:r>
        <w:t>minutes)</w:t>
      </w:r>
    </w:p>
    <w:p w:rsidR="009508F7" w:rsidRDefault="009508F7">
      <w:pPr>
        <w:sectPr w:rsidR="009508F7">
          <w:pgSz w:w="12240" w:h="15840"/>
          <w:pgMar w:top="1380" w:right="1300" w:bottom="280" w:left="1340" w:header="720" w:footer="720" w:gutter="0"/>
          <w:cols w:space="720"/>
        </w:sectPr>
      </w:pPr>
    </w:p>
    <w:p w:rsidR="009508F7" w:rsidRDefault="009508F7">
      <w:pPr>
        <w:pStyle w:val="BodyText"/>
        <w:spacing w:before="10"/>
        <w:rPr>
          <w:sz w:val="4"/>
        </w:rPr>
      </w:pPr>
    </w:p>
    <w:p w:rsidR="009508F7" w:rsidRDefault="00CF0715">
      <w:pPr>
        <w:pStyle w:val="BodyText"/>
        <w:ind w:left="861"/>
        <w:rPr>
          <w:sz w:val="20"/>
        </w:rPr>
      </w:pPr>
      <w:r>
        <w:rPr>
          <w:noProof/>
          <w:sz w:val="20"/>
        </w:rPr>
        <w:drawing>
          <wp:inline distT="0" distB="0" distL="0" distR="0">
            <wp:extent cx="5000597" cy="3291840"/>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5000597" cy="3291840"/>
                    </a:xfrm>
                    <a:prstGeom prst="rect">
                      <a:avLst/>
                    </a:prstGeom>
                  </pic:spPr>
                </pic:pic>
              </a:graphicData>
            </a:graphic>
          </wp:inline>
        </w:drawing>
      </w:r>
    </w:p>
    <w:p w:rsidR="009508F7" w:rsidRDefault="009508F7">
      <w:pPr>
        <w:pStyle w:val="BodyText"/>
        <w:spacing w:before="8"/>
        <w:rPr>
          <w:sz w:val="7"/>
        </w:rPr>
      </w:pPr>
    </w:p>
    <w:p w:rsidR="009508F7" w:rsidRDefault="00CF0715">
      <w:pPr>
        <w:spacing w:before="91"/>
        <w:ind w:left="415"/>
      </w:pPr>
      <w:r>
        <w:t>Figure 4. Histogram of player improvement separated into 4 groups based on how good a player is.</w:t>
      </w:r>
    </w:p>
    <w:p w:rsidR="009508F7" w:rsidRDefault="009508F7">
      <w:pPr>
        <w:pStyle w:val="BodyText"/>
        <w:rPr>
          <w:sz w:val="20"/>
        </w:rPr>
      </w:pPr>
    </w:p>
    <w:p w:rsidR="009508F7" w:rsidRDefault="00CF0715">
      <w:pPr>
        <w:pStyle w:val="BodyText"/>
        <w:spacing w:before="9"/>
        <w:rPr>
          <w:sz w:val="16"/>
        </w:rPr>
      </w:pPr>
      <w:r>
        <w:rPr>
          <w:noProof/>
        </w:rPr>
        <w:drawing>
          <wp:anchor distT="0" distB="0" distL="0" distR="0" simplePos="0" relativeHeight="2" behindDoc="0" locked="0" layoutInCell="1" allowOverlap="1">
            <wp:simplePos x="0" y="0"/>
            <wp:positionH relativeFrom="page">
              <wp:posOffset>1905000</wp:posOffset>
            </wp:positionH>
            <wp:positionV relativeFrom="paragraph">
              <wp:posOffset>147670</wp:posOffset>
            </wp:positionV>
            <wp:extent cx="3971925" cy="3943350"/>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3971925" cy="3943350"/>
                    </a:xfrm>
                    <a:prstGeom prst="rect">
                      <a:avLst/>
                    </a:prstGeom>
                  </pic:spPr>
                </pic:pic>
              </a:graphicData>
            </a:graphic>
          </wp:anchor>
        </w:drawing>
      </w:r>
    </w:p>
    <w:p w:rsidR="009508F7" w:rsidRDefault="00CF0715">
      <w:pPr>
        <w:spacing w:before="155"/>
        <w:ind w:left="1960"/>
      </w:pPr>
      <w:r>
        <w:t>Figure 5. Scatter plot of player improvement and games played.</w:t>
      </w:r>
    </w:p>
    <w:p w:rsidR="009508F7" w:rsidRDefault="009508F7">
      <w:pPr>
        <w:sectPr w:rsidR="009508F7">
          <w:pgSz w:w="12240" w:h="15840"/>
          <w:pgMar w:top="1500" w:right="1300" w:bottom="280" w:left="1340" w:header="720" w:footer="720" w:gutter="0"/>
          <w:cols w:space="720"/>
        </w:sectPr>
      </w:pPr>
    </w:p>
    <w:p w:rsidR="009508F7" w:rsidRDefault="00CF0715">
      <w:pPr>
        <w:pStyle w:val="Heading2"/>
        <w:numPr>
          <w:ilvl w:val="1"/>
          <w:numId w:val="1"/>
        </w:numPr>
        <w:tabs>
          <w:tab w:val="left" w:pos="460"/>
        </w:tabs>
        <w:spacing w:before="61"/>
      </w:pPr>
      <w:r>
        <w:lastRenderedPageBreak/>
        <w:t>Relationship between improvement and positions</w:t>
      </w:r>
    </w:p>
    <w:p w:rsidR="009508F7" w:rsidRDefault="00CF0715">
      <w:pPr>
        <w:pStyle w:val="BodyText"/>
        <w:spacing w:before="54" w:line="288" w:lineRule="auto"/>
        <w:ind w:left="100" w:right="144"/>
        <w:jc w:val="both"/>
      </w:pPr>
      <w:r>
        <w:t>There is this myth among NBA fans that frontcourt players take longer to adapt to the NBA than backcourt players, therefore they would h</w:t>
      </w:r>
      <w:r>
        <w:t>ave smaller improvement in the first few years. I transformed the feature of player position into a binary feature (frontcourt vs. backcourt players) and found that there was no difference between frontcourt and backcourt players in their improvements, eve</w:t>
      </w:r>
      <w:r>
        <w:t>n in their first 2 years (z-test, p=0.34)</w:t>
      </w:r>
    </w:p>
    <w:p w:rsidR="009508F7" w:rsidRDefault="009508F7">
      <w:pPr>
        <w:pStyle w:val="BodyText"/>
        <w:spacing w:before="2"/>
        <w:rPr>
          <w:sz w:val="28"/>
        </w:rPr>
      </w:pPr>
    </w:p>
    <w:p w:rsidR="009508F7" w:rsidRDefault="00CF0715">
      <w:pPr>
        <w:pStyle w:val="Heading2"/>
        <w:numPr>
          <w:ilvl w:val="1"/>
          <w:numId w:val="1"/>
        </w:numPr>
        <w:tabs>
          <w:tab w:val="left" w:pos="460"/>
        </w:tabs>
      </w:pPr>
      <w:r>
        <w:t>Relationship between improvement and last year’s improvement</w:t>
      </w:r>
    </w:p>
    <w:p w:rsidR="009508F7" w:rsidRDefault="00CF0715">
      <w:pPr>
        <w:pStyle w:val="BodyText"/>
        <w:spacing w:before="54" w:line="288" w:lineRule="auto"/>
        <w:ind w:left="100" w:right="138"/>
        <w:jc w:val="both"/>
      </w:pPr>
      <w:r>
        <w:t xml:space="preserve">I hypothesized that a player’s improvement might be correlated with his previous </w:t>
      </w:r>
      <w:r>
        <w:rPr>
          <w:spacing w:val="-2"/>
        </w:rPr>
        <w:t xml:space="preserve">improvement, </w:t>
      </w:r>
      <w:r>
        <w:t>because younger players might improve continuously for a f</w:t>
      </w:r>
      <w:r>
        <w:t xml:space="preserve">ew years, and older players </w:t>
      </w:r>
      <w:r>
        <w:rPr>
          <w:spacing w:val="-3"/>
        </w:rPr>
        <w:t xml:space="preserve">might </w:t>
      </w:r>
      <w:r>
        <w:t xml:space="preserve">decline for a few years straight. It turned out that the relationship between improvement </w:t>
      </w:r>
      <w:r>
        <w:rPr>
          <w:spacing w:val="-4"/>
        </w:rPr>
        <w:t>and</w:t>
      </w:r>
      <w:r>
        <w:rPr>
          <w:spacing w:val="52"/>
        </w:rPr>
        <w:t xml:space="preserve"> </w:t>
      </w:r>
      <w:r>
        <w:t xml:space="preserve">prior improvement was negative (Figure 6). In other words, more often than not, a player </w:t>
      </w:r>
      <w:r>
        <w:rPr>
          <w:spacing w:val="-5"/>
        </w:rPr>
        <w:t xml:space="preserve">will </w:t>
      </w:r>
      <w:r>
        <w:t xml:space="preserve">“regress to the mean” rather than </w:t>
      </w:r>
      <w:r>
        <w:t>continuously improve or decline.</w:t>
      </w:r>
    </w:p>
    <w:p w:rsidR="009508F7" w:rsidRDefault="009508F7">
      <w:pPr>
        <w:pStyle w:val="BodyText"/>
        <w:rPr>
          <w:sz w:val="20"/>
        </w:rPr>
      </w:pPr>
    </w:p>
    <w:p w:rsidR="009508F7" w:rsidRDefault="00CF0715">
      <w:pPr>
        <w:pStyle w:val="BodyText"/>
        <w:spacing w:before="1"/>
        <w:rPr>
          <w:sz w:val="15"/>
        </w:rPr>
      </w:pPr>
      <w:r>
        <w:rPr>
          <w:noProof/>
        </w:rPr>
        <w:drawing>
          <wp:anchor distT="0" distB="0" distL="0" distR="0" simplePos="0" relativeHeight="3" behindDoc="0" locked="0" layoutInCell="1" allowOverlap="1">
            <wp:simplePos x="0" y="0"/>
            <wp:positionH relativeFrom="page">
              <wp:posOffset>1905000</wp:posOffset>
            </wp:positionH>
            <wp:positionV relativeFrom="paragraph">
              <wp:posOffset>135493</wp:posOffset>
            </wp:positionV>
            <wp:extent cx="3971925" cy="394335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3971925" cy="3943350"/>
                    </a:xfrm>
                    <a:prstGeom prst="rect">
                      <a:avLst/>
                    </a:prstGeom>
                  </pic:spPr>
                </pic:pic>
              </a:graphicData>
            </a:graphic>
          </wp:anchor>
        </w:drawing>
      </w:r>
    </w:p>
    <w:p w:rsidR="009508F7" w:rsidRDefault="009508F7">
      <w:pPr>
        <w:pStyle w:val="BodyText"/>
        <w:spacing w:before="11"/>
        <w:rPr>
          <w:sz w:val="6"/>
        </w:rPr>
      </w:pPr>
    </w:p>
    <w:p w:rsidR="009508F7" w:rsidRDefault="00CF0715">
      <w:pPr>
        <w:spacing w:before="90"/>
        <w:ind w:left="1810"/>
      </w:pPr>
      <w:r>
        <w:t>Figure 6. Scatter plot of player improvement and that of last season</w:t>
      </w:r>
    </w:p>
    <w:p w:rsidR="009508F7" w:rsidRDefault="009508F7">
      <w:pPr>
        <w:sectPr w:rsidR="009508F7">
          <w:pgSz w:w="12240" w:h="15840"/>
          <w:pgMar w:top="1380" w:right="1300" w:bottom="280" w:left="1340" w:header="720" w:footer="720" w:gutter="0"/>
          <w:cols w:space="720"/>
        </w:sectPr>
      </w:pPr>
    </w:p>
    <w:p w:rsidR="009508F7" w:rsidRDefault="00CF0715">
      <w:pPr>
        <w:pStyle w:val="Heading2"/>
        <w:numPr>
          <w:ilvl w:val="1"/>
          <w:numId w:val="1"/>
        </w:numPr>
        <w:tabs>
          <w:tab w:val="left" w:pos="460"/>
        </w:tabs>
        <w:spacing w:before="61"/>
      </w:pPr>
      <w:r>
        <w:lastRenderedPageBreak/>
        <w:t>Relationship between improvement and draft positions</w:t>
      </w:r>
    </w:p>
    <w:p w:rsidR="009508F7" w:rsidRDefault="00CF0715">
      <w:pPr>
        <w:pStyle w:val="BodyText"/>
        <w:spacing w:before="54" w:line="288" w:lineRule="auto"/>
        <w:ind w:left="100" w:right="145"/>
        <w:jc w:val="both"/>
      </w:pPr>
      <w:r>
        <w:t>I, as many other basketball fans, thought that players drafted earlier are generally mo</w:t>
      </w:r>
      <w:r>
        <w:t xml:space="preserve">re </w:t>
      </w:r>
      <w:r>
        <w:rPr>
          <w:spacing w:val="-3"/>
        </w:rPr>
        <w:t xml:space="preserve">talented </w:t>
      </w:r>
      <w:r>
        <w:t xml:space="preserve">and therefore more likely to improve than players drafted later, at least in their early years. </w:t>
      </w:r>
      <w:r>
        <w:rPr>
          <w:spacing w:val="-9"/>
        </w:rPr>
        <w:t xml:space="preserve">It </w:t>
      </w:r>
      <w:r>
        <w:t xml:space="preserve">turned out this was only true for a few really young and talented players (Figure 7) . </w:t>
      </w:r>
      <w:r>
        <w:rPr>
          <w:spacing w:val="-3"/>
        </w:rPr>
        <w:t xml:space="preserve">Players </w:t>
      </w:r>
      <w:r>
        <w:t>under the age 20 with different draft positions di</w:t>
      </w:r>
      <w:r>
        <w:t>d not have statistically different improvement (z-test, p=0.16).</w:t>
      </w:r>
    </w:p>
    <w:p w:rsidR="009508F7" w:rsidRDefault="009508F7">
      <w:pPr>
        <w:pStyle w:val="BodyText"/>
        <w:spacing w:before="2"/>
        <w:rPr>
          <w:sz w:val="28"/>
        </w:rPr>
      </w:pPr>
    </w:p>
    <w:p w:rsidR="009508F7" w:rsidRDefault="00CF0715">
      <w:pPr>
        <w:pStyle w:val="Heading2"/>
        <w:numPr>
          <w:ilvl w:val="1"/>
          <w:numId w:val="1"/>
        </w:numPr>
        <w:tabs>
          <w:tab w:val="left" w:pos="460"/>
        </w:tabs>
      </w:pPr>
      <w:r>
        <w:t>Relationship between improvement and teams</w:t>
      </w:r>
    </w:p>
    <w:p w:rsidR="009508F7" w:rsidRDefault="00CF0715">
      <w:pPr>
        <w:pStyle w:val="BodyText"/>
        <w:spacing w:before="54" w:line="288" w:lineRule="auto"/>
        <w:ind w:left="100" w:right="142"/>
        <w:jc w:val="both"/>
      </w:pPr>
      <w:r>
        <w:t xml:space="preserve">I engineered two features based on team information: was a player on a good or bad team, </w:t>
      </w:r>
      <w:r>
        <w:rPr>
          <w:spacing w:val="-5"/>
        </w:rPr>
        <w:t xml:space="preserve">and </w:t>
      </w:r>
      <w:r>
        <w:t>did the player change team next season. Player improvement and team strength (measured by total win shares) had a very weak negative relationship. Players that cha</w:t>
      </w:r>
      <w:r>
        <w:t xml:space="preserve">nged teams were </w:t>
      </w:r>
      <w:r>
        <w:rPr>
          <w:spacing w:val="-3"/>
        </w:rPr>
        <w:t xml:space="preserve">slightly </w:t>
      </w:r>
      <w:r>
        <w:t xml:space="preserve">more likely to improve than players that stayed on the same team (z-test, p&lt;0.001, difference </w:t>
      </w:r>
      <w:r>
        <w:rPr>
          <w:spacing w:val="-7"/>
        </w:rPr>
        <w:t xml:space="preserve">of </w:t>
      </w:r>
      <w:r>
        <w:t>mean = 0.2).</w:t>
      </w:r>
    </w:p>
    <w:p w:rsidR="009508F7" w:rsidRDefault="009508F7">
      <w:pPr>
        <w:pStyle w:val="BodyText"/>
        <w:rPr>
          <w:sz w:val="20"/>
        </w:rPr>
      </w:pPr>
    </w:p>
    <w:p w:rsidR="009508F7" w:rsidRDefault="00CF0715">
      <w:pPr>
        <w:pStyle w:val="BodyText"/>
        <w:spacing w:before="5"/>
        <w:rPr>
          <w:sz w:val="14"/>
        </w:rPr>
      </w:pPr>
      <w:r>
        <w:rPr>
          <w:noProof/>
        </w:rPr>
        <w:drawing>
          <wp:anchor distT="0" distB="0" distL="0" distR="0" simplePos="0" relativeHeight="4" behindDoc="0" locked="0" layoutInCell="1" allowOverlap="1">
            <wp:simplePos x="0" y="0"/>
            <wp:positionH relativeFrom="page">
              <wp:posOffset>1003169</wp:posOffset>
            </wp:positionH>
            <wp:positionV relativeFrom="paragraph">
              <wp:posOffset>130717</wp:posOffset>
            </wp:positionV>
            <wp:extent cx="5852940" cy="3137154"/>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5" cstate="print"/>
                    <a:stretch>
                      <a:fillRect/>
                    </a:stretch>
                  </pic:blipFill>
                  <pic:spPr>
                    <a:xfrm>
                      <a:off x="0" y="0"/>
                      <a:ext cx="5852940" cy="3137154"/>
                    </a:xfrm>
                    <a:prstGeom prst="rect">
                      <a:avLst/>
                    </a:prstGeom>
                  </pic:spPr>
                </pic:pic>
              </a:graphicData>
            </a:graphic>
          </wp:anchor>
        </w:drawing>
      </w:r>
    </w:p>
    <w:p w:rsidR="009508F7" w:rsidRDefault="00CF0715">
      <w:pPr>
        <w:spacing w:before="142"/>
        <w:ind w:left="1225"/>
      </w:pPr>
      <w:r>
        <w:t>Figure 7. Box plot of player improvement among different draft groups and ages</w:t>
      </w:r>
    </w:p>
    <w:p w:rsidR="009508F7" w:rsidRDefault="009508F7">
      <w:pPr>
        <w:pStyle w:val="BodyText"/>
      </w:pPr>
    </w:p>
    <w:p w:rsidR="009508F7" w:rsidRDefault="009508F7">
      <w:pPr>
        <w:pStyle w:val="BodyText"/>
      </w:pPr>
    </w:p>
    <w:p w:rsidR="009508F7" w:rsidRDefault="00CF0715">
      <w:pPr>
        <w:pStyle w:val="Heading1"/>
        <w:numPr>
          <w:ilvl w:val="0"/>
          <w:numId w:val="1"/>
        </w:numPr>
        <w:tabs>
          <w:tab w:val="left" w:pos="380"/>
        </w:tabs>
        <w:spacing w:before="189"/>
        <w:ind w:hanging="279"/>
      </w:pPr>
      <w:r>
        <w:t>Predictive</w:t>
      </w:r>
      <w:r>
        <w:rPr>
          <w:spacing w:val="-2"/>
        </w:rPr>
        <w:t xml:space="preserve"> </w:t>
      </w:r>
      <w:r>
        <w:t>Modeling</w:t>
      </w:r>
    </w:p>
    <w:p w:rsidR="009508F7" w:rsidRDefault="009508F7">
      <w:pPr>
        <w:pStyle w:val="BodyText"/>
        <w:rPr>
          <w:b/>
          <w:sz w:val="34"/>
        </w:rPr>
      </w:pPr>
    </w:p>
    <w:p w:rsidR="009508F7" w:rsidRDefault="00CF0715">
      <w:pPr>
        <w:pStyle w:val="BodyText"/>
        <w:spacing w:line="288" w:lineRule="auto"/>
        <w:ind w:left="100" w:right="139"/>
        <w:jc w:val="both"/>
      </w:pPr>
      <w:r>
        <w:t>There are two ty</w:t>
      </w:r>
      <w:r>
        <w:t xml:space="preserve">pes of models, regression and classification, that can be used to predict player improvement. Regression models can provide additional information on the amount of improvement, while classification models focus on the probabilities a player might improve. </w:t>
      </w:r>
      <w:r>
        <w:t>The underlying algorithms are similar between regression and classification models, but different</w:t>
      </w:r>
    </w:p>
    <w:p w:rsidR="009508F7" w:rsidRDefault="009508F7">
      <w:pPr>
        <w:spacing w:line="288" w:lineRule="auto"/>
        <w:jc w:val="both"/>
        <w:sectPr w:rsidR="009508F7">
          <w:pgSz w:w="12240" w:h="15840"/>
          <w:pgMar w:top="1380" w:right="1300" w:bottom="280" w:left="1340" w:header="720" w:footer="720" w:gutter="0"/>
          <w:cols w:space="720"/>
        </w:sectPr>
      </w:pPr>
    </w:p>
    <w:p w:rsidR="009508F7" w:rsidRDefault="00CF0715">
      <w:pPr>
        <w:pStyle w:val="BodyText"/>
        <w:spacing w:before="61" w:line="288" w:lineRule="auto"/>
        <w:ind w:left="100" w:right="139"/>
        <w:jc w:val="both"/>
      </w:pPr>
      <w:r>
        <w:lastRenderedPageBreak/>
        <w:t>audience might prefer one over the other. For example, an NBA team executive might be more interested in the amount of improvement (regression model</w:t>
      </w:r>
      <w:r>
        <w:t>s), but a general NBA fan might find the results of classification models more interpretable. Therefore, in this study, I carried out both regression and classification modeling.</w:t>
      </w:r>
    </w:p>
    <w:p w:rsidR="009508F7" w:rsidRDefault="009508F7">
      <w:pPr>
        <w:pStyle w:val="BodyText"/>
        <w:spacing w:before="3"/>
        <w:rPr>
          <w:sz w:val="28"/>
        </w:rPr>
      </w:pPr>
    </w:p>
    <w:p w:rsidR="009508F7" w:rsidRDefault="00CF0715">
      <w:pPr>
        <w:pStyle w:val="Heading2"/>
        <w:numPr>
          <w:ilvl w:val="1"/>
          <w:numId w:val="1"/>
        </w:numPr>
        <w:tabs>
          <w:tab w:val="left" w:pos="460"/>
        </w:tabs>
      </w:pPr>
      <w:r>
        <w:t>Regression models</w:t>
      </w:r>
    </w:p>
    <w:p w:rsidR="009508F7" w:rsidRDefault="00CF0715">
      <w:pPr>
        <w:pStyle w:val="ListParagraph"/>
        <w:numPr>
          <w:ilvl w:val="2"/>
          <w:numId w:val="1"/>
        </w:numPr>
        <w:tabs>
          <w:tab w:val="left" w:pos="640"/>
        </w:tabs>
        <w:spacing w:before="54"/>
        <w:rPr>
          <w:b/>
          <w:sz w:val="24"/>
        </w:rPr>
      </w:pPr>
      <w:r>
        <w:rPr>
          <w:b/>
          <w:sz w:val="24"/>
        </w:rPr>
        <w:t>Applying standard algorithms and their problems</w:t>
      </w:r>
    </w:p>
    <w:p w:rsidR="009508F7" w:rsidRDefault="00CF0715">
      <w:pPr>
        <w:pStyle w:val="BodyText"/>
        <w:spacing w:before="54" w:line="288" w:lineRule="auto"/>
        <w:ind w:left="100" w:right="138"/>
        <w:jc w:val="both"/>
      </w:pPr>
      <w:r>
        <w:t>I applied linear models (linear regression, Ridge regression, and Lasso regression), support vector machines (SVM), random forest, and gradient boost models to the dataset, using root mean squared error (RMSE) as the tuning and evaluation metric. The resul</w:t>
      </w:r>
      <w:r>
        <w:t>ts all had the same problems. The predicted values had much narrow range than the actual values (Figure 8), and as a result, the prediction errors were larger as the actual values deviated further from zero (Figure 9). These results were not acceptable, be</w:t>
      </w:r>
      <w:r>
        <w:t xml:space="preserve">cause players with large improvement/decline </w:t>
      </w:r>
      <w:r>
        <w:rPr>
          <w:spacing w:val="-4"/>
        </w:rPr>
        <w:t xml:space="preserve">were </w:t>
      </w:r>
      <w:r>
        <w:t xml:space="preserve">arguably more important for NBA teams to predict than players with little change </w:t>
      </w:r>
      <w:r>
        <w:rPr>
          <w:spacing w:val="-9"/>
        </w:rPr>
        <w:t xml:space="preserve">in </w:t>
      </w:r>
      <w:r>
        <w:t>performance. Having larger errors on those predictions was obviously not desirable.</w:t>
      </w:r>
    </w:p>
    <w:p w:rsidR="009508F7" w:rsidRDefault="009508F7">
      <w:pPr>
        <w:pStyle w:val="BodyText"/>
        <w:spacing w:before="10"/>
        <w:rPr>
          <w:sz w:val="27"/>
        </w:rPr>
      </w:pPr>
    </w:p>
    <w:p w:rsidR="009508F7" w:rsidRDefault="00CF0715">
      <w:pPr>
        <w:pStyle w:val="Heading2"/>
        <w:numPr>
          <w:ilvl w:val="2"/>
          <w:numId w:val="1"/>
        </w:numPr>
        <w:tabs>
          <w:tab w:val="left" w:pos="640"/>
        </w:tabs>
      </w:pPr>
      <w:r>
        <w:t>Solution to the problems</w:t>
      </w:r>
    </w:p>
    <w:p w:rsidR="009508F7" w:rsidRDefault="00CF0715">
      <w:pPr>
        <w:pStyle w:val="BodyText"/>
        <w:spacing w:before="54" w:line="288" w:lineRule="auto"/>
        <w:ind w:left="100" w:right="138"/>
        <w:jc w:val="both"/>
      </w:pPr>
      <w:r>
        <w:t>The reason b</w:t>
      </w:r>
      <w:r>
        <w:t>ehind these problems were the uneven distribution of player improvement, in that players with little improvement/decline were more common than players with big improvement/decline (Figure 8). Therefore, the models tried to prioritize minimizing errors on p</w:t>
      </w:r>
      <w:r>
        <w:t>layers with little improvement/decline when RMSE was used as the evaluation metric. My solution to this problem was to assign weights to samples based on the inverse of the abundances of target values. In other words, players with large improvement/decline</w:t>
      </w:r>
      <w:r>
        <w:t xml:space="preserve"> would have higher weights in model training and evaluation because they were more rare. Using this method, all models predicted target values with similar range and distribution as the actual target values (Figure 10).</w:t>
      </w:r>
    </w:p>
    <w:p w:rsidR="009508F7" w:rsidRDefault="009508F7">
      <w:pPr>
        <w:spacing w:line="288" w:lineRule="auto"/>
        <w:jc w:val="both"/>
        <w:sectPr w:rsidR="009508F7">
          <w:pgSz w:w="12240" w:h="15840"/>
          <w:pgMar w:top="1380" w:right="1300" w:bottom="280" w:left="1340" w:header="720" w:footer="720" w:gutter="0"/>
          <w:cols w:space="720"/>
        </w:sectPr>
      </w:pPr>
    </w:p>
    <w:p w:rsidR="009508F7" w:rsidRDefault="009508F7">
      <w:pPr>
        <w:pStyle w:val="BodyText"/>
        <w:spacing w:before="1"/>
        <w:rPr>
          <w:sz w:val="9"/>
        </w:rPr>
      </w:pPr>
    </w:p>
    <w:p w:rsidR="009508F7" w:rsidRDefault="00CF0715">
      <w:pPr>
        <w:pStyle w:val="BodyText"/>
        <w:ind w:left="1300"/>
        <w:rPr>
          <w:sz w:val="20"/>
        </w:rPr>
      </w:pPr>
      <w:r>
        <w:rPr>
          <w:noProof/>
          <w:sz w:val="20"/>
        </w:rPr>
        <w:drawing>
          <wp:inline distT="0" distB="0" distL="0" distR="0">
            <wp:extent cx="4410075" cy="2590800"/>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6" cstate="print"/>
                    <a:stretch>
                      <a:fillRect/>
                    </a:stretch>
                  </pic:blipFill>
                  <pic:spPr>
                    <a:xfrm>
                      <a:off x="0" y="0"/>
                      <a:ext cx="4410075" cy="2590800"/>
                    </a:xfrm>
                    <a:prstGeom prst="rect">
                      <a:avLst/>
                    </a:prstGeom>
                  </pic:spPr>
                </pic:pic>
              </a:graphicData>
            </a:graphic>
          </wp:inline>
        </w:drawing>
      </w:r>
    </w:p>
    <w:p w:rsidR="009508F7" w:rsidRDefault="009508F7">
      <w:pPr>
        <w:pStyle w:val="BodyText"/>
        <w:spacing w:before="9"/>
        <w:rPr>
          <w:sz w:val="10"/>
        </w:rPr>
      </w:pPr>
    </w:p>
    <w:p w:rsidR="009508F7" w:rsidRDefault="00CF0715">
      <w:pPr>
        <w:spacing w:before="90" w:line="285" w:lineRule="auto"/>
        <w:ind w:left="4390" w:hanging="4215"/>
      </w:pPr>
      <w:r>
        <w:t>Figure 8. Distribution</w:t>
      </w:r>
      <w:r>
        <w:t xml:space="preserve"> of actual and predicted improvement using linear regression with equal weights of samples.</w:t>
      </w:r>
    </w:p>
    <w:p w:rsidR="009508F7" w:rsidRDefault="009508F7">
      <w:pPr>
        <w:pStyle w:val="BodyText"/>
        <w:rPr>
          <w:sz w:val="20"/>
        </w:rPr>
      </w:pPr>
    </w:p>
    <w:p w:rsidR="009508F7" w:rsidRDefault="00CF0715">
      <w:pPr>
        <w:pStyle w:val="BodyText"/>
        <w:spacing w:before="6"/>
        <w:rPr>
          <w:sz w:val="12"/>
        </w:rPr>
      </w:pPr>
      <w:r>
        <w:rPr>
          <w:noProof/>
        </w:rPr>
        <w:drawing>
          <wp:anchor distT="0" distB="0" distL="0" distR="0" simplePos="0" relativeHeight="5" behindDoc="0" locked="0" layoutInCell="1" allowOverlap="1">
            <wp:simplePos x="0" y="0"/>
            <wp:positionH relativeFrom="page">
              <wp:posOffset>1866900</wp:posOffset>
            </wp:positionH>
            <wp:positionV relativeFrom="paragraph">
              <wp:posOffset>116802</wp:posOffset>
            </wp:positionV>
            <wp:extent cx="4038600" cy="2371725"/>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7" cstate="print"/>
                    <a:stretch>
                      <a:fillRect/>
                    </a:stretch>
                  </pic:blipFill>
                  <pic:spPr>
                    <a:xfrm>
                      <a:off x="0" y="0"/>
                      <a:ext cx="4038600" cy="2371725"/>
                    </a:xfrm>
                    <a:prstGeom prst="rect">
                      <a:avLst/>
                    </a:prstGeom>
                  </pic:spPr>
                </pic:pic>
              </a:graphicData>
            </a:graphic>
          </wp:anchor>
        </w:drawing>
      </w:r>
    </w:p>
    <w:p w:rsidR="009508F7" w:rsidRDefault="009508F7">
      <w:pPr>
        <w:pStyle w:val="BodyText"/>
        <w:spacing w:before="11"/>
        <w:rPr>
          <w:sz w:val="6"/>
        </w:rPr>
      </w:pPr>
    </w:p>
    <w:p w:rsidR="009508F7" w:rsidRDefault="00CF0715">
      <w:pPr>
        <w:spacing w:before="90" w:line="285" w:lineRule="auto"/>
        <w:ind w:left="3895" w:hanging="3435"/>
      </w:pPr>
      <w:r>
        <w:t>Figure 9. Scatterplot of prediction errors vs. actual target values using linear regression with equal weights of samples.</w:t>
      </w:r>
    </w:p>
    <w:p w:rsidR="009508F7" w:rsidRDefault="009508F7">
      <w:pPr>
        <w:spacing w:line="285" w:lineRule="auto"/>
        <w:sectPr w:rsidR="009508F7">
          <w:pgSz w:w="12240" w:h="15840"/>
          <w:pgMar w:top="1500" w:right="1300" w:bottom="280" w:left="1340" w:header="720" w:footer="720" w:gutter="0"/>
          <w:cols w:space="720"/>
        </w:sectPr>
      </w:pPr>
    </w:p>
    <w:p w:rsidR="009508F7" w:rsidRDefault="009508F7">
      <w:pPr>
        <w:pStyle w:val="BodyText"/>
        <w:spacing w:before="1"/>
        <w:rPr>
          <w:sz w:val="9"/>
        </w:rPr>
      </w:pPr>
    </w:p>
    <w:p w:rsidR="009508F7" w:rsidRDefault="00CF0715">
      <w:pPr>
        <w:pStyle w:val="BodyText"/>
        <w:ind w:left="1300"/>
        <w:rPr>
          <w:sz w:val="20"/>
        </w:rPr>
      </w:pPr>
      <w:r>
        <w:rPr>
          <w:noProof/>
          <w:sz w:val="20"/>
        </w:rPr>
        <w:drawing>
          <wp:inline distT="0" distB="0" distL="0" distR="0">
            <wp:extent cx="4410075" cy="2590800"/>
            <wp:effectExtent l="0" t="0" r="0"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8" cstate="print"/>
                    <a:stretch>
                      <a:fillRect/>
                    </a:stretch>
                  </pic:blipFill>
                  <pic:spPr>
                    <a:xfrm>
                      <a:off x="0" y="0"/>
                      <a:ext cx="4410075" cy="2590800"/>
                    </a:xfrm>
                    <a:prstGeom prst="rect">
                      <a:avLst/>
                    </a:prstGeom>
                  </pic:spPr>
                </pic:pic>
              </a:graphicData>
            </a:graphic>
          </wp:inline>
        </w:drawing>
      </w:r>
    </w:p>
    <w:p w:rsidR="009508F7" w:rsidRDefault="009508F7">
      <w:pPr>
        <w:pStyle w:val="BodyText"/>
        <w:spacing w:before="5"/>
        <w:rPr>
          <w:sz w:val="9"/>
        </w:rPr>
      </w:pPr>
    </w:p>
    <w:p w:rsidR="009508F7" w:rsidRDefault="00CF0715">
      <w:pPr>
        <w:spacing w:before="91" w:line="285" w:lineRule="auto"/>
        <w:ind w:left="2560" w:hanging="2460"/>
      </w:pPr>
      <w:r>
        <w:t>Figure 10. Distribution of actual and predicted improvement using linear regression with different weights of samples based on inverse of sample abundance.</w:t>
      </w:r>
    </w:p>
    <w:p w:rsidR="009508F7" w:rsidRDefault="009508F7">
      <w:pPr>
        <w:pStyle w:val="BodyText"/>
        <w:spacing w:before="6"/>
        <w:rPr>
          <w:sz w:val="25"/>
        </w:rPr>
      </w:pPr>
    </w:p>
    <w:p w:rsidR="009508F7" w:rsidRDefault="00CF0715">
      <w:pPr>
        <w:pStyle w:val="Heading2"/>
        <w:numPr>
          <w:ilvl w:val="2"/>
          <w:numId w:val="1"/>
        </w:numPr>
        <w:tabs>
          <w:tab w:val="left" w:pos="640"/>
        </w:tabs>
        <w:spacing w:before="1"/>
      </w:pPr>
      <w:r>
        <w:t>Performances of different models</w:t>
      </w:r>
    </w:p>
    <w:p w:rsidR="009508F7" w:rsidRDefault="00CF0715">
      <w:pPr>
        <w:pStyle w:val="BodyText"/>
        <w:spacing w:before="54" w:line="288" w:lineRule="auto"/>
        <w:ind w:left="100" w:right="138"/>
        <w:jc w:val="both"/>
      </w:pPr>
      <w:r>
        <w:t>Using the new approach of different sample weights, I built linear</w:t>
      </w:r>
      <w:r>
        <w:t xml:space="preserve"> regression, SVM, random forest, and gradient boost models using weighted root mean squared error as the evaluation metric. For each model, hyperparameters were tuned using the same metric and cross validation. For comparison, I also built a simple linear </w:t>
      </w:r>
      <w:r>
        <w:t>regression model with just one independent variable (age) as the benchmark model. SVM had the best performance among all models, which had</w:t>
      </w:r>
    </w:p>
    <w:p w:rsidR="009508F7" w:rsidRDefault="00CF0715">
      <w:pPr>
        <w:pStyle w:val="BodyText"/>
        <w:spacing w:line="288" w:lineRule="auto"/>
        <w:ind w:left="100" w:right="141"/>
        <w:jc w:val="both"/>
      </w:pPr>
      <w:r>
        <w:t xml:space="preserve">~26% less error than the benchmark model (Table 2). The predicted improvements had </w:t>
      </w:r>
      <w:r>
        <w:rPr>
          <w:spacing w:val="-3"/>
        </w:rPr>
        <w:t>linear</w:t>
      </w:r>
      <w:r>
        <w:rPr>
          <w:spacing w:val="54"/>
        </w:rPr>
        <w:t xml:space="preserve"> </w:t>
      </w:r>
      <w:r>
        <w:t>relationship with the actua</w:t>
      </w:r>
      <w:r>
        <w:t>l improvements (Figure 11).</w:t>
      </w:r>
    </w:p>
    <w:p w:rsidR="009508F7" w:rsidRDefault="009508F7">
      <w:pPr>
        <w:pStyle w:val="BodyText"/>
        <w:spacing w:before="3"/>
        <w:rPr>
          <w:sz w:val="28"/>
        </w:rPr>
      </w:pPr>
    </w:p>
    <w:p w:rsidR="009508F7" w:rsidRDefault="00CF0715">
      <w:pPr>
        <w:spacing w:after="43"/>
        <w:ind w:left="2067" w:right="2111"/>
        <w:jc w:val="center"/>
      </w:pPr>
      <w:r>
        <w:t>Table 2. Performance of the regression models.</w:t>
      </w: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60"/>
        <w:gridCol w:w="1560"/>
        <w:gridCol w:w="1560"/>
        <w:gridCol w:w="1560"/>
        <w:gridCol w:w="1560"/>
        <w:gridCol w:w="1560"/>
      </w:tblGrid>
      <w:tr w:rsidR="009508F7">
        <w:trPr>
          <w:trHeight w:val="745"/>
        </w:trPr>
        <w:tc>
          <w:tcPr>
            <w:tcW w:w="1560" w:type="dxa"/>
          </w:tcPr>
          <w:p w:rsidR="009508F7" w:rsidRDefault="009508F7">
            <w:pPr>
              <w:pStyle w:val="TableParagraph"/>
            </w:pPr>
          </w:p>
        </w:tc>
        <w:tc>
          <w:tcPr>
            <w:tcW w:w="1560" w:type="dxa"/>
          </w:tcPr>
          <w:p w:rsidR="009508F7" w:rsidRDefault="00CF0715">
            <w:pPr>
              <w:pStyle w:val="TableParagraph"/>
              <w:spacing w:before="107" w:line="256" w:lineRule="auto"/>
              <w:ind w:left="199" w:right="191" w:firstLine="60"/>
            </w:pPr>
            <w:r>
              <w:t>Benchmark (one feature)</w:t>
            </w:r>
          </w:p>
        </w:tc>
        <w:tc>
          <w:tcPr>
            <w:tcW w:w="1560" w:type="dxa"/>
          </w:tcPr>
          <w:p w:rsidR="009508F7" w:rsidRDefault="00CF0715">
            <w:pPr>
              <w:pStyle w:val="TableParagraph"/>
              <w:spacing w:before="107" w:line="256" w:lineRule="auto"/>
              <w:ind w:left="274" w:right="268" w:firstLine="195"/>
            </w:pPr>
            <w:r>
              <w:t>Linear Regression</w:t>
            </w:r>
          </w:p>
        </w:tc>
        <w:tc>
          <w:tcPr>
            <w:tcW w:w="1560" w:type="dxa"/>
          </w:tcPr>
          <w:p w:rsidR="009508F7" w:rsidRDefault="009508F7">
            <w:pPr>
              <w:pStyle w:val="TableParagraph"/>
              <w:rPr>
                <w:sz w:val="21"/>
              </w:rPr>
            </w:pPr>
          </w:p>
          <w:p w:rsidR="009508F7" w:rsidRDefault="00CF0715">
            <w:pPr>
              <w:pStyle w:val="TableParagraph"/>
              <w:ind w:left="529"/>
            </w:pPr>
            <w:r>
              <w:t>SVM</w:t>
            </w:r>
          </w:p>
        </w:tc>
        <w:tc>
          <w:tcPr>
            <w:tcW w:w="1560" w:type="dxa"/>
          </w:tcPr>
          <w:p w:rsidR="009508F7" w:rsidRDefault="009508F7">
            <w:pPr>
              <w:pStyle w:val="TableParagraph"/>
              <w:rPr>
                <w:sz w:val="21"/>
              </w:rPr>
            </w:pPr>
          </w:p>
          <w:p w:rsidR="009508F7" w:rsidRDefault="00CF0715">
            <w:pPr>
              <w:pStyle w:val="TableParagraph"/>
              <w:ind w:left="74" w:right="74"/>
              <w:jc w:val="center"/>
            </w:pPr>
            <w:r>
              <w:t>Random Forest</w:t>
            </w:r>
          </w:p>
        </w:tc>
        <w:tc>
          <w:tcPr>
            <w:tcW w:w="1560" w:type="dxa"/>
          </w:tcPr>
          <w:p w:rsidR="009508F7" w:rsidRDefault="009508F7">
            <w:pPr>
              <w:pStyle w:val="TableParagraph"/>
              <w:rPr>
                <w:sz w:val="21"/>
              </w:rPr>
            </w:pPr>
          </w:p>
          <w:p w:rsidR="009508F7" w:rsidRDefault="00CF0715">
            <w:pPr>
              <w:pStyle w:val="TableParagraph"/>
              <w:ind w:left="64" w:right="74"/>
              <w:jc w:val="center"/>
            </w:pPr>
            <w:r>
              <w:t>Gradient Boost</w:t>
            </w:r>
          </w:p>
        </w:tc>
      </w:tr>
      <w:tr w:rsidR="009508F7">
        <w:trPr>
          <w:trHeight w:val="745"/>
        </w:trPr>
        <w:tc>
          <w:tcPr>
            <w:tcW w:w="1560" w:type="dxa"/>
          </w:tcPr>
          <w:p w:rsidR="009508F7" w:rsidRDefault="00CF0715">
            <w:pPr>
              <w:pStyle w:val="TableParagraph"/>
              <w:spacing w:before="107" w:line="256" w:lineRule="auto"/>
              <w:ind w:left="469" w:right="330" w:hanging="135"/>
            </w:pPr>
            <w:r>
              <w:t>Weighted RMSE</w:t>
            </w:r>
          </w:p>
        </w:tc>
        <w:tc>
          <w:tcPr>
            <w:tcW w:w="1560" w:type="dxa"/>
          </w:tcPr>
          <w:p w:rsidR="009508F7" w:rsidRDefault="009508F7">
            <w:pPr>
              <w:pStyle w:val="TableParagraph"/>
              <w:rPr>
                <w:sz w:val="21"/>
              </w:rPr>
            </w:pPr>
          </w:p>
          <w:p w:rsidR="009508F7" w:rsidRDefault="00CF0715">
            <w:pPr>
              <w:pStyle w:val="TableParagraph"/>
              <w:ind w:left="71" w:right="74"/>
              <w:jc w:val="center"/>
            </w:pPr>
            <w:r>
              <w:t>3.84</w:t>
            </w:r>
          </w:p>
        </w:tc>
        <w:tc>
          <w:tcPr>
            <w:tcW w:w="1560" w:type="dxa"/>
          </w:tcPr>
          <w:p w:rsidR="009508F7" w:rsidRDefault="009508F7">
            <w:pPr>
              <w:pStyle w:val="TableParagraph"/>
              <w:rPr>
                <w:sz w:val="21"/>
              </w:rPr>
            </w:pPr>
          </w:p>
          <w:p w:rsidR="009508F7" w:rsidRDefault="00CF0715">
            <w:pPr>
              <w:pStyle w:val="TableParagraph"/>
              <w:ind w:left="71" w:right="74"/>
              <w:jc w:val="center"/>
            </w:pPr>
            <w:r>
              <w:t>2.98</w:t>
            </w:r>
          </w:p>
        </w:tc>
        <w:tc>
          <w:tcPr>
            <w:tcW w:w="1560" w:type="dxa"/>
          </w:tcPr>
          <w:p w:rsidR="009508F7" w:rsidRDefault="009508F7">
            <w:pPr>
              <w:pStyle w:val="TableParagraph"/>
              <w:rPr>
                <w:sz w:val="21"/>
              </w:rPr>
            </w:pPr>
          </w:p>
          <w:p w:rsidR="009508F7" w:rsidRDefault="00CF0715">
            <w:pPr>
              <w:pStyle w:val="TableParagraph"/>
              <w:ind w:left="574"/>
            </w:pPr>
            <w:r>
              <w:t>2.86</w:t>
            </w:r>
          </w:p>
        </w:tc>
        <w:tc>
          <w:tcPr>
            <w:tcW w:w="1560" w:type="dxa"/>
          </w:tcPr>
          <w:p w:rsidR="009508F7" w:rsidRDefault="009508F7">
            <w:pPr>
              <w:pStyle w:val="TableParagraph"/>
              <w:rPr>
                <w:sz w:val="21"/>
              </w:rPr>
            </w:pPr>
          </w:p>
          <w:p w:rsidR="009508F7" w:rsidRDefault="00CF0715">
            <w:pPr>
              <w:pStyle w:val="TableParagraph"/>
              <w:ind w:left="71" w:right="74"/>
              <w:jc w:val="center"/>
            </w:pPr>
            <w:r>
              <w:t>2.93</w:t>
            </w:r>
          </w:p>
        </w:tc>
        <w:tc>
          <w:tcPr>
            <w:tcW w:w="1560" w:type="dxa"/>
          </w:tcPr>
          <w:p w:rsidR="009508F7" w:rsidRDefault="009508F7">
            <w:pPr>
              <w:pStyle w:val="TableParagraph"/>
              <w:rPr>
                <w:sz w:val="21"/>
              </w:rPr>
            </w:pPr>
          </w:p>
          <w:p w:rsidR="009508F7" w:rsidRDefault="00CF0715">
            <w:pPr>
              <w:pStyle w:val="TableParagraph"/>
              <w:ind w:left="71" w:right="74"/>
              <w:jc w:val="center"/>
            </w:pPr>
            <w:r>
              <w:t>2.96</w:t>
            </w:r>
          </w:p>
        </w:tc>
      </w:tr>
    </w:tbl>
    <w:p w:rsidR="009508F7" w:rsidRDefault="009508F7">
      <w:pPr>
        <w:pStyle w:val="BodyText"/>
        <w:spacing w:before="8"/>
        <w:rPr>
          <w:sz w:val="28"/>
        </w:rPr>
      </w:pPr>
    </w:p>
    <w:p w:rsidR="009508F7" w:rsidRDefault="00CF0715">
      <w:pPr>
        <w:pStyle w:val="Heading2"/>
        <w:spacing w:before="1"/>
        <w:ind w:left="100" w:firstLine="0"/>
      </w:pPr>
      <w:r>
        <w:t>4.2 Classification models</w:t>
      </w:r>
    </w:p>
    <w:p w:rsidR="009508F7" w:rsidRDefault="00CF0715">
      <w:pPr>
        <w:pStyle w:val="BodyText"/>
        <w:spacing w:before="54" w:line="288" w:lineRule="auto"/>
        <w:ind w:left="100" w:right="141"/>
        <w:jc w:val="both"/>
      </w:pPr>
      <w:r>
        <w:t xml:space="preserve">The application of classification models was much more straightforward. I divided the samples into two classes (improvement&gt;=0 or &lt;0). The number of samples in each class were about </w:t>
      </w:r>
      <w:r>
        <w:rPr>
          <w:spacing w:val="-4"/>
        </w:rPr>
        <w:t xml:space="preserve">the </w:t>
      </w:r>
      <w:r>
        <w:t xml:space="preserve">same. I chose logarithmic loss as the metric here because the results </w:t>
      </w:r>
      <w:r>
        <w:t xml:space="preserve">would probably be presented with probabilities and logarithmic loss puts more emphasis on the probabilities than other metrics. Logistic regression, SVM, random forest, gradient boost models and a voting </w:t>
      </w:r>
      <w:r>
        <w:rPr>
          <w:spacing w:val="-4"/>
        </w:rPr>
        <w:t xml:space="preserve">model </w:t>
      </w:r>
      <w:r>
        <w:t>were tuned and built. Among the individual mod</w:t>
      </w:r>
      <w:r>
        <w:t>els, the SVM model performed the best (~67.5%</w:t>
      </w:r>
    </w:p>
    <w:p w:rsidR="009508F7" w:rsidRDefault="009508F7">
      <w:pPr>
        <w:spacing w:line="288" w:lineRule="auto"/>
        <w:jc w:val="both"/>
        <w:sectPr w:rsidR="009508F7">
          <w:pgSz w:w="12240" w:h="15840"/>
          <w:pgMar w:top="1500" w:right="1300" w:bottom="280" w:left="1340" w:header="720" w:footer="720" w:gutter="0"/>
          <w:cols w:space="720"/>
        </w:sectPr>
      </w:pPr>
    </w:p>
    <w:p w:rsidR="009508F7" w:rsidRDefault="00CF0715">
      <w:pPr>
        <w:pStyle w:val="BodyText"/>
        <w:spacing w:before="61" w:line="288" w:lineRule="auto"/>
        <w:ind w:left="100"/>
      </w:pPr>
      <w:r>
        <w:rPr>
          <w:noProof/>
        </w:rPr>
        <w:lastRenderedPageBreak/>
        <w:drawing>
          <wp:anchor distT="0" distB="0" distL="0" distR="0" simplePos="0" relativeHeight="6" behindDoc="0" locked="0" layoutInCell="1" allowOverlap="1">
            <wp:simplePos x="0" y="0"/>
            <wp:positionH relativeFrom="page">
              <wp:posOffset>1857375</wp:posOffset>
            </wp:positionH>
            <wp:positionV relativeFrom="paragraph">
              <wp:posOffset>533439</wp:posOffset>
            </wp:positionV>
            <wp:extent cx="4057650" cy="3429000"/>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9" cstate="print"/>
                    <a:stretch>
                      <a:fillRect/>
                    </a:stretch>
                  </pic:blipFill>
                  <pic:spPr>
                    <a:xfrm>
                      <a:off x="0" y="0"/>
                      <a:ext cx="4057650" cy="3429000"/>
                    </a:xfrm>
                    <a:prstGeom prst="rect">
                      <a:avLst/>
                    </a:prstGeom>
                  </pic:spPr>
                </pic:pic>
              </a:graphicData>
            </a:graphic>
          </wp:anchor>
        </w:drawing>
      </w:r>
      <w:r>
        <w:t>accuracy), and voting model performed similarly as the SVM model (Table 3), though the differences between models were small.</w:t>
      </w:r>
    </w:p>
    <w:p w:rsidR="009508F7" w:rsidRDefault="00CF0715">
      <w:pPr>
        <w:spacing w:before="170"/>
        <w:ind w:left="925"/>
      </w:pPr>
      <w:r>
        <w:t>Figure 11. Scatter plot of predicted and actual player improvements of th</w:t>
      </w:r>
      <w:r>
        <w:t>e SVM model.</w:t>
      </w:r>
    </w:p>
    <w:p w:rsidR="009508F7" w:rsidRDefault="009508F7">
      <w:pPr>
        <w:pStyle w:val="BodyText"/>
      </w:pPr>
    </w:p>
    <w:p w:rsidR="009508F7" w:rsidRDefault="009508F7">
      <w:pPr>
        <w:pStyle w:val="BodyText"/>
      </w:pPr>
    </w:p>
    <w:p w:rsidR="009508F7" w:rsidRDefault="009508F7">
      <w:pPr>
        <w:pStyle w:val="BodyText"/>
        <w:spacing w:before="4"/>
        <w:rPr>
          <w:sz w:val="34"/>
        </w:rPr>
      </w:pPr>
    </w:p>
    <w:p w:rsidR="009508F7" w:rsidRDefault="00CF0715">
      <w:pPr>
        <w:spacing w:after="43"/>
        <w:ind w:left="100"/>
      </w:pPr>
      <w:r>
        <w:t>Table 3. Performance of classification models. Best performance labeled in red.</w:t>
      </w: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60"/>
        <w:gridCol w:w="1560"/>
        <w:gridCol w:w="1560"/>
        <w:gridCol w:w="1560"/>
        <w:gridCol w:w="1560"/>
        <w:gridCol w:w="1560"/>
      </w:tblGrid>
      <w:tr w:rsidR="009508F7">
        <w:trPr>
          <w:trHeight w:val="745"/>
        </w:trPr>
        <w:tc>
          <w:tcPr>
            <w:tcW w:w="1560" w:type="dxa"/>
          </w:tcPr>
          <w:p w:rsidR="009508F7" w:rsidRDefault="009508F7">
            <w:pPr>
              <w:pStyle w:val="TableParagraph"/>
            </w:pPr>
          </w:p>
        </w:tc>
        <w:tc>
          <w:tcPr>
            <w:tcW w:w="1560" w:type="dxa"/>
          </w:tcPr>
          <w:p w:rsidR="009508F7" w:rsidRDefault="00CF0715">
            <w:pPr>
              <w:pStyle w:val="TableParagraph"/>
              <w:spacing w:before="107" w:line="256" w:lineRule="auto"/>
              <w:ind w:left="274" w:right="268" w:firstLine="120"/>
            </w:pPr>
            <w:r>
              <w:t>Logistic Regression</w:t>
            </w:r>
          </w:p>
        </w:tc>
        <w:tc>
          <w:tcPr>
            <w:tcW w:w="1560" w:type="dxa"/>
          </w:tcPr>
          <w:p w:rsidR="009508F7" w:rsidRDefault="009508F7">
            <w:pPr>
              <w:pStyle w:val="TableParagraph"/>
              <w:rPr>
                <w:sz w:val="21"/>
              </w:rPr>
            </w:pPr>
          </w:p>
          <w:p w:rsidR="009508F7" w:rsidRDefault="00CF0715">
            <w:pPr>
              <w:pStyle w:val="TableParagraph"/>
              <w:ind w:left="73" w:right="74"/>
              <w:jc w:val="center"/>
            </w:pPr>
            <w:r>
              <w:t>SVM</w:t>
            </w:r>
          </w:p>
        </w:tc>
        <w:tc>
          <w:tcPr>
            <w:tcW w:w="1560" w:type="dxa"/>
          </w:tcPr>
          <w:p w:rsidR="009508F7" w:rsidRDefault="009508F7">
            <w:pPr>
              <w:pStyle w:val="TableParagraph"/>
              <w:rPr>
                <w:sz w:val="21"/>
              </w:rPr>
            </w:pPr>
          </w:p>
          <w:p w:rsidR="009508F7" w:rsidRDefault="00CF0715">
            <w:pPr>
              <w:pStyle w:val="TableParagraph"/>
              <w:ind w:left="74" w:right="74"/>
              <w:jc w:val="center"/>
            </w:pPr>
            <w:r>
              <w:t>Random Forest</w:t>
            </w:r>
          </w:p>
        </w:tc>
        <w:tc>
          <w:tcPr>
            <w:tcW w:w="1560" w:type="dxa"/>
          </w:tcPr>
          <w:p w:rsidR="009508F7" w:rsidRDefault="009508F7">
            <w:pPr>
              <w:pStyle w:val="TableParagraph"/>
              <w:rPr>
                <w:sz w:val="21"/>
              </w:rPr>
            </w:pPr>
          </w:p>
          <w:p w:rsidR="009508F7" w:rsidRDefault="00CF0715">
            <w:pPr>
              <w:pStyle w:val="TableParagraph"/>
              <w:ind w:left="64" w:right="74"/>
              <w:jc w:val="center"/>
            </w:pPr>
            <w:r>
              <w:t>Gradient Boost</w:t>
            </w:r>
          </w:p>
        </w:tc>
        <w:tc>
          <w:tcPr>
            <w:tcW w:w="1560" w:type="dxa"/>
          </w:tcPr>
          <w:p w:rsidR="009508F7" w:rsidRDefault="009508F7">
            <w:pPr>
              <w:pStyle w:val="TableParagraph"/>
              <w:rPr>
                <w:sz w:val="21"/>
              </w:rPr>
            </w:pPr>
          </w:p>
          <w:p w:rsidR="009508F7" w:rsidRDefault="00CF0715">
            <w:pPr>
              <w:pStyle w:val="TableParagraph"/>
              <w:ind w:left="56" w:right="74"/>
              <w:jc w:val="center"/>
            </w:pPr>
            <w:r>
              <w:t>Voting Model</w:t>
            </w:r>
          </w:p>
        </w:tc>
      </w:tr>
      <w:tr w:rsidR="009508F7">
        <w:trPr>
          <w:trHeight w:val="475"/>
        </w:trPr>
        <w:tc>
          <w:tcPr>
            <w:tcW w:w="1560" w:type="dxa"/>
          </w:tcPr>
          <w:p w:rsidR="009508F7" w:rsidRDefault="00CF0715">
            <w:pPr>
              <w:pStyle w:val="TableParagraph"/>
              <w:spacing w:before="107"/>
              <w:ind w:left="349"/>
            </w:pPr>
            <w:r>
              <w:t>Log Loss</w:t>
            </w:r>
          </w:p>
        </w:tc>
        <w:tc>
          <w:tcPr>
            <w:tcW w:w="1560" w:type="dxa"/>
          </w:tcPr>
          <w:p w:rsidR="009508F7" w:rsidRDefault="00CF0715">
            <w:pPr>
              <w:pStyle w:val="TableParagraph"/>
              <w:spacing w:before="107"/>
              <w:ind w:left="61" w:right="74"/>
              <w:jc w:val="center"/>
            </w:pPr>
            <w:r>
              <w:t>0.605</w:t>
            </w:r>
          </w:p>
        </w:tc>
        <w:tc>
          <w:tcPr>
            <w:tcW w:w="1560" w:type="dxa"/>
          </w:tcPr>
          <w:p w:rsidR="009508F7" w:rsidRDefault="00CF0715">
            <w:pPr>
              <w:pStyle w:val="TableParagraph"/>
              <w:spacing w:before="107"/>
              <w:ind w:left="61" w:right="74"/>
              <w:jc w:val="center"/>
            </w:pPr>
            <w:r>
              <w:rPr>
                <w:color w:val="FF0000"/>
              </w:rPr>
              <w:t>0.603</w:t>
            </w:r>
          </w:p>
        </w:tc>
        <w:tc>
          <w:tcPr>
            <w:tcW w:w="1560" w:type="dxa"/>
          </w:tcPr>
          <w:p w:rsidR="009508F7" w:rsidRDefault="00CF0715">
            <w:pPr>
              <w:pStyle w:val="TableParagraph"/>
              <w:spacing w:before="107"/>
              <w:ind w:left="61" w:right="74"/>
              <w:jc w:val="center"/>
            </w:pPr>
            <w:r>
              <w:t>0.612</w:t>
            </w:r>
          </w:p>
        </w:tc>
        <w:tc>
          <w:tcPr>
            <w:tcW w:w="1560" w:type="dxa"/>
          </w:tcPr>
          <w:p w:rsidR="009508F7" w:rsidRDefault="00CF0715">
            <w:pPr>
              <w:pStyle w:val="TableParagraph"/>
              <w:spacing w:before="107"/>
              <w:ind w:left="61" w:right="74"/>
              <w:jc w:val="center"/>
            </w:pPr>
            <w:r>
              <w:t>0.613</w:t>
            </w:r>
          </w:p>
        </w:tc>
        <w:tc>
          <w:tcPr>
            <w:tcW w:w="1560" w:type="dxa"/>
          </w:tcPr>
          <w:p w:rsidR="009508F7" w:rsidRDefault="00CF0715">
            <w:pPr>
              <w:pStyle w:val="TableParagraph"/>
              <w:spacing w:before="107"/>
              <w:ind w:left="61" w:right="74"/>
              <w:jc w:val="center"/>
            </w:pPr>
            <w:r>
              <w:rPr>
                <w:color w:val="FF0000"/>
              </w:rPr>
              <w:t>0.603</w:t>
            </w:r>
          </w:p>
        </w:tc>
      </w:tr>
      <w:tr w:rsidR="009508F7">
        <w:trPr>
          <w:trHeight w:val="475"/>
        </w:trPr>
        <w:tc>
          <w:tcPr>
            <w:tcW w:w="1560" w:type="dxa"/>
          </w:tcPr>
          <w:p w:rsidR="009508F7" w:rsidRDefault="00CF0715">
            <w:pPr>
              <w:pStyle w:val="TableParagraph"/>
              <w:spacing w:before="107"/>
              <w:ind w:left="334"/>
            </w:pPr>
            <w:r>
              <w:t>Accuracy</w:t>
            </w:r>
          </w:p>
        </w:tc>
        <w:tc>
          <w:tcPr>
            <w:tcW w:w="1560" w:type="dxa"/>
          </w:tcPr>
          <w:p w:rsidR="009508F7" w:rsidRDefault="00CF0715">
            <w:pPr>
              <w:pStyle w:val="TableParagraph"/>
              <w:spacing w:before="107"/>
              <w:ind w:left="61" w:right="74"/>
              <w:jc w:val="center"/>
            </w:pPr>
            <w:r>
              <w:rPr>
                <w:color w:val="FF0000"/>
              </w:rPr>
              <w:t>0.675</w:t>
            </w:r>
          </w:p>
        </w:tc>
        <w:tc>
          <w:tcPr>
            <w:tcW w:w="1560" w:type="dxa"/>
          </w:tcPr>
          <w:p w:rsidR="009508F7" w:rsidRDefault="00CF0715">
            <w:pPr>
              <w:pStyle w:val="TableParagraph"/>
              <w:spacing w:before="107"/>
              <w:ind w:left="61" w:right="74"/>
              <w:jc w:val="center"/>
            </w:pPr>
            <w:r>
              <w:rPr>
                <w:color w:val="FF0000"/>
              </w:rPr>
              <w:t>0.675</w:t>
            </w:r>
          </w:p>
        </w:tc>
        <w:tc>
          <w:tcPr>
            <w:tcW w:w="1560" w:type="dxa"/>
          </w:tcPr>
          <w:p w:rsidR="009508F7" w:rsidRDefault="00CF0715">
            <w:pPr>
              <w:pStyle w:val="TableParagraph"/>
              <w:spacing w:before="107"/>
              <w:ind w:left="61" w:right="74"/>
              <w:jc w:val="center"/>
            </w:pPr>
            <w:r>
              <w:t>0.672</w:t>
            </w:r>
          </w:p>
        </w:tc>
        <w:tc>
          <w:tcPr>
            <w:tcW w:w="1560" w:type="dxa"/>
          </w:tcPr>
          <w:p w:rsidR="009508F7" w:rsidRDefault="00CF0715">
            <w:pPr>
              <w:pStyle w:val="TableParagraph"/>
              <w:spacing w:before="107"/>
              <w:ind w:left="61" w:right="74"/>
              <w:jc w:val="center"/>
            </w:pPr>
            <w:r>
              <w:t>0.672</w:t>
            </w:r>
          </w:p>
        </w:tc>
        <w:tc>
          <w:tcPr>
            <w:tcW w:w="1560" w:type="dxa"/>
          </w:tcPr>
          <w:p w:rsidR="009508F7" w:rsidRDefault="00CF0715">
            <w:pPr>
              <w:pStyle w:val="TableParagraph"/>
              <w:spacing w:before="107"/>
              <w:ind w:left="61" w:right="74"/>
              <w:jc w:val="center"/>
            </w:pPr>
            <w:r>
              <w:rPr>
                <w:color w:val="FF0000"/>
              </w:rPr>
              <w:t>0.675</w:t>
            </w:r>
          </w:p>
        </w:tc>
      </w:tr>
      <w:tr w:rsidR="009508F7">
        <w:trPr>
          <w:trHeight w:val="745"/>
        </w:trPr>
        <w:tc>
          <w:tcPr>
            <w:tcW w:w="1560" w:type="dxa"/>
          </w:tcPr>
          <w:p w:rsidR="009508F7" w:rsidRDefault="00CF0715">
            <w:pPr>
              <w:pStyle w:val="TableParagraph"/>
              <w:spacing w:before="107" w:line="256" w:lineRule="auto"/>
              <w:ind w:left="364" w:right="243" w:hanging="120"/>
            </w:pPr>
            <w:r>
              <w:t>No. of True Positives</w:t>
            </w:r>
          </w:p>
        </w:tc>
        <w:tc>
          <w:tcPr>
            <w:tcW w:w="1560" w:type="dxa"/>
          </w:tcPr>
          <w:p w:rsidR="009508F7" w:rsidRDefault="009508F7">
            <w:pPr>
              <w:pStyle w:val="TableParagraph"/>
              <w:rPr>
                <w:sz w:val="21"/>
              </w:rPr>
            </w:pPr>
          </w:p>
          <w:p w:rsidR="009508F7" w:rsidRDefault="00CF0715">
            <w:pPr>
              <w:pStyle w:val="TableParagraph"/>
              <w:ind w:left="74" w:right="74"/>
              <w:jc w:val="center"/>
            </w:pPr>
            <w:r>
              <w:t>835</w:t>
            </w:r>
          </w:p>
        </w:tc>
        <w:tc>
          <w:tcPr>
            <w:tcW w:w="1560" w:type="dxa"/>
          </w:tcPr>
          <w:p w:rsidR="009508F7" w:rsidRDefault="009508F7">
            <w:pPr>
              <w:pStyle w:val="TableParagraph"/>
              <w:rPr>
                <w:sz w:val="21"/>
              </w:rPr>
            </w:pPr>
          </w:p>
          <w:p w:rsidR="009508F7" w:rsidRDefault="00CF0715">
            <w:pPr>
              <w:pStyle w:val="TableParagraph"/>
              <w:ind w:left="74" w:right="74"/>
              <w:jc w:val="center"/>
            </w:pPr>
            <w:r>
              <w:t>830</w:t>
            </w:r>
          </w:p>
        </w:tc>
        <w:tc>
          <w:tcPr>
            <w:tcW w:w="1560" w:type="dxa"/>
          </w:tcPr>
          <w:p w:rsidR="009508F7" w:rsidRDefault="009508F7">
            <w:pPr>
              <w:pStyle w:val="TableParagraph"/>
              <w:rPr>
                <w:sz w:val="21"/>
              </w:rPr>
            </w:pPr>
          </w:p>
          <w:p w:rsidR="009508F7" w:rsidRDefault="00CF0715">
            <w:pPr>
              <w:pStyle w:val="TableParagraph"/>
              <w:ind w:left="74" w:right="74"/>
              <w:jc w:val="center"/>
            </w:pPr>
            <w:r>
              <w:t>810</w:t>
            </w:r>
          </w:p>
        </w:tc>
        <w:tc>
          <w:tcPr>
            <w:tcW w:w="1560" w:type="dxa"/>
          </w:tcPr>
          <w:p w:rsidR="009508F7" w:rsidRDefault="009508F7">
            <w:pPr>
              <w:pStyle w:val="TableParagraph"/>
              <w:rPr>
                <w:sz w:val="21"/>
              </w:rPr>
            </w:pPr>
          </w:p>
          <w:p w:rsidR="009508F7" w:rsidRDefault="00CF0715">
            <w:pPr>
              <w:pStyle w:val="TableParagraph"/>
              <w:ind w:left="74" w:right="74"/>
              <w:jc w:val="center"/>
            </w:pPr>
            <w:r>
              <w:t>815</w:t>
            </w:r>
          </w:p>
        </w:tc>
        <w:tc>
          <w:tcPr>
            <w:tcW w:w="1560" w:type="dxa"/>
          </w:tcPr>
          <w:p w:rsidR="009508F7" w:rsidRDefault="009508F7">
            <w:pPr>
              <w:pStyle w:val="TableParagraph"/>
              <w:rPr>
                <w:sz w:val="21"/>
              </w:rPr>
            </w:pPr>
          </w:p>
          <w:p w:rsidR="009508F7" w:rsidRDefault="00CF0715">
            <w:pPr>
              <w:pStyle w:val="TableParagraph"/>
              <w:ind w:left="74" w:right="74"/>
              <w:jc w:val="center"/>
            </w:pPr>
            <w:r>
              <w:rPr>
                <w:color w:val="FF0000"/>
              </w:rPr>
              <w:t>838</w:t>
            </w:r>
          </w:p>
        </w:tc>
      </w:tr>
      <w:tr w:rsidR="009508F7">
        <w:trPr>
          <w:trHeight w:val="745"/>
        </w:trPr>
        <w:tc>
          <w:tcPr>
            <w:tcW w:w="1560" w:type="dxa"/>
          </w:tcPr>
          <w:p w:rsidR="009508F7" w:rsidRDefault="00CF0715">
            <w:pPr>
              <w:pStyle w:val="TableParagraph"/>
              <w:spacing w:before="107" w:line="256" w:lineRule="auto"/>
              <w:ind w:left="364" w:right="224" w:hanging="150"/>
            </w:pPr>
            <w:r>
              <w:t>No. of False Positives</w:t>
            </w:r>
          </w:p>
        </w:tc>
        <w:tc>
          <w:tcPr>
            <w:tcW w:w="1560" w:type="dxa"/>
          </w:tcPr>
          <w:p w:rsidR="009508F7" w:rsidRDefault="009508F7">
            <w:pPr>
              <w:pStyle w:val="TableParagraph"/>
              <w:rPr>
                <w:sz w:val="21"/>
              </w:rPr>
            </w:pPr>
          </w:p>
          <w:p w:rsidR="009508F7" w:rsidRDefault="00CF0715">
            <w:pPr>
              <w:pStyle w:val="TableParagraph"/>
              <w:ind w:left="74" w:right="74"/>
              <w:jc w:val="center"/>
            </w:pPr>
            <w:r>
              <w:t>413</w:t>
            </w:r>
          </w:p>
        </w:tc>
        <w:tc>
          <w:tcPr>
            <w:tcW w:w="1560" w:type="dxa"/>
          </w:tcPr>
          <w:p w:rsidR="009508F7" w:rsidRDefault="009508F7">
            <w:pPr>
              <w:pStyle w:val="TableParagraph"/>
              <w:rPr>
                <w:sz w:val="21"/>
              </w:rPr>
            </w:pPr>
          </w:p>
          <w:p w:rsidR="009508F7" w:rsidRDefault="00CF0715">
            <w:pPr>
              <w:pStyle w:val="TableParagraph"/>
              <w:ind w:left="74" w:right="74"/>
              <w:jc w:val="center"/>
            </w:pPr>
            <w:r>
              <w:t>406</w:t>
            </w:r>
          </w:p>
        </w:tc>
        <w:tc>
          <w:tcPr>
            <w:tcW w:w="1560" w:type="dxa"/>
          </w:tcPr>
          <w:p w:rsidR="009508F7" w:rsidRDefault="009508F7">
            <w:pPr>
              <w:pStyle w:val="TableParagraph"/>
              <w:rPr>
                <w:sz w:val="21"/>
              </w:rPr>
            </w:pPr>
          </w:p>
          <w:p w:rsidR="009508F7" w:rsidRDefault="00CF0715">
            <w:pPr>
              <w:pStyle w:val="TableParagraph"/>
              <w:ind w:left="74" w:right="74"/>
              <w:jc w:val="center"/>
            </w:pPr>
            <w:r>
              <w:rPr>
                <w:color w:val="FF0000"/>
              </w:rPr>
              <w:t>396</w:t>
            </w:r>
          </w:p>
        </w:tc>
        <w:tc>
          <w:tcPr>
            <w:tcW w:w="1560" w:type="dxa"/>
          </w:tcPr>
          <w:p w:rsidR="009508F7" w:rsidRDefault="009508F7">
            <w:pPr>
              <w:pStyle w:val="TableParagraph"/>
              <w:rPr>
                <w:sz w:val="21"/>
              </w:rPr>
            </w:pPr>
          </w:p>
          <w:p w:rsidR="009508F7" w:rsidRDefault="00CF0715">
            <w:pPr>
              <w:pStyle w:val="TableParagraph"/>
              <w:ind w:left="74" w:right="74"/>
              <w:jc w:val="center"/>
            </w:pPr>
            <w:r>
              <w:t>400</w:t>
            </w:r>
          </w:p>
        </w:tc>
        <w:tc>
          <w:tcPr>
            <w:tcW w:w="1560" w:type="dxa"/>
          </w:tcPr>
          <w:p w:rsidR="009508F7" w:rsidRDefault="009508F7">
            <w:pPr>
              <w:pStyle w:val="TableParagraph"/>
              <w:rPr>
                <w:sz w:val="21"/>
              </w:rPr>
            </w:pPr>
          </w:p>
          <w:p w:rsidR="009508F7" w:rsidRDefault="00CF0715">
            <w:pPr>
              <w:pStyle w:val="TableParagraph"/>
              <w:ind w:left="74" w:right="74"/>
              <w:jc w:val="center"/>
            </w:pPr>
            <w:r>
              <w:t>416</w:t>
            </w:r>
          </w:p>
        </w:tc>
      </w:tr>
      <w:tr w:rsidR="009508F7">
        <w:trPr>
          <w:trHeight w:val="745"/>
        </w:trPr>
        <w:tc>
          <w:tcPr>
            <w:tcW w:w="1560" w:type="dxa"/>
          </w:tcPr>
          <w:p w:rsidR="009508F7" w:rsidRDefault="00CF0715">
            <w:pPr>
              <w:pStyle w:val="TableParagraph"/>
              <w:spacing w:before="107" w:line="256" w:lineRule="auto"/>
              <w:ind w:left="319" w:right="224" w:hanging="105"/>
            </w:pPr>
            <w:r>
              <w:t>No. of False Negatives</w:t>
            </w:r>
          </w:p>
        </w:tc>
        <w:tc>
          <w:tcPr>
            <w:tcW w:w="1560" w:type="dxa"/>
          </w:tcPr>
          <w:p w:rsidR="009508F7" w:rsidRDefault="009508F7">
            <w:pPr>
              <w:pStyle w:val="TableParagraph"/>
              <w:rPr>
                <w:sz w:val="21"/>
              </w:rPr>
            </w:pPr>
          </w:p>
          <w:p w:rsidR="009508F7" w:rsidRDefault="00CF0715">
            <w:pPr>
              <w:pStyle w:val="TableParagraph"/>
              <w:ind w:left="74" w:right="74"/>
              <w:jc w:val="center"/>
            </w:pPr>
            <w:r>
              <w:t>438</w:t>
            </w:r>
          </w:p>
        </w:tc>
        <w:tc>
          <w:tcPr>
            <w:tcW w:w="1560" w:type="dxa"/>
          </w:tcPr>
          <w:p w:rsidR="009508F7" w:rsidRDefault="009508F7">
            <w:pPr>
              <w:pStyle w:val="TableParagraph"/>
              <w:rPr>
                <w:sz w:val="21"/>
              </w:rPr>
            </w:pPr>
          </w:p>
          <w:p w:rsidR="009508F7" w:rsidRDefault="00CF0715">
            <w:pPr>
              <w:pStyle w:val="TableParagraph"/>
              <w:ind w:left="74" w:right="74"/>
              <w:jc w:val="center"/>
            </w:pPr>
            <w:r>
              <w:t>443</w:t>
            </w:r>
          </w:p>
        </w:tc>
        <w:tc>
          <w:tcPr>
            <w:tcW w:w="1560" w:type="dxa"/>
          </w:tcPr>
          <w:p w:rsidR="009508F7" w:rsidRDefault="009508F7">
            <w:pPr>
              <w:pStyle w:val="TableParagraph"/>
              <w:rPr>
                <w:sz w:val="21"/>
              </w:rPr>
            </w:pPr>
          </w:p>
          <w:p w:rsidR="009508F7" w:rsidRDefault="00CF0715">
            <w:pPr>
              <w:pStyle w:val="TableParagraph"/>
              <w:ind w:left="74" w:right="74"/>
              <w:jc w:val="center"/>
            </w:pPr>
            <w:r>
              <w:t>463</w:t>
            </w:r>
          </w:p>
        </w:tc>
        <w:tc>
          <w:tcPr>
            <w:tcW w:w="1560" w:type="dxa"/>
          </w:tcPr>
          <w:p w:rsidR="009508F7" w:rsidRDefault="009508F7">
            <w:pPr>
              <w:pStyle w:val="TableParagraph"/>
              <w:rPr>
                <w:sz w:val="21"/>
              </w:rPr>
            </w:pPr>
          </w:p>
          <w:p w:rsidR="009508F7" w:rsidRDefault="00CF0715">
            <w:pPr>
              <w:pStyle w:val="TableParagraph"/>
              <w:ind w:left="74" w:right="74"/>
              <w:jc w:val="center"/>
            </w:pPr>
            <w:r>
              <w:t>458</w:t>
            </w:r>
          </w:p>
        </w:tc>
        <w:tc>
          <w:tcPr>
            <w:tcW w:w="1560" w:type="dxa"/>
          </w:tcPr>
          <w:p w:rsidR="009508F7" w:rsidRDefault="009508F7">
            <w:pPr>
              <w:pStyle w:val="TableParagraph"/>
              <w:rPr>
                <w:sz w:val="21"/>
              </w:rPr>
            </w:pPr>
          </w:p>
          <w:p w:rsidR="009508F7" w:rsidRDefault="00CF0715">
            <w:pPr>
              <w:pStyle w:val="TableParagraph"/>
              <w:ind w:left="74" w:right="74"/>
              <w:jc w:val="center"/>
            </w:pPr>
            <w:r>
              <w:rPr>
                <w:color w:val="FF0000"/>
              </w:rPr>
              <w:t>435</w:t>
            </w:r>
          </w:p>
        </w:tc>
      </w:tr>
      <w:tr w:rsidR="009508F7">
        <w:trPr>
          <w:trHeight w:val="745"/>
        </w:trPr>
        <w:tc>
          <w:tcPr>
            <w:tcW w:w="1560" w:type="dxa"/>
          </w:tcPr>
          <w:p w:rsidR="009508F7" w:rsidRDefault="00CF0715">
            <w:pPr>
              <w:pStyle w:val="TableParagraph"/>
              <w:spacing w:before="107" w:line="256" w:lineRule="auto"/>
              <w:ind w:left="319" w:right="243" w:hanging="75"/>
            </w:pPr>
            <w:r>
              <w:t>No. of True Negatives</w:t>
            </w:r>
          </w:p>
        </w:tc>
        <w:tc>
          <w:tcPr>
            <w:tcW w:w="1560" w:type="dxa"/>
          </w:tcPr>
          <w:p w:rsidR="009508F7" w:rsidRDefault="009508F7">
            <w:pPr>
              <w:pStyle w:val="TableParagraph"/>
              <w:rPr>
                <w:sz w:val="21"/>
              </w:rPr>
            </w:pPr>
          </w:p>
          <w:p w:rsidR="009508F7" w:rsidRDefault="00CF0715">
            <w:pPr>
              <w:pStyle w:val="TableParagraph"/>
              <w:ind w:left="74" w:right="74"/>
              <w:jc w:val="center"/>
            </w:pPr>
            <w:r>
              <w:t>929</w:t>
            </w:r>
          </w:p>
        </w:tc>
        <w:tc>
          <w:tcPr>
            <w:tcW w:w="1560" w:type="dxa"/>
          </w:tcPr>
          <w:p w:rsidR="009508F7" w:rsidRDefault="009508F7">
            <w:pPr>
              <w:pStyle w:val="TableParagraph"/>
              <w:rPr>
                <w:sz w:val="21"/>
              </w:rPr>
            </w:pPr>
          </w:p>
          <w:p w:rsidR="009508F7" w:rsidRDefault="00CF0715">
            <w:pPr>
              <w:pStyle w:val="TableParagraph"/>
              <w:ind w:left="74" w:right="74"/>
              <w:jc w:val="center"/>
            </w:pPr>
            <w:r>
              <w:t>936</w:t>
            </w:r>
          </w:p>
        </w:tc>
        <w:tc>
          <w:tcPr>
            <w:tcW w:w="1560" w:type="dxa"/>
          </w:tcPr>
          <w:p w:rsidR="009508F7" w:rsidRDefault="009508F7">
            <w:pPr>
              <w:pStyle w:val="TableParagraph"/>
              <w:rPr>
                <w:sz w:val="21"/>
              </w:rPr>
            </w:pPr>
          </w:p>
          <w:p w:rsidR="009508F7" w:rsidRDefault="00CF0715">
            <w:pPr>
              <w:pStyle w:val="TableParagraph"/>
              <w:ind w:left="74" w:right="74"/>
              <w:jc w:val="center"/>
            </w:pPr>
            <w:r>
              <w:rPr>
                <w:color w:val="FF0000"/>
              </w:rPr>
              <w:t>946</w:t>
            </w:r>
          </w:p>
        </w:tc>
        <w:tc>
          <w:tcPr>
            <w:tcW w:w="1560" w:type="dxa"/>
          </w:tcPr>
          <w:p w:rsidR="009508F7" w:rsidRDefault="009508F7">
            <w:pPr>
              <w:pStyle w:val="TableParagraph"/>
              <w:rPr>
                <w:sz w:val="21"/>
              </w:rPr>
            </w:pPr>
          </w:p>
          <w:p w:rsidR="009508F7" w:rsidRDefault="00CF0715">
            <w:pPr>
              <w:pStyle w:val="TableParagraph"/>
              <w:ind w:left="74" w:right="74"/>
              <w:jc w:val="center"/>
            </w:pPr>
            <w:r>
              <w:t>942</w:t>
            </w:r>
          </w:p>
        </w:tc>
        <w:tc>
          <w:tcPr>
            <w:tcW w:w="1560" w:type="dxa"/>
          </w:tcPr>
          <w:p w:rsidR="009508F7" w:rsidRDefault="009508F7">
            <w:pPr>
              <w:pStyle w:val="TableParagraph"/>
              <w:rPr>
                <w:sz w:val="21"/>
              </w:rPr>
            </w:pPr>
          </w:p>
          <w:p w:rsidR="009508F7" w:rsidRDefault="00CF0715">
            <w:pPr>
              <w:pStyle w:val="TableParagraph"/>
              <w:ind w:left="74" w:right="74"/>
              <w:jc w:val="center"/>
            </w:pPr>
            <w:r>
              <w:t>926</w:t>
            </w:r>
          </w:p>
        </w:tc>
      </w:tr>
    </w:tbl>
    <w:p w:rsidR="009508F7" w:rsidRDefault="009508F7">
      <w:pPr>
        <w:jc w:val="center"/>
        <w:sectPr w:rsidR="009508F7">
          <w:pgSz w:w="12240" w:h="15840"/>
          <w:pgMar w:top="1380" w:right="1300" w:bottom="280" w:left="1340" w:header="720" w:footer="720" w:gutter="0"/>
          <w:cols w:space="720"/>
        </w:sectPr>
      </w:pPr>
    </w:p>
    <w:p w:rsidR="009508F7" w:rsidRDefault="009508F7">
      <w:pPr>
        <w:pStyle w:val="BodyText"/>
        <w:spacing w:before="5"/>
        <w:rPr>
          <w:sz w:val="28"/>
        </w:rPr>
      </w:pPr>
    </w:p>
    <w:p w:rsidR="009508F7" w:rsidRDefault="00CF0715">
      <w:pPr>
        <w:pStyle w:val="BodyText"/>
        <w:ind w:left="1579"/>
        <w:rPr>
          <w:sz w:val="20"/>
        </w:rPr>
      </w:pPr>
      <w:r>
        <w:rPr>
          <w:noProof/>
          <w:sz w:val="20"/>
        </w:rPr>
        <w:drawing>
          <wp:inline distT="0" distB="0" distL="0" distR="0">
            <wp:extent cx="4061038" cy="3410426"/>
            <wp:effectExtent l="0" t="0" r="0" b="0"/>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0" cstate="print"/>
                    <a:stretch>
                      <a:fillRect/>
                    </a:stretch>
                  </pic:blipFill>
                  <pic:spPr>
                    <a:xfrm>
                      <a:off x="0" y="0"/>
                      <a:ext cx="4061038" cy="3410426"/>
                    </a:xfrm>
                    <a:prstGeom prst="rect">
                      <a:avLst/>
                    </a:prstGeom>
                  </pic:spPr>
                </pic:pic>
              </a:graphicData>
            </a:graphic>
          </wp:inline>
        </w:drawing>
      </w:r>
    </w:p>
    <w:p w:rsidR="009508F7" w:rsidRDefault="009508F7">
      <w:pPr>
        <w:pStyle w:val="BodyText"/>
        <w:rPr>
          <w:sz w:val="7"/>
        </w:rPr>
      </w:pPr>
    </w:p>
    <w:p w:rsidR="009508F7" w:rsidRDefault="00CF0715">
      <w:pPr>
        <w:spacing w:before="90"/>
        <w:ind w:left="1690"/>
      </w:pPr>
      <w:r>
        <w:t>Figure 12. A section of ROC curves of different classification models.</w:t>
      </w:r>
    </w:p>
    <w:p w:rsidR="009508F7" w:rsidRDefault="009508F7">
      <w:pPr>
        <w:pStyle w:val="BodyText"/>
        <w:spacing w:before="6"/>
        <w:rPr>
          <w:sz w:val="32"/>
        </w:rPr>
      </w:pPr>
    </w:p>
    <w:p w:rsidR="009508F7" w:rsidRDefault="00CF0715">
      <w:pPr>
        <w:pStyle w:val="BodyText"/>
        <w:spacing w:line="288" w:lineRule="auto"/>
        <w:ind w:left="100" w:right="140"/>
        <w:jc w:val="both"/>
      </w:pPr>
      <w:r>
        <w:t xml:space="preserve">I also evaluated the models using their ROC curves. In this particular problem, lower </w:t>
      </w:r>
      <w:r>
        <w:rPr>
          <w:spacing w:val="-3"/>
        </w:rPr>
        <w:t xml:space="preserve">false </w:t>
      </w:r>
      <w:r>
        <w:t>positive rate is more important than higher true positive rate. In other words, it is more i</w:t>
      </w:r>
      <w:r>
        <w:t xml:space="preserve">mportant to be sure that a player will improve as predicted, rather than predict all players who will improve, simply because a team can only have limited number of players. In the ROC </w:t>
      </w:r>
      <w:r>
        <w:rPr>
          <w:spacing w:val="-3"/>
        </w:rPr>
        <w:t xml:space="preserve">curves </w:t>
      </w:r>
      <w:r>
        <w:t>with low false-positive rate, the voting model had slightly high</w:t>
      </w:r>
      <w:r>
        <w:t>er true positive rates than other models (Figure 12).</w:t>
      </w:r>
    </w:p>
    <w:p w:rsidR="009508F7" w:rsidRDefault="009508F7">
      <w:pPr>
        <w:pStyle w:val="BodyText"/>
        <w:spacing w:before="1"/>
        <w:rPr>
          <w:sz w:val="26"/>
        </w:rPr>
      </w:pPr>
    </w:p>
    <w:p w:rsidR="009508F7" w:rsidRDefault="00CF0715">
      <w:pPr>
        <w:pStyle w:val="Heading1"/>
        <w:numPr>
          <w:ilvl w:val="0"/>
          <w:numId w:val="1"/>
        </w:numPr>
        <w:tabs>
          <w:tab w:val="left" w:pos="380"/>
        </w:tabs>
        <w:ind w:hanging="279"/>
      </w:pPr>
      <w:r>
        <w:t>Conclusions</w:t>
      </w:r>
    </w:p>
    <w:p w:rsidR="009508F7" w:rsidRDefault="00CF0715">
      <w:pPr>
        <w:pStyle w:val="BodyText"/>
        <w:spacing w:before="61" w:line="288" w:lineRule="auto"/>
        <w:ind w:left="100" w:right="144"/>
        <w:jc w:val="both"/>
      </w:pPr>
      <w:r>
        <w:t xml:space="preserve">In this study, I analyzed the relationship between NBA players’ improvement/decline and </w:t>
      </w:r>
      <w:r>
        <w:rPr>
          <w:spacing w:val="-3"/>
        </w:rPr>
        <w:t xml:space="preserve">their </w:t>
      </w:r>
      <w:r>
        <w:t>performance and biographic data. I identified age, win share, minutes/games played, improvement last season among the most important features that affect a player’s improvement next season. I built both regression models and classification models to predic</w:t>
      </w:r>
      <w:r>
        <w:t xml:space="preserve">t whether and </w:t>
      </w:r>
      <w:r>
        <w:rPr>
          <w:spacing w:val="-4"/>
        </w:rPr>
        <w:t xml:space="preserve">how </w:t>
      </w:r>
      <w:r>
        <w:t xml:space="preserve">much a player would improve/decline. These models can be very useful in helping NBA </w:t>
      </w:r>
      <w:r>
        <w:rPr>
          <w:spacing w:val="-3"/>
        </w:rPr>
        <w:t xml:space="preserve">team </w:t>
      </w:r>
      <w:r>
        <w:t xml:space="preserve">management in a number of ways. For example, it could help identify players to acquire, estimate the size of the contract to offer players, plan for </w:t>
      </w:r>
      <w:r>
        <w:t>performance changes of players already on the team, etc.</w:t>
      </w:r>
    </w:p>
    <w:p w:rsidR="009508F7" w:rsidRDefault="009508F7">
      <w:pPr>
        <w:spacing w:line="288" w:lineRule="auto"/>
        <w:jc w:val="both"/>
        <w:sectPr w:rsidR="009508F7">
          <w:pgSz w:w="12240" w:h="15840"/>
          <w:pgMar w:top="1500" w:right="1300" w:bottom="280" w:left="1340" w:header="720" w:footer="720" w:gutter="0"/>
          <w:cols w:space="720"/>
        </w:sectPr>
      </w:pPr>
    </w:p>
    <w:p w:rsidR="009508F7" w:rsidRDefault="00CF0715">
      <w:pPr>
        <w:pStyle w:val="Heading1"/>
        <w:numPr>
          <w:ilvl w:val="0"/>
          <w:numId w:val="1"/>
        </w:numPr>
        <w:tabs>
          <w:tab w:val="left" w:pos="380"/>
        </w:tabs>
        <w:spacing w:before="68"/>
        <w:ind w:hanging="279"/>
      </w:pPr>
      <w:r>
        <w:lastRenderedPageBreak/>
        <w:t>Future</w:t>
      </w:r>
      <w:r>
        <w:rPr>
          <w:spacing w:val="-2"/>
        </w:rPr>
        <w:t xml:space="preserve"> </w:t>
      </w:r>
      <w:r>
        <w:t>directions</w:t>
      </w:r>
    </w:p>
    <w:p w:rsidR="009508F7" w:rsidRDefault="00CF0715">
      <w:pPr>
        <w:pStyle w:val="BodyText"/>
        <w:spacing w:before="61" w:line="288" w:lineRule="auto"/>
        <w:ind w:left="100" w:right="139"/>
        <w:jc w:val="both"/>
      </w:pPr>
      <w:r>
        <w:t>I was able to achieve ~26% improvement from the benchmark model in the regression problem, and ~68% accuracy in the classification problem. However, there was still signif</w:t>
      </w:r>
      <w:r>
        <w:t xml:space="preserve">icant </w:t>
      </w:r>
      <w:r>
        <w:rPr>
          <w:spacing w:val="-3"/>
        </w:rPr>
        <w:t xml:space="preserve">variance </w:t>
      </w:r>
      <w:r>
        <w:t xml:space="preserve">that could not be predicted by the models in this study. I think the models could use more improvements on capturing players’ individual traits. For example, two players might </w:t>
      </w:r>
      <w:r>
        <w:rPr>
          <w:spacing w:val="-3"/>
        </w:rPr>
        <w:t xml:space="preserve">have </w:t>
      </w:r>
      <w:r>
        <w:t xml:space="preserve">similar performance metrics, but one might be more physical </w:t>
      </w:r>
      <w:r>
        <w:t xml:space="preserve">and the other might be more finesse. The future performance of these two types of players might be different. </w:t>
      </w:r>
      <w:r>
        <w:rPr>
          <w:spacing w:val="-3"/>
        </w:rPr>
        <w:t xml:space="preserve">Another </w:t>
      </w:r>
      <w:r>
        <w:t xml:space="preserve">example is that players whose contracts are expiring might play harder/better than players </w:t>
      </w:r>
      <w:r>
        <w:rPr>
          <w:spacing w:val="-4"/>
        </w:rPr>
        <w:t xml:space="preserve">who </w:t>
      </w:r>
      <w:r>
        <w:t>just signed hefty contracts. More data, esp</w:t>
      </w:r>
      <w:r>
        <w:t>ecially data of different types, would help improve model performances significantly.</w:t>
      </w:r>
    </w:p>
    <w:p w:rsidR="009508F7" w:rsidRDefault="00CF0715">
      <w:pPr>
        <w:pStyle w:val="BodyText"/>
        <w:spacing w:line="288" w:lineRule="auto"/>
        <w:ind w:left="100" w:right="142" w:firstLine="720"/>
        <w:jc w:val="both"/>
      </w:pPr>
      <w:r>
        <w:t xml:space="preserve">Models in this study mainly focused on individual features. However, interactions </w:t>
      </w:r>
      <w:r>
        <w:rPr>
          <w:spacing w:val="-5"/>
        </w:rPr>
        <w:t xml:space="preserve">with </w:t>
      </w:r>
      <w:r>
        <w:t>teammates, coaches, might also contribute to a player’s performance. For example, i</w:t>
      </w:r>
      <w:r>
        <w:t>f a player had a new teammate who is a superstar at the same position, his performance is likely to suffer because of competition. These interactions data are obviously more difficult to extract and quantify, but if optimized, could bring significant impro</w:t>
      </w:r>
      <w:r>
        <w:t>vements to the models.</w:t>
      </w:r>
    </w:p>
    <w:sectPr w:rsidR="009508F7">
      <w:pgSz w:w="12240" w:h="15840"/>
      <w:pgMar w:top="138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A639A"/>
    <w:multiLevelType w:val="multilevel"/>
    <w:tmpl w:val="48E25B60"/>
    <w:lvl w:ilvl="0">
      <w:start w:val="1"/>
      <w:numFmt w:val="decimal"/>
      <w:lvlText w:val="%1."/>
      <w:lvlJc w:val="left"/>
      <w:pPr>
        <w:ind w:left="379" w:hanging="280"/>
        <w:jc w:val="left"/>
      </w:pPr>
      <w:rPr>
        <w:rFonts w:ascii="Times New Roman" w:eastAsia="Times New Roman" w:hAnsi="Times New Roman" w:cs="Times New Roman" w:hint="default"/>
        <w:b/>
        <w:bCs/>
        <w:w w:val="100"/>
        <w:sz w:val="28"/>
        <w:szCs w:val="28"/>
      </w:rPr>
    </w:lvl>
    <w:lvl w:ilvl="1">
      <w:start w:val="1"/>
      <w:numFmt w:val="decimal"/>
      <w:lvlText w:val="%1.%2"/>
      <w:lvlJc w:val="left"/>
      <w:pPr>
        <w:ind w:left="460" w:hanging="360"/>
        <w:jc w:val="left"/>
      </w:pPr>
      <w:rPr>
        <w:rFonts w:ascii="Times New Roman" w:eastAsia="Times New Roman" w:hAnsi="Times New Roman" w:cs="Times New Roman" w:hint="default"/>
        <w:b/>
        <w:bCs/>
        <w:w w:val="100"/>
        <w:sz w:val="24"/>
        <w:szCs w:val="24"/>
      </w:rPr>
    </w:lvl>
    <w:lvl w:ilvl="2">
      <w:start w:val="1"/>
      <w:numFmt w:val="decimal"/>
      <w:lvlText w:val="%1.%2.%3"/>
      <w:lvlJc w:val="left"/>
      <w:pPr>
        <w:ind w:left="640" w:hanging="540"/>
        <w:jc w:val="left"/>
      </w:pPr>
      <w:rPr>
        <w:rFonts w:ascii="Times New Roman" w:eastAsia="Times New Roman" w:hAnsi="Times New Roman" w:cs="Times New Roman" w:hint="default"/>
        <w:b/>
        <w:bCs/>
        <w:w w:val="100"/>
        <w:sz w:val="24"/>
        <w:szCs w:val="24"/>
      </w:rPr>
    </w:lvl>
    <w:lvl w:ilvl="3">
      <w:numFmt w:val="bullet"/>
      <w:lvlText w:val="•"/>
      <w:lvlJc w:val="left"/>
      <w:pPr>
        <w:ind w:left="1760" w:hanging="540"/>
      </w:pPr>
      <w:rPr>
        <w:rFonts w:hint="default"/>
      </w:rPr>
    </w:lvl>
    <w:lvl w:ilvl="4">
      <w:numFmt w:val="bullet"/>
      <w:lvlText w:val="•"/>
      <w:lvlJc w:val="left"/>
      <w:pPr>
        <w:ind w:left="2880" w:hanging="540"/>
      </w:pPr>
      <w:rPr>
        <w:rFonts w:hint="default"/>
      </w:rPr>
    </w:lvl>
    <w:lvl w:ilvl="5">
      <w:numFmt w:val="bullet"/>
      <w:lvlText w:val="•"/>
      <w:lvlJc w:val="left"/>
      <w:pPr>
        <w:ind w:left="4000" w:hanging="540"/>
      </w:pPr>
      <w:rPr>
        <w:rFonts w:hint="default"/>
      </w:rPr>
    </w:lvl>
    <w:lvl w:ilvl="6">
      <w:numFmt w:val="bullet"/>
      <w:lvlText w:val="•"/>
      <w:lvlJc w:val="left"/>
      <w:pPr>
        <w:ind w:left="5120" w:hanging="540"/>
      </w:pPr>
      <w:rPr>
        <w:rFonts w:hint="default"/>
      </w:rPr>
    </w:lvl>
    <w:lvl w:ilvl="7">
      <w:numFmt w:val="bullet"/>
      <w:lvlText w:val="•"/>
      <w:lvlJc w:val="left"/>
      <w:pPr>
        <w:ind w:left="6240" w:hanging="540"/>
      </w:pPr>
      <w:rPr>
        <w:rFonts w:hint="default"/>
      </w:rPr>
    </w:lvl>
    <w:lvl w:ilvl="8">
      <w:numFmt w:val="bullet"/>
      <w:lvlText w:val="•"/>
      <w:lvlJc w:val="left"/>
      <w:pPr>
        <w:ind w:left="7360" w:hanging="5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9508F7"/>
    <w:rsid w:val="000652A9"/>
    <w:rsid w:val="00724897"/>
    <w:rsid w:val="009508F7"/>
    <w:rsid w:val="00CF07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DF974EE"/>
  <w15:docId w15:val="{960C5338-66CB-954F-B4D4-863E5533B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79" w:hanging="279"/>
      <w:outlineLvl w:val="0"/>
    </w:pPr>
    <w:rPr>
      <w:b/>
      <w:bCs/>
      <w:sz w:val="28"/>
      <w:szCs w:val="28"/>
    </w:rPr>
  </w:style>
  <w:style w:type="paragraph" w:styleId="Heading2">
    <w:name w:val="heading 2"/>
    <w:basedOn w:val="Normal"/>
    <w:uiPriority w:val="9"/>
    <w:unhideWhenUsed/>
    <w:qFormat/>
    <w:pPr>
      <w:ind w:left="460" w:hanging="3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60" w:hanging="360"/>
    </w:pPr>
  </w:style>
  <w:style w:type="paragraph" w:customStyle="1" w:styleId="TableParagraph">
    <w:name w:val="Table Paragraph"/>
    <w:basedOn w:val="Normal"/>
    <w:uiPriority w:val="1"/>
    <w:qFormat/>
  </w:style>
  <w:style w:type="character" w:styleId="Hyperlink">
    <w:name w:val="Hyperlink"/>
    <w:basedOn w:val="DefaultParagraphFont"/>
    <w:uiPriority w:val="99"/>
    <w:semiHidden/>
    <w:unhideWhenUsed/>
    <w:rsid w:val="000652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134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ls.gov/"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fbi.gov/about-us/cjis/ucr/ucr"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www.well-beingindex.com/" TargetMode="External"/><Relationship Id="rId11" Type="http://schemas.openxmlformats.org/officeDocument/2006/relationships/image" Target="media/image3.png"/><Relationship Id="rId5" Type="http://schemas.openxmlformats.org/officeDocument/2006/relationships/hyperlink" Target="https://www.census.gov/"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16</Pages>
  <Words>2711</Words>
  <Characters>15454</Characters>
  <Application>Microsoft Office Word</Application>
  <DocSecurity>0</DocSecurity>
  <Lines>128</Lines>
  <Paragraphs>36</Paragraphs>
  <ScaleCrop>false</ScaleCrop>
  <Company/>
  <LinksUpToDate>false</LinksUpToDate>
  <CharactersWithSpaces>18129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2019-08-23T22:17:00Z</dcterms:created>
  <dcterms:modified xsi:type="dcterms:W3CDTF">2019-08-23T22:33:00Z</dcterms:modified>
</cp:coreProperties>
</file>