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ANONA  ·  TENET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COMPLETE STORY  ·  COMPETITIVE REBUTTAL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“Why won’t an incumbent just build this?”</w:t>
      </w:r>
    </w:p>
    <w:p>
      <w:pPr>
        <w:spacing w:after="24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Four categories are converging on the coordination layer. Here is the honest answer to each — and the two things none of them hold. Reads alongside Part I and Part II, the Competitive Landscape report, and the four-document master set.</w:t>
      </w:r>
    </w:p>
    <w:p>
      <w:pPr>
        <w:spacing w:after="14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THE CONTESTED CENTER</w:t>
      </w:r>
    </w:p>
    <w:p>
      <w:pPr>
        <w:spacing w:after="160" w:line="276"/>
      </w:pPr>
      <w:r>
        <w:rPr>
          <w:rFonts w:ascii="Calibri" w:cs="Calibri" w:eastAsia="Calibri" w:hAnsi="Calibri"/>
        </w:rPr>
        <w:t xml:space="preserve">TENET’s coordination layer is not empty white space — it is a center four well-funded categories are pressing toward, each from a different starting point. The table below maps who is coming from where, and what each actually holds today: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2360"/>
        <w:gridCol w:w="29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Direction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Who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they bring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From above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Work-OS &amp; automation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monday.com, Make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Capital + distribution, descending into orchestration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From the studio side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Pipeline trackers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Autodesk Flow, ftrack, NIM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Entrenched status-tracking; bolting on AI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From the suite side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Enterprise gen-AI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Adobe Firefly + Frame.io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Generation + review + a workflow builder, inside a $280B company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From below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Production finance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Wrapbook, Saturation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line="252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live money flow and real-time actuals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b/>
          <w:bCs/>
        </w:rPr>
        <w:t xml:space="preserve">Held by none of the four: </w:t>
      </w:r>
      <w:r>
        <w:rPr>
          <w:rFonts w:ascii="Calibri" w:cs="Calibri" w:eastAsia="Calibri" w:hAnsi="Calibri"/>
        </w:rPr>
        <w:t xml:space="preserve">bidirectional cross-vertical translation, and client-side cost &amp; timeline control. The rest of this document answers each category in turn, then returns to those two.</w:t>
      </w:r>
    </w:p>
    <w:p>
      <w:pPr>
        <w:spacing w:after="14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FROM ABOVE  ·  WORK-OS &amp; AUTOMATION  (monday.com &amp; Make)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</w:rPr>
        <w:t xml:space="preserve">The objection. </w:t>
      </w:r>
      <w:r>
        <w:rPr>
          <w:rFonts w:ascii="Calibri" w:cs="Calibri" w:eastAsia="Calibri" w:hAnsi="Calibri"/>
          <w:i/>
          <w:iCs/>
        </w:rPr>
        <w:t xml:space="preserve">“monday.com is public, repricing around AI agents, and Make is cheap glue. Won’t a general work platform just add a production module?”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</w:rPr>
        <w:t xml:space="preserve">What they actually have: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</w:rPr>
        <w:t xml:space="preserve">monday.com: $351M Q1’26 revenue, +24% YoY; AI now ~10% of net-new ARR.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</w:rPr>
        <w:t xml:space="preserve">Repriced to seats + AI credits — betting on agent work, not seats.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</w:rPr>
        <w:t xml:space="preserve">Make (Celonis-owned, ~$7.7B parent): $9–$10.59/mo, ubiquitous.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</w:rPr>
        <w:t xml:space="preserve">The answer — they are horizontal; TENET is vertical, and the vertical is the moat. </w:t>
      </w:r>
      <w:r>
        <w:rPr>
          <w:rFonts w:ascii="Calibri" w:cs="Calibri" w:eastAsia="Calibri" w:hAnsi="Calibri"/>
        </w:rPr>
        <w:t xml:space="preserve">A generic work-OS can route a task and fire a webhook. It cannot summarize an electrical plan for an interior designer in the language each speaks, or auto-derive the cascading tasks when a change ripples downstream. That domain fluency is the hard part — and it is not a module they toggle on. Make commoditizes the “connect the generators” step, which is exactly the part of TENET that was never the defensible part; the translation and client cost-control sit above the wiring.</w:t>
      </w:r>
    </w:p>
    <w:p>
      <w:pPr>
        <w:spacing w:after="14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FROM THE STUDIO SIDE  ·  PIPELINE TRACKERS  (Autodesk Flow, ftrack &amp; NIM)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</w:rPr>
        <w:t xml:space="preserve">The objection. </w:t>
      </w:r>
      <w:r>
        <w:rPr>
          <w:rFonts w:ascii="Calibri" w:cs="Calibri" w:eastAsia="Calibri" w:hAnsi="Calibri"/>
          <w:i/>
          <w:iCs/>
        </w:rPr>
        <w:t xml:space="preserve">“Autodesk Flow is the entrenched standard, ftrack is cheap, NIM already does bid-vs-actual. Why won’t the incumbent tracker just extend?”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</w:rPr>
        <w:t xml:space="preserve">What they actually have: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</w:rPr>
        <w:t xml:space="preserve">Autodesk Flow: ~$50/mo; the default studio pipeline tracker.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</w:rPr>
        <w:t xml:space="preserve">ftrack (Backlight): $10–$30/seat/mo; strong review UX.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</w:rPr>
        <w:t xml:space="preserve">NIM: bid-vs-actual financials alongside pipeline (post houses).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</w:rPr>
        <w:t xml:space="preserve">The answer — trackers show status to producers; TENET gives control to the client. </w:t>
      </w:r>
      <w:r>
        <w:rPr>
          <w:rFonts w:ascii="Calibri" w:cs="Calibri" w:eastAsia="Calibri" w:hAnsi="Calibri"/>
        </w:rPr>
        <w:t xml:space="preserve">Flow, ftrack and NIM are built for the people running the production — they display where a shot is and what a task costs internally. None of them turn the project’s money flow into a live, client-facing surface where the budget-holder can dictate up or down and watch cost and timeline recompute. NIM’s bid-vs-actual is the closest analog, and it proves demand for cost visibility — but it is an internal finance view, not the end of the change-order black box for the client.</w:t>
      </w:r>
    </w:p>
    <w:p>
      <w:pPr>
        <w:spacing w:after="14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FROM THE SUITE SIDE  ·  ENTERPRISE GEN-AI  (Adobe Firefly + Frame.io)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</w:rPr>
        <w:t xml:space="preserve">The objection. </w:t>
      </w:r>
      <w:r>
        <w:rPr>
          <w:rFonts w:ascii="Calibri" w:cs="Calibri" w:eastAsia="Calibri" w:hAnsi="Calibri"/>
          <w:i/>
          <w:iCs/>
        </w:rPr>
        <w:t xml:space="preserve">“Adobe owns Firefly and Frame.io, is building a Creative Production workflow builder, and has a $280B balance sheet. Doesn’t that close the gap?”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</w:rPr>
        <w:t xml:space="preserve">What they actually have: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</w:rPr>
        <w:t xml:space="preserve">Firefly ARR +75% QoQ (Q1 FY2026); model-agnostic, brand governance.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</w:rPr>
        <w:t xml:space="preserve">Frame.io (Adobe, ~$1.275B): review + approvals + workflow builder.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</w:rPr>
        <w:t xml:space="preserve">30+ enterprise content-production APIs in automated workflows.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</w:rPr>
        <w:t xml:space="preserve">The answer — Adobe optimizes asset creation and review; TENET coordinates specialists and money. </w:t>
      </w:r>
      <w:r>
        <w:rPr>
          <w:rFonts w:ascii="Calibri" w:cs="Calibri" w:eastAsia="Calibri" w:hAnsi="Calibri"/>
        </w:rPr>
        <w:t xml:space="preserve">Firefly + Frame.io is the strongest convergence threat — it connects generation, review, and assets. But it is built to make and approve content faster, not to manage cross-vertical dependencies or give the client cost-and-timeline control. There is no cost engine on the project’s money flow. Adobe is also a credible acquirer, not just a competitor — a layer that proves it ends the change-order black box is more valuable bolted onto their suite than rebuilt from scratch.</w:t>
      </w:r>
    </w:p>
    <w:p>
      <w:pPr>
        <w:spacing w:after="14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FROM BELOW  ·  PRODUCTION FINANCE  (Wrapbook &amp; Saturation.io)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</w:rPr>
        <w:t xml:space="preserve">The objection. </w:t>
      </w:r>
      <w:r>
        <w:rPr>
          <w:rFonts w:ascii="Calibri" w:cs="Calibri" w:eastAsia="Calibri" w:hAnsi="Calibri"/>
          <w:i/>
          <w:iCs/>
        </w:rPr>
        <w:t xml:space="preserve">“Wrapbook already owns the live money flow and Saturation does real-time actuals. Aren’t they one step from TENET’s pitch?”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</w:rPr>
        <w:t xml:space="preserve">What they actually have: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</w:rPr>
        <w:t xml:space="preserve">Wrapbook: $750M valuation, ~50% YoY growth, 1,000+ companies.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</w:rPr>
        <w:t xml:space="preserve">Saturation.io: real-time actuals, 8,000+ producers, from ~$20/mo.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</w:rPr>
        <w:t xml:space="preserve">Both: own payroll / budget data, not the creative handoffs.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</w:rPr>
        <w:t xml:space="preserve">The answer — they track the money; they do not carry the work between specialists. </w:t>
      </w:r>
      <w:r>
        <w:rPr>
          <w:rFonts w:ascii="Calibri" w:cs="Calibri" w:eastAsia="Calibri" w:hAnsi="Calibri"/>
        </w:rPr>
        <w:t xml:space="preserve">Wrapbook and Saturation are the closest functional analogs — they prove that real-time cost transparency is a real, paid need. But they sit on payroll and budget data, not on the creative dependency graph. They cannot translate a designer’s change into the electrician’s task list, because they never modeled the work itself. TENET sits on the money flow and the creative graph at once. That intersection — not finance alone — is what ends the black box.</w:t>
      </w:r>
    </w:p>
    <w:p>
      <w:pPr>
        <w:spacing w:after="14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WHAT SURVIVES EVERY REBUTTAL — TWO ASSETS NONE OF THE FOUR HOLD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</w:rPr>
        <w:t xml:space="preserve">Bidirectional cross-vertical translation. </w:t>
      </w:r>
      <w:r>
        <w:rPr>
          <w:rFonts w:ascii="Calibri" w:cs="Calibri" w:eastAsia="Calibri" w:hAnsi="Calibri"/>
        </w:rPr>
        <w:t xml:space="preserve">Re-summarize one specialist’s work into the language the next one speaks — and auto-derive the cascading tasks when a change ripples up or down. Trackers route; generators make; TENET translates.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</w:rPr>
        <w:t xml:space="preserve">Client-side cost &amp; timeline control. </w:t>
      </w:r>
      <w:r>
        <w:rPr>
          <w:rFonts w:ascii="Calibri" w:cs="Calibri" w:eastAsia="Calibri" w:hAnsi="Calibri"/>
        </w:rPr>
        <w:t xml:space="preserve">Put the budget-holder in the driver’s seat: dictate up or down, add or cut at the last minute, and watch cost and timeline recompute live. The end of the change-order black box.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</w:rPr>
        <w:t xml:space="preserve">The point: </w:t>
      </w:r>
      <w:r>
        <w:rPr>
          <w:rFonts w:ascii="Calibri" w:cs="Calibri" w:eastAsia="Calibri" w:hAnsi="Calibri"/>
        </w:rPr>
        <w:t xml:space="preserve">the bet isn’t that TENET out-features any one rival. It’s that it owns the intersection of these two — the coordination layer — which is a different job than anyone above, below, or beside it is built to do.</w:t>
      </w:r>
    </w:p>
    <w:p>
      <w:pPr>
        <w:spacing w:before="28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Reconciles to the ANONA Seed Investment Plan and the Competitive Landscape report. Illustrative figures for investor discussion; private-company data self-reported or estimated where noted. Not investment or legal advice. · June 2026 · Reads alongside Part I and Part II.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2026-06-04T02:18:17.930Z</dcterms:created>
  <dcterms:modified xsi:type="dcterms:W3CDTF">2026-06-04T02:18:17.930Z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