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ANONA  ·  SEED ROUND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BA7517"/>
          <w:sz w:val="24"/>
          <w:szCs w:val="24"/>
        </w:rPr>
        <w:t xml:space="preserve">Cap Table at a Glance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For the investor conversation. All figures reconcile to the Round &amp; Investor Cap and Valuation Basis tabs of the seed model.</w:t>
      </w:r>
    </w:p>
    <w:p>
      <w:pPr>
        <w:pBdr>
          <w:bottom w:val="single" w:color="BA7517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ROUND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Round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Seed (priced equity)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Target raise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$3.75M  (floor $3.5M · ceiling $4.5M)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Post-money valuation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$19.0M  (≈ pre-money $15.25M)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Implied dilution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19.7%  — market-standard ~20% for an AI-native seed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Minimum check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$250,000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Maximum investors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~15  (at the minimum check)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Instrument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Priced equity; ~$66K convertible bridge converts in at close</w:t>
            </w:r>
          </w:p>
        </w:tc>
      </w:tr>
    </w:tbl>
    <w:p>
      <w:pPr>
        <w:pBdr>
          <w:bottom w:val="single" w:color="BA7517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OWNERSHIP AT CLOSE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2500"/>
        <w:gridCol w:w="2500"/>
      </w:tblGrid>
      <w:tr>
        <w:trPr>
          <w:tblHeader/>
        </w:trPr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Holder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New capital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Ownership</w:t>
            </w:r>
          </w:p>
        </w:tc>
      </w:tr>
      <w:tr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Founders &amp; existing holders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80.3%</w:t>
            </w:r>
          </w:p>
        </w:tc>
      </w:tr>
      <w:tr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New seed investors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$3,750,000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19.7%</w:t>
            </w:r>
          </w:p>
        </w:tc>
      </w:tr>
      <w:tr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    — of which bridge note (converts in)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~$66,000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~0.3%</w:t>
            </w:r>
          </w:p>
        </w:tc>
      </w:tr>
      <w:tr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$3,750,000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Bridge is a subset of the round, not additive — it converts into the seed at close. Founder / option-pool split within the 80.3% to be set with counsel.</w:t>
      </w:r>
    </w:p>
    <w:p>
      <w:pPr>
        <w:pBdr>
          <w:bottom w:val="single" w:color="BA7517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HOW THE ROUND CAN BE BUILT — by minimum check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60"/>
        <w:gridCol w:w="1760"/>
        <w:gridCol w:w="1900"/>
        <w:gridCol w:w="1580"/>
        <w:gridCol w:w="1380"/>
      </w:tblGrid>
      <w:tr>
        <w:trPr>
          <w:tblHeader/>
        </w:trP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 check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Investors (max)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Each owns at close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Each at exit (diluted)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Stake at exit (base)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Return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$500K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2.63%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1.45%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~$1.17M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2.3×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$250K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1.32%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0.72%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~$584K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2.3×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$150K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0.79%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0.43%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~$350K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2.3×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$100K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37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0.53%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0.29%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~$233K</w:t>
            </w:r>
          </w:p>
        </w:tc>
        <w:tc>
          <w:tcPr>
            <w:tcW w:type="dxa" w:w="1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2.3×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The return multiple is identical across check sizes — the minimum decides how many investors and how large each stake, not the return. Fewer, larger checks keep the table clean.</w:t>
      </w:r>
    </w:p>
    <w:p>
      <w:pPr>
        <w:pBdr>
          <w:bottom w:val="single" w:color="BA7517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BA7517"/>
          <w:sz w:val="20"/>
          <w:szCs w:val="20"/>
        </w:rPr>
        <w:t xml:space="preserve">WHAT A $250K CHECK RETURNS — by exit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1900"/>
        <w:gridCol w:w="1700"/>
        <w:gridCol w:w="2100"/>
        <w:gridCol w:w="1900"/>
      </w:tblGrid>
      <w:tr>
        <w:trPr>
          <w:tblHeader/>
        </w:trP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Scenario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Exit ARR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Multiple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Stake at exit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Return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Conservative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$3.0M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8×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~$174K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0.7×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Base case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$5.4M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15×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~$584K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2.3×</w:t>
            </w:r>
          </w:p>
        </w:tc>
      </w:tr>
      <w:tr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Upside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$10.0M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22×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~$1.59M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6.4×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Base case returns ~2.3× at a defensible valuation; 3×+ comes from the upside — a higher exit multiple or ARR above ~$6.9M. Valuation triangulated by two independent methods (comparable seeds and a Series-A back-check), both near $19M.</w:t>
      </w:r>
    </w:p>
    <w:p>
      <w:pPr>
        <w:pBdr>
          <w:top w:val="single" w:color="DDDDDD" w:sz="4" w:space="4"/>
        </w:pBdr>
        <w:spacing w:before="160"/>
      </w:pPr>
      <w:r>
        <w:rPr>
          <w:rFonts w:ascii="Arial" w:cs="Arial" w:eastAsia="Arial" w:hAnsi="Arial"/>
          <w:i/>
          <w:iCs/>
          <w:color w:val="666666"/>
          <w:sz w:val="13"/>
          <w:szCs w:val="13"/>
        </w:rPr>
        <w:t xml:space="preserve">Illustrative; reconciles to the ANONA seed model. Exit stake assumes ~55% ownership retained through future dilution and a base 15× exit multiple. Figures and terms (including bridge cap/discount) to be finalized with counsel. Not investment or legal advice. · May 2026.</w:t>
      </w:r>
    </w:p>
    <w:sectPr>
      <w:pgSz w:w="12240" w:h="15840" w:orient="portrait"/>
      <w:pgMar w:top="84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2026-06-03T23:08:08.988Z</dcterms:created>
  <dcterms:modified xsi:type="dcterms:W3CDTF">2026-06-03T23:08:08.988Z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