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3D59"/>
        </w:rPr>
        <w:t>Document Auto-Classification</w:t>
        <w:br/>
        <w:t>&amp; Semantic Search</w:t>
      </w:r>
    </w:p>
    <w:p>
      <w:pPr>
        <w:jc w:val="center"/>
      </w:pPr>
      <w:r>
        <w:rPr>
          <w:color w:val="555F6B"/>
          <w:sz w:val="30"/>
        </w:rPr>
        <w:t>Complete Project Guide</w:t>
      </w:r>
    </w:p>
    <w:p>
      <w:pPr>
        <w:jc w:val="center"/>
      </w:pPr>
      <w:r>
        <w:rPr>
          <w:i/>
          <w:sz w:val="21"/>
        </w:rPr>
        <w:t>Fully offline, single-GPU Windows desktop application for hierarchical document</w:t>
        <w:br/>
        <w:t>classification and multilingual semantic search.</w:t>
      </w:r>
    </w:p>
    <w:p/>
    <w:tbl>
      <w:tblPr>
        <w:tblStyle w:val="TableGrid"/>
        <w:tblW w:type="auto" w:w="0"/>
        <w:jc w:val="center"/>
        <w:tblLook w:firstColumn="1" w:firstRow="1" w:lastColumn="0" w:lastRow="0" w:noHBand="0" w:noVBand="1" w:val="04A0"/>
      </w:tblPr>
      <w:tblGrid>
        <w:gridCol w:w="4824"/>
        <w:gridCol w:w="4824"/>
      </w:tblGrid>
      <w:tr>
        <w:tc>
          <w:tcPr>
            <w:tcW w:type="dxa" w:w="2160"/>
          </w:tcPr>
          <w:p>
            <w:pPr>
              <w:shd w:val="clear" w:color="auto" w:fill="DCE6F1"/>
            </w:pPr>
            <w:r/>
            <w:r>
              <w:rPr>
                <w:b/>
                <w:sz w:val="19"/>
              </w:rPr>
            </w:r>
          </w:p>
        </w:tc>
        <w:tc>
          <w:tcPr>
            <w:tcW w:type="dxa" w:w="6624"/>
          </w:tcPr>
          <w:p>
            <w:pPr>
              <w:shd w:val="clear" w:color="auto" w:fill="DCE6F1"/>
            </w:pPr>
            <w:r/>
            <w:r>
              <w:rPr>
                <w:b/>
                <w:sz w:val="19"/>
              </w:rPr>
            </w:r>
          </w:p>
        </w:tc>
      </w:tr>
      <w:tr>
        <w:tc>
          <w:tcPr>
            <w:tcW w:type="dxa" w:w="2160"/>
          </w:tcPr>
          <w:p>
            <w:pPr>
              <w:spacing w:after="40"/>
            </w:pPr>
            <w:r/>
            <w:r>
              <w:rPr>
                <w:sz w:val="18"/>
              </w:rPr>
              <w:t>Package</w:t>
            </w:r>
          </w:p>
        </w:tc>
        <w:tc>
          <w:tcPr>
            <w:tcW w:type="dxa" w:w="6624"/>
          </w:tcPr>
          <w:p>
            <w:pPr>
              <w:spacing w:after="40"/>
            </w:pPr>
            <w:r/>
            <w:r>
              <w:rPr>
                <w:sz w:val="18"/>
              </w:rPr>
              <w:t>`docclassify` v0.1.0</w:t>
            </w:r>
          </w:p>
        </w:tc>
      </w:tr>
      <w:tr>
        <w:tc>
          <w:tcPr>
            <w:tcW w:type="dxa" w:w="2160"/>
          </w:tcPr>
          <w:p>
            <w:pPr>
              <w:spacing w:after="40"/>
            </w:pPr>
            <w:r/>
            <w:r>
              <w:rPr>
                <w:sz w:val="18"/>
              </w:rPr>
              <w:t>Platform</w:t>
            </w:r>
          </w:p>
        </w:tc>
        <w:tc>
          <w:tcPr>
            <w:tcW w:type="dxa" w:w="6624"/>
          </w:tcPr>
          <w:p>
            <w:pPr>
              <w:spacing w:after="40"/>
            </w:pPr>
            <w:r/>
            <w:r>
              <w:rPr>
                <w:sz w:val="18"/>
              </w:rPr>
              <w:t>Windows 10/11, NVIDIA GPU recommended</w:t>
            </w:r>
          </w:p>
        </w:tc>
      </w:tr>
      <w:tr>
        <w:tc>
          <w:tcPr>
            <w:tcW w:type="dxa" w:w="2160"/>
          </w:tcPr>
          <w:p>
            <w:pPr>
              <w:spacing w:after="40"/>
            </w:pPr>
            <w:r/>
            <w:r>
              <w:rPr>
                <w:sz w:val="18"/>
              </w:rPr>
              <w:t>Python</w:t>
            </w:r>
          </w:p>
        </w:tc>
        <w:tc>
          <w:tcPr>
            <w:tcW w:type="dxa" w:w="6624"/>
          </w:tcPr>
          <w:p>
            <w:pPr>
              <w:spacing w:after="40"/>
            </w:pPr>
            <w:r/>
            <w:r>
              <w:rPr>
                <w:sz w:val="18"/>
              </w:rPr>
              <w:t>3.12 (exactly — see §3.2)</w:t>
            </w:r>
          </w:p>
        </w:tc>
      </w:tr>
      <w:tr>
        <w:tc>
          <w:tcPr>
            <w:tcW w:type="dxa" w:w="2160"/>
          </w:tcPr>
          <w:p>
            <w:pPr>
              <w:spacing w:after="40"/>
            </w:pPr>
            <w:r/>
            <w:r>
              <w:rPr>
                <w:sz w:val="18"/>
              </w:rPr>
              <w:t>Document date</w:t>
            </w:r>
          </w:p>
        </w:tc>
        <w:tc>
          <w:tcPr>
            <w:tcW w:type="dxa" w:w="6624"/>
          </w:tcPr>
          <w:p>
            <w:pPr>
              <w:spacing w:after="40"/>
            </w:pPr>
            <w:r/>
            <w:r>
              <w:rPr>
                <w:sz w:val="18"/>
              </w:rPr>
              <w:t>11 August 2026</w:t>
            </w:r>
          </w:p>
        </w:tc>
      </w:tr>
      <w:tr>
        <w:tc>
          <w:tcPr>
            <w:tcW w:type="dxa" w:w="2160"/>
          </w:tcPr>
          <w:p>
            <w:pPr>
              <w:spacing w:after="40"/>
            </w:pPr>
            <w:r/>
            <w:r>
              <w:rPr>
                <w:sz w:val="18"/>
              </w:rPr>
              <w:t>Codebase</w:t>
            </w:r>
          </w:p>
        </w:tc>
        <w:tc>
          <w:tcPr>
            <w:tcW w:type="dxa" w:w="6624"/>
          </w:tcPr>
          <w:p>
            <w:pPr>
              <w:spacing w:after="40"/>
            </w:pPr>
            <w:r/>
            <w:r>
              <w:rPr>
                <w:sz w:val="18"/>
              </w:rPr>
              <w:t>57 Python files, 3,817 lines (12 are package __init__ stubs)</w:t>
            </w:r>
          </w:p>
        </w:tc>
      </w:tr>
      <w:tr>
        <w:tc>
          <w:tcPr>
            <w:tcW w:type="dxa" w:w="2160"/>
          </w:tcPr>
          <w:p>
            <w:pPr>
              <w:spacing w:after="40"/>
            </w:pPr>
            <w:r/>
            <w:r>
              <w:rPr>
                <w:sz w:val="18"/>
              </w:rPr>
              <w:t>Status</w:t>
            </w:r>
          </w:p>
        </w:tc>
        <w:tc>
          <w:tcPr>
            <w:tcW w:type="dxa" w:w="6624"/>
          </w:tcPr>
          <w:p>
            <w:pPr>
              <w:spacing w:after="40"/>
            </w:pPr>
            <w:r/>
            <w:r>
              <w:rPr>
                <w:sz w:val="18"/>
              </w:rPr>
              <w:t>Application logic complete and unit-tested; never yet executed end to end (see §10)</w:t>
            </w:r>
          </w:p>
        </w:tc>
      </w:tr>
    </w:tbl>
    <w:p>
      <w:pPr>
        <w:spacing w:after="40"/>
      </w:pPr>
    </w:p>
    <w:p/>
    <w:p>
      <w:pPr>
        <w:spacing w:before="140" w:after="160"/>
        <w:ind w:left="173"/>
        <w:shd w:val="clear" w:color="auto" w:fill="FFF6E5"/>
      </w:pPr>
      <w:r>
        <w:rPr>
          <w:b/>
          <w:sz w:val="19"/>
        </w:rPr>
        <w:t xml:space="preserve">Read this first:  </w:t>
      </w:r>
      <w:r>
        <w:rPr>
          <w:sz w:val="19"/>
        </w:rPr>
        <w:t>§10 states plainly what has been verified and what has not. This guide describes a system whose logic is complete and reviewed, but which has never been run against a live model. Treat §4 as instructions to follow, not as a report of a working install.</w:t>
      </w:r>
    </w:p>
    <w:p>
      <w:r>
        <w:br w:type="page"/>
      </w:r>
    </w:p>
    <w:p>
      <w:pPr>
        <w:pStyle w:val="Heading1"/>
        <w:spacing w:before="0" w:after="100"/>
      </w:pPr>
      <w:r>
        <w:rPr>
          <w:color w:val="143D59"/>
        </w:rPr>
        <w:t>Contents</w:t>
      </w:r>
    </w:p>
    <w:p>
      <w:r>
        <w:fldChar w:fldCharType="begin"/>
        <w:instrText xml:space="preserve">TOC \o "1-2" \h \z \u</w:instrText>
        <w:fldChar w:fldCharType="separate"/>
      </w:r>
      <w:r>
        <w:rPr>
          <w:i/>
          <w:sz w:val="19"/>
        </w:rPr>
        <w:t>Right-click here and choose “Update Field” to build the table of contents.</w:t>
      </w:r>
      <w:r>
        <w:fldChar w:fldCharType="end"/>
      </w:r>
    </w:p>
    <w:p>
      <w:r>
        <w:br w:type="page"/>
      </w:r>
    </w:p>
    <w:p>
      <w:pPr>
        <w:pStyle w:val="Heading1"/>
        <w:spacing w:before="0" w:after="100"/>
      </w:pPr>
      <w:r>
        <w:rPr>
          <w:color w:val="143D59"/>
        </w:rPr>
        <w:t>1. Overview</w:t>
      </w:r>
    </w:p>
    <w:p>
      <w:pPr>
        <w:pStyle w:val="Heading2"/>
        <w:spacing w:before="280" w:after="100"/>
      </w:pPr>
      <w:r>
        <w:rPr>
          <w:color w:val="143D59"/>
        </w:rPr>
        <w:t>1.1 What the system does</w:t>
      </w:r>
    </w:p>
    <w:p>
      <w:r>
        <w:rPr>
          <w:b w:val="0"/>
          <w:i w:val="0"/>
        </w:rPr>
        <w:t>Two subsystems share a single document-ingestion pipeline. Every document that enters the system is parsed, OCR'd if necessary, language-tagged, chunked and embedded exactly once; both subsystems then consume the results of that shared work.</w:t>
      </w:r>
    </w:p>
    <w:tbl>
      <w:tblPr>
        <w:tblStyle w:val="TableGrid"/>
        <w:tblW w:type="auto" w:w="0"/>
        <w:jc w:val="center"/>
        <w:tblLook w:firstColumn="1" w:firstRow="1" w:lastColumn="0" w:lastRow="0" w:noHBand="0" w:noVBand="1" w:val="04A0"/>
      </w:tblPr>
      <w:tblGrid>
        <w:gridCol w:w="3216"/>
        <w:gridCol w:w="3216"/>
        <w:gridCol w:w="3216"/>
      </w:tblGrid>
      <w:tr>
        <w:tc>
          <w:tcPr>
            <w:tcW w:type="dxa" w:w="1728"/>
          </w:tcPr>
          <w:p>
            <w:pPr>
              <w:shd w:val="clear" w:color="auto" w:fill="DCE6F1"/>
            </w:pPr>
            <w:r/>
            <w:r>
              <w:rPr>
                <w:b/>
                <w:sz w:val="19"/>
              </w:rPr>
              <w:t>Subsystem</w:t>
            </w:r>
          </w:p>
        </w:tc>
        <w:tc>
          <w:tcPr>
            <w:tcW w:type="dxa" w:w="3744"/>
          </w:tcPr>
          <w:p>
            <w:pPr>
              <w:shd w:val="clear" w:color="auto" w:fill="DCE6F1"/>
            </w:pPr>
            <w:r/>
            <w:r>
              <w:rPr>
                <w:b/>
                <w:sz w:val="19"/>
              </w:rPr>
              <w:t>Purpose</w:t>
            </w:r>
          </w:p>
        </w:tc>
        <w:tc>
          <w:tcPr>
            <w:tcW w:type="dxa" w:w="3312"/>
          </w:tcPr>
          <w:p>
            <w:pPr>
              <w:shd w:val="clear" w:color="auto" w:fill="DCE6F1"/>
            </w:pPr>
            <w:r/>
            <w:r>
              <w:rPr>
                <w:b/>
                <w:sz w:val="19"/>
              </w:rPr>
              <w:t>Models used</w:t>
            </w:r>
          </w:p>
        </w:tc>
      </w:tr>
      <w:tr>
        <w:tc>
          <w:tcPr>
            <w:tcW w:type="dxa" w:w="1728"/>
          </w:tcPr>
          <w:p>
            <w:pPr>
              <w:spacing w:after="40"/>
            </w:pPr>
            <w:r/>
            <w:r>
              <w:rPr>
                <w:sz w:val="18"/>
              </w:rPr>
              <w:t>Classification</w:t>
            </w:r>
          </w:p>
        </w:tc>
        <w:tc>
          <w:tcPr>
            <w:tcW w:type="dxa" w:w="3744"/>
          </w:tcPr>
          <w:p>
            <w:pPr>
              <w:spacing w:after="40"/>
            </w:pPr>
            <w:r/>
            <w:r>
              <w:rPr>
                <w:sz w:val="18"/>
              </w:rPr>
              <w:t>Assigns every ingested document to a node in a fixed, hierarchical taxonomy (Domain → Field → Subfield → …)</w:t>
            </w:r>
          </w:p>
        </w:tc>
        <w:tc>
          <w:tcPr>
            <w:tcW w:type="dxa" w:w="3312"/>
          </w:tcPr>
          <w:p>
            <w:pPr>
              <w:spacing w:after="40"/>
            </w:pPr>
            <w:r/>
            <w:r>
              <w:rPr>
                <w:sz w:val="18"/>
              </w:rPr>
              <w:t>BGE-M3 for embedding similarity; Qwen2.5-7B-Instruct as a constrained tie-breaker for ambiguous cases</w:t>
            </w:r>
          </w:p>
        </w:tc>
      </w:tr>
      <w:tr>
        <w:tc>
          <w:tcPr>
            <w:tcW w:type="dxa" w:w="1728"/>
          </w:tcPr>
          <w:p>
            <w:pPr>
              <w:spacing w:after="40"/>
            </w:pPr>
            <w:r/>
            <w:r>
              <w:rPr>
                <w:sz w:val="18"/>
              </w:rPr>
              <w:t>Semantic search</w:t>
            </w:r>
          </w:p>
        </w:tc>
        <w:tc>
          <w:tcPr>
            <w:tcW w:type="dxa" w:w="3744"/>
          </w:tcPr>
          <w:p>
            <w:pPr>
              <w:spacing w:after="40"/>
            </w:pPr>
            <w:r/>
            <w:r>
              <w:rPr>
                <w:sz w:val="18"/>
              </w:rPr>
              <w:t>Multilingual, chunk-level search across the whole corpus</w:t>
            </w:r>
          </w:p>
        </w:tc>
        <w:tc>
          <w:tcPr>
            <w:tcW w:type="dxa" w:w="3312"/>
          </w:tcPr>
          <w:p>
            <w:pPr>
              <w:spacing w:after="40"/>
            </w:pPr>
            <w:r/>
            <w:r>
              <w:rPr>
                <w:sz w:val="18"/>
              </w:rPr>
              <w:t>BGE-M3 for candidate retrieval; bge-reranker-v2-m3 for precision reranking</w:t>
            </w:r>
          </w:p>
        </w:tc>
      </w:tr>
    </w:tbl>
    <w:p>
      <w:pPr>
        <w:spacing w:after="40"/>
      </w:pPr>
    </w:p>
    <w:p>
      <w:pPr>
        <w:pStyle w:val="Heading2"/>
        <w:spacing w:before="280" w:after="100"/>
      </w:pPr>
      <w:r>
        <w:rPr>
          <w:color w:val="143D59"/>
        </w:rPr>
        <w:t>1.2 Design principles</w:t>
      </w:r>
    </w:p>
    <w:p>
      <w:r>
        <w:rPr>
          <w:b w:val="0"/>
          <w:i w:val="0"/>
        </w:rPr>
        <w:t>Four decisions shape everything else in the codebase:</w:t>
      </w:r>
    </w:p>
    <w:p>
      <w:r>
        <w:rPr>
          <w:b/>
          <w:i w:val="0"/>
        </w:rPr>
        <w:t xml:space="preserve">Offline by construction. </w:t>
      </w:r>
      <w:r>
        <w:rPr>
          <w:b w:val="0"/>
          <w:i w:val="0"/>
        </w:rPr>
        <w:t xml:space="preserve">No code path performs a network call at runtime. Models load from local paths, storage is embedded (SQLite + LanceDB, no server process), and the LLM runs in-process via llama.cpp. Setting </w:t>
      </w:r>
      <w:r>
        <w:rPr>
          <w:rFonts w:ascii="Consolas" w:hAnsi="Consolas"/>
          <w:b w:val="0"/>
          <w:i w:val="0"/>
          <w:sz w:val="19"/>
        </w:rPr>
        <w:t>HF_HUB_OFFLINE=1</w:t>
      </w:r>
      <w:r>
        <w:rPr>
          <w:b w:val="0"/>
          <w:i w:val="0"/>
        </w:rPr>
        <w:t xml:space="preserve"> enforces this at the library level.</w:t>
      </w:r>
    </w:p>
    <w:p>
      <w:r>
        <w:rPr>
          <w:b/>
          <w:i w:val="0"/>
        </w:rPr>
        <w:t xml:space="preserve">One embedding function for everything. </w:t>
      </w:r>
      <w:r>
        <w:rPr>
          <w:b w:val="0"/>
          <w:i w:val="0"/>
        </w:rPr>
        <w:t xml:space="preserve">Documents, search queries and taxonomy nodes are all embedded through the same call. This is not a stylistic choice — it is what places them in one shared vector space, which is what makes cross-lingual retrieval and cosine comparison against category centroids valid at all. </w:t>
      </w:r>
      <w:r>
        <w:rPr>
          <w:rFonts w:ascii="Consolas" w:hAnsi="Consolas"/>
          <w:b w:val="0"/>
          <w:i w:val="0"/>
          <w:sz w:val="19"/>
        </w:rPr>
        <w:t>search/query.py</w:t>
      </w:r>
      <w:r>
        <w:rPr>
          <w:b w:val="0"/>
          <w:i w:val="0"/>
        </w:rPr>
        <w:t xml:space="preserve"> exists mainly to document that constraint.</w:t>
      </w:r>
    </w:p>
    <w:p>
      <w:r>
        <w:rPr>
          <w:b/>
          <w:i w:val="0"/>
        </w:rPr>
        <w:t xml:space="preserve">One pipeline function. </w:t>
      </w:r>
      <w:r>
        <w:rPr>
          <w:b w:val="0"/>
          <w:i w:val="0"/>
        </w:rPr>
        <w:t xml:space="preserve">Both the UI's Ingest button and the scheduled script call the same </w:t>
      </w:r>
      <w:r>
        <w:rPr>
          <w:rFonts w:ascii="Consolas" w:hAnsi="Consolas"/>
          <w:b w:val="0"/>
          <w:i w:val="0"/>
          <w:sz w:val="19"/>
        </w:rPr>
        <w:t>pipeline.process_document()</w:t>
      </w:r>
      <w:r>
        <w:rPr>
          <w:b w:val="0"/>
          <w:i w:val="0"/>
        </w:rPr>
        <w:t>, so behaviour cannot drift between the two entry points.</w:t>
      </w:r>
    </w:p>
    <w:p>
      <w:r>
        <w:rPr>
          <w:b/>
          <w:i w:val="0"/>
        </w:rPr>
        <w:t xml:space="preserve">A fixed taxonomy. </w:t>
      </w:r>
      <w:r>
        <w:rPr>
          <w:b w:val="0"/>
          <w:i w:val="0"/>
        </w:rPr>
        <w:t>The category tree is built once by clustering a sample of the corpus, labelled by the LLM, reviewed by a human, and then treated as read-mostly. The classifier never invents a category, and the LLM tie-breaker is only ever allowed to choose from a shortlist the embedding step produced.</w:t>
      </w:r>
    </w:p>
    <w:p>
      <w:pPr>
        <w:pStyle w:val="Heading2"/>
        <w:spacing w:before="280" w:after="100"/>
      </w:pPr>
      <w:r>
        <w:rPr>
          <w:color w:val="143D59"/>
        </w:rPr>
        <w:t>1.3 Scale target</w:t>
      </w:r>
    </w:p>
    <w:p>
      <w:r>
        <w:rPr>
          <w:b w:val="0"/>
          <w:i w:val="0"/>
        </w:rPr>
        <w:t>The design targets a one-time initial classification of a multi-million-document corpus (the reference figure used throughout the code comments is 10 million documents on a single RTX 5090), followed by monthly ingestion of new uploads. That split is why there are two ingestion entry points: a straightforward sequential one for monthly batches, and a multiprocess, batched one for the initial load.</w:t>
      </w:r>
    </w:p>
    <w:p>
      <w:r>
        <w:br w:type="page"/>
      </w:r>
    </w:p>
    <w:p>
      <w:pPr>
        <w:pStyle w:val="Heading1"/>
        <w:spacing w:before="0" w:after="100"/>
      </w:pPr>
      <w:r>
        <w:rPr>
          <w:color w:val="143D59"/>
        </w:rPr>
        <w:t>2. Architecture</w:t>
      </w:r>
    </w:p>
    <w:p>
      <w:pPr>
        <w:pStyle w:val="Heading2"/>
        <w:spacing w:before="280" w:after="100"/>
      </w:pPr>
      <w:r>
        <w:rPr>
          <w:color w:val="143D59"/>
        </w:rPr>
        <w:t>2.1 The shared ingestion pipeline</w:t>
      </w:r>
    </w:p>
    <w:p>
      <w:r>
        <w:rPr>
          <w:b w:val="0"/>
          <w:i w:val="0"/>
        </w:rPr>
        <w:t xml:space="preserve">Implemented in </w:t>
      </w:r>
      <w:r>
        <w:rPr>
          <w:rFonts w:ascii="Consolas" w:hAnsi="Consolas"/>
          <w:b w:val="0"/>
          <w:i w:val="0"/>
          <w:sz w:val="19"/>
        </w:rPr>
        <w:t>src/docclassify/pipeline.py</w:t>
      </w:r>
      <w:r>
        <w:rPr>
          <w:b w:val="0"/>
          <w:i w:val="0"/>
        </w:rPr>
        <w:t>. Stages run in this order for a single document: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tcPr>
          <w:p>
            <w:pPr>
              <w:shd w:val="clear" w:color="auto" w:fill="DCE6F1"/>
            </w:pPr>
            <w:r/>
            <w:r>
              <w:rPr>
                <w:b/>
                <w:sz w:val="19"/>
              </w:rPr>
              <w:t>#</w:t>
            </w:r>
          </w:p>
        </w:tc>
        <w:tc>
          <w:tcPr>
            <w:tcW w:type="dxa" w:w="1296"/>
          </w:tcPr>
          <w:p>
            <w:pPr>
              <w:shd w:val="clear" w:color="auto" w:fill="DCE6F1"/>
            </w:pPr>
            <w:r/>
            <w:r>
              <w:rPr>
                <w:b/>
                <w:sz w:val="19"/>
              </w:rPr>
              <w:t>Stage</w:t>
            </w:r>
          </w:p>
        </w:tc>
        <w:tc>
          <w:tcPr>
            <w:tcW w:type="dxa" w:w="1944"/>
          </w:tcPr>
          <w:p>
            <w:pPr>
              <w:shd w:val="clear" w:color="auto" w:fill="DCE6F1"/>
            </w:pPr>
            <w:r/>
            <w:r>
              <w:rPr>
                <w:b/>
                <w:sz w:val="19"/>
              </w:rPr>
              <w:t>Module</w:t>
            </w:r>
          </w:p>
        </w:tc>
        <w:tc>
          <w:tcPr>
            <w:tcW w:type="dxa" w:w="5112"/>
          </w:tcPr>
          <w:p>
            <w:pPr>
              <w:shd w:val="clear" w:color="auto" w:fill="DCE6F1"/>
            </w:pPr>
            <w:r/>
            <w:r>
              <w:rPr>
                <w:b/>
                <w:sz w:val="19"/>
              </w:rPr>
              <w:t>Behaviour</w:t>
            </w:r>
          </w:p>
        </w:tc>
      </w:tr>
      <w:tr>
        <w:tc>
          <w:tcPr>
            <w:tcW w:type="dxa" w:w="432"/>
          </w:tcPr>
          <w:p>
            <w:pPr>
              <w:spacing w:after="40"/>
            </w:pPr>
            <w:r/>
            <w:r>
              <w:rPr>
                <w:sz w:val="18"/>
              </w:rPr>
              <w:t>1</w:t>
            </w:r>
          </w:p>
        </w:tc>
        <w:tc>
          <w:tcPr>
            <w:tcW w:type="dxa" w:w="1296"/>
          </w:tcPr>
          <w:p>
            <w:pPr>
              <w:spacing w:after="40"/>
            </w:pPr>
            <w:r/>
            <w:r>
              <w:rPr>
                <w:sz w:val="18"/>
              </w:rPr>
              <w:t>Parse</w:t>
            </w:r>
          </w:p>
        </w:tc>
        <w:tc>
          <w:tcPr>
            <w:tcW w:type="dxa" w:w="1944"/>
          </w:tcPr>
          <w:p>
            <w:pPr>
              <w:spacing w:after="40"/>
            </w:pPr>
            <w:r/>
            <w:r>
              <w:rPr>
                <w:rFonts w:ascii="Consolas" w:hAnsi="Consolas"/>
                <w:sz w:val="17"/>
              </w:rPr>
              <w:t>ingestion/parsers.py</w:t>
            </w:r>
          </w:p>
        </w:tc>
        <w:tc>
          <w:tcPr>
            <w:tcW w:type="dxa" w:w="5112"/>
          </w:tcPr>
          <w:p>
            <w:pPr>
              <w:spacing w:after="40"/>
            </w:pPr>
            <w:r/>
            <w:r>
              <w:rPr>
                <w:sz w:val="18"/>
              </w:rPr>
              <w:t>Dispatch on file extension: PDF (PyMuPDF), DOCX, PPTX, HTML, TXT, MD. DOCX table cells are included; HTML boilerplate (script/style/nav/header/footer) is stripped.</w:t>
            </w:r>
          </w:p>
        </w:tc>
      </w:tr>
      <w:tr>
        <w:tc>
          <w:tcPr>
            <w:tcW w:type="dxa" w:w="432"/>
          </w:tcPr>
          <w:p>
            <w:pPr>
              <w:spacing w:after="40"/>
            </w:pPr>
            <w:r/>
            <w:r>
              <w:rPr>
                <w:sz w:val="18"/>
              </w:rPr>
              <w:t>2</w:t>
            </w:r>
          </w:p>
        </w:tc>
        <w:tc>
          <w:tcPr>
            <w:tcW w:type="dxa" w:w="1296"/>
          </w:tcPr>
          <w:p>
            <w:pPr>
              <w:spacing w:after="40"/>
            </w:pPr>
            <w:r/>
            <w:r>
              <w:rPr>
                <w:sz w:val="18"/>
              </w:rPr>
              <w:t>OCR fallback</w:t>
            </w:r>
          </w:p>
        </w:tc>
        <w:tc>
          <w:tcPr>
            <w:tcW w:type="dxa" w:w="1944"/>
          </w:tcPr>
          <w:p>
            <w:pPr>
              <w:spacing w:after="40"/>
            </w:pPr>
            <w:r/>
            <w:r>
              <w:rPr>
                <w:rFonts w:ascii="Consolas" w:hAnsi="Consolas"/>
                <w:sz w:val="17"/>
              </w:rPr>
              <w:t>ingestion/ocr.py</w:t>
            </w:r>
          </w:p>
        </w:tc>
        <w:tc>
          <w:tcPr>
            <w:tcW w:type="dxa" w:w="5112"/>
          </w:tcPr>
          <w:p>
            <w:pPr>
              <w:spacing w:after="40"/>
            </w:pPr>
            <w:r/>
            <w:r>
              <w:rPr>
                <w:sz w:val="18"/>
              </w:rPr>
              <w:t>Only for PDF pages with under 20 characters of text layer. Tesseract first (CPU, fast); EasyOCR retried if Tesseract's mean confidence falls below the threshold.</w:t>
            </w:r>
          </w:p>
        </w:tc>
      </w:tr>
      <w:tr>
        <w:tc>
          <w:tcPr>
            <w:tcW w:type="dxa" w:w="432"/>
          </w:tcPr>
          <w:p>
            <w:pPr>
              <w:spacing w:after="40"/>
            </w:pPr>
            <w:r/>
            <w:r>
              <w:rPr>
                <w:sz w:val="18"/>
              </w:rPr>
              <w:t>3</w:t>
            </w:r>
          </w:p>
        </w:tc>
        <w:tc>
          <w:tcPr>
            <w:tcW w:type="dxa" w:w="1296"/>
          </w:tcPr>
          <w:p>
            <w:pPr>
              <w:spacing w:after="40"/>
            </w:pPr>
            <w:r/>
            <w:r>
              <w:rPr>
                <w:sz w:val="18"/>
              </w:rPr>
              <w:t>Deduplicate</w:t>
            </w:r>
          </w:p>
        </w:tc>
        <w:tc>
          <w:tcPr>
            <w:tcW w:type="dxa" w:w="1944"/>
          </w:tcPr>
          <w:p>
            <w:pPr>
              <w:spacing w:after="40"/>
            </w:pPr>
            <w:r/>
            <w:r>
              <w:rPr>
                <w:rFonts w:ascii="Consolas" w:hAnsi="Consolas"/>
                <w:sz w:val="17"/>
              </w:rPr>
              <w:t>ingestion/dedup.py</w:t>
            </w:r>
          </w:p>
        </w:tc>
        <w:tc>
          <w:tcPr>
            <w:tcW w:type="dxa" w:w="5112"/>
          </w:tcPr>
          <w:p>
            <w:pPr>
              <w:spacing w:after="40"/>
            </w:pPr>
            <w:r/>
            <w:r>
              <w:rPr>
                <w:sz w:val="18"/>
              </w:rPr>
              <w:t>SHA-256 of whitespace-normalised, lower-cased text — not file bytes, so the same document re-saved in another format is still caught.</w:t>
            </w:r>
          </w:p>
        </w:tc>
      </w:tr>
      <w:tr>
        <w:tc>
          <w:tcPr>
            <w:tcW w:type="dxa" w:w="432"/>
          </w:tcPr>
          <w:p>
            <w:pPr>
              <w:spacing w:after="40"/>
            </w:pPr>
            <w:r/>
            <w:r>
              <w:rPr>
                <w:sz w:val="18"/>
              </w:rPr>
              <w:t>4</w:t>
            </w:r>
          </w:p>
        </w:tc>
        <w:tc>
          <w:tcPr>
            <w:tcW w:type="dxa" w:w="1296"/>
          </w:tcPr>
          <w:p>
            <w:pPr>
              <w:spacing w:after="40"/>
            </w:pPr>
            <w:r/>
            <w:r>
              <w:rPr>
                <w:sz w:val="18"/>
              </w:rPr>
              <w:t>Language ID</w:t>
            </w:r>
          </w:p>
        </w:tc>
        <w:tc>
          <w:tcPr>
            <w:tcW w:type="dxa" w:w="1944"/>
          </w:tcPr>
          <w:p>
            <w:pPr>
              <w:spacing w:after="40"/>
            </w:pPr>
            <w:r/>
            <w:r>
              <w:rPr>
                <w:rFonts w:ascii="Consolas" w:hAnsi="Consolas"/>
                <w:sz w:val="17"/>
              </w:rPr>
              <w:t>ingestion/language.py</w:t>
            </w:r>
          </w:p>
        </w:tc>
        <w:tc>
          <w:tcPr>
            <w:tcW w:type="dxa" w:w="5112"/>
          </w:tcPr>
          <w:p>
            <w:pPr>
              <w:spacing w:after="40"/>
            </w:pPr>
            <w:r/>
            <w:r>
              <w:rPr>
                <w:sz w:val="18"/>
              </w:rPr>
              <w:t>fastText lid.176, run per document AND per chunk, so a document with an English abstract and a Chinese body is handled correctly instead of collapsed to one guess.</w:t>
            </w:r>
          </w:p>
        </w:tc>
      </w:tr>
      <w:tr>
        <w:tc>
          <w:tcPr>
            <w:tcW w:type="dxa" w:w="432"/>
          </w:tcPr>
          <w:p>
            <w:pPr>
              <w:spacing w:after="40"/>
            </w:pPr>
            <w:r/>
            <w:r>
              <w:rPr>
                <w:sz w:val="18"/>
              </w:rPr>
              <w:t>5</w:t>
            </w:r>
          </w:p>
        </w:tc>
        <w:tc>
          <w:tcPr>
            <w:tcW w:type="dxa" w:w="1296"/>
          </w:tcPr>
          <w:p>
            <w:pPr>
              <w:spacing w:after="40"/>
            </w:pPr>
            <w:r/>
            <w:r>
              <w:rPr>
                <w:sz w:val="18"/>
              </w:rPr>
              <w:t>Metadata</w:t>
            </w:r>
          </w:p>
        </w:tc>
        <w:tc>
          <w:tcPr>
            <w:tcW w:type="dxa" w:w="1944"/>
          </w:tcPr>
          <w:p>
            <w:pPr>
              <w:spacing w:after="40"/>
            </w:pPr>
            <w:r/>
            <w:r>
              <w:rPr>
                <w:rFonts w:ascii="Consolas" w:hAnsi="Consolas"/>
                <w:sz w:val="17"/>
              </w:rPr>
              <w:t>metadata/extract.py</w:t>
            </w:r>
          </w:p>
        </w:tc>
        <w:tc>
          <w:tcPr>
            <w:tcW w:type="dxa" w:w="5112"/>
          </w:tcPr>
          <w:p>
            <w:pPr>
              <w:spacing w:after="40"/>
            </w:pPr>
            <w:r/>
            <w:r>
              <w:rPr>
                <w:sz w:val="18"/>
              </w:rPr>
              <w:t>GROBID for PDFs when reachable → local LLM fallback → KeyBERT for missing keywords → English mirror fields by translation. Every step is individually switchable in config.</w:t>
            </w:r>
          </w:p>
        </w:tc>
      </w:tr>
      <w:tr>
        <w:tc>
          <w:tcPr>
            <w:tcW w:type="dxa" w:w="432"/>
          </w:tcPr>
          <w:p>
            <w:pPr>
              <w:spacing w:after="40"/>
            </w:pPr>
            <w:r/>
            <w:r>
              <w:rPr>
                <w:sz w:val="18"/>
              </w:rPr>
              <w:t>6</w:t>
            </w:r>
          </w:p>
        </w:tc>
        <w:tc>
          <w:tcPr>
            <w:tcW w:type="dxa" w:w="1296"/>
          </w:tcPr>
          <w:p>
            <w:pPr>
              <w:spacing w:after="40"/>
            </w:pPr>
            <w:r/>
            <w:r>
              <w:rPr>
                <w:sz w:val="18"/>
              </w:rPr>
              <w:t>Chunk + embed</w:t>
            </w:r>
          </w:p>
        </w:tc>
        <w:tc>
          <w:tcPr>
            <w:tcW w:type="dxa" w:w="1944"/>
          </w:tcPr>
          <w:p>
            <w:pPr>
              <w:spacing w:after="40"/>
            </w:pPr>
            <w:r/>
            <w:r>
              <w:rPr>
                <w:rFonts w:ascii="Consolas" w:hAnsi="Consolas"/>
                <w:sz w:val="17"/>
              </w:rPr>
              <w:t>ingestion/chunking.py`, `embeddings/</w:t>
            </w:r>
          </w:p>
        </w:tc>
        <w:tc>
          <w:tcPr>
            <w:tcW w:type="dxa" w:w="5112"/>
          </w:tcPr>
          <w:p>
            <w:pPr>
              <w:spacing w:after="40"/>
            </w:pPr>
            <w:r/>
            <w:r>
              <w:rPr>
                <w:sz w:val="18"/>
              </w:rPr>
              <w:t>400-word windows with 50-word overlap. Chunks are embedded once and reused: a long document's document-level vector is mean-pooled from those same chunk vectors.</w:t>
            </w:r>
          </w:p>
        </w:tc>
      </w:tr>
      <w:tr>
        <w:tc>
          <w:tcPr>
            <w:tcW w:type="dxa" w:w="432"/>
          </w:tcPr>
          <w:p>
            <w:pPr>
              <w:spacing w:after="40"/>
            </w:pPr>
            <w:r/>
            <w:r>
              <w:rPr>
                <w:sz w:val="18"/>
              </w:rPr>
              <w:t>7</w:t>
            </w:r>
          </w:p>
        </w:tc>
        <w:tc>
          <w:tcPr>
            <w:tcW w:type="dxa" w:w="1296"/>
          </w:tcPr>
          <w:p>
            <w:pPr>
              <w:spacing w:after="40"/>
            </w:pPr>
            <w:r/>
            <w:r>
              <w:rPr>
                <w:sz w:val="18"/>
              </w:rPr>
              <w:t>Classify</w:t>
            </w:r>
          </w:p>
        </w:tc>
        <w:tc>
          <w:tcPr>
            <w:tcW w:type="dxa" w:w="1944"/>
          </w:tcPr>
          <w:p>
            <w:pPr>
              <w:spacing w:after="40"/>
            </w:pPr>
            <w:r/>
            <w:r>
              <w:rPr>
                <w:rFonts w:ascii="Consolas" w:hAnsi="Consolas"/>
                <w:sz w:val="17"/>
              </w:rPr>
              <w:t>classification/</w:t>
            </w:r>
          </w:p>
        </w:tc>
        <w:tc>
          <w:tcPr>
            <w:tcW w:type="dxa" w:w="5112"/>
          </w:tcPr>
          <w:p>
            <w:pPr>
              <w:spacing w:after="40"/>
            </w:pPr>
            <w:r/>
            <w:r>
              <w:rPr>
                <w:sz w:val="18"/>
              </w:rPr>
              <w:t>Top-down walk of the taxonomy; LLM tie-break on ambiguity. See §2.2.</w:t>
            </w:r>
          </w:p>
        </w:tc>
      </w:tr>
      <w:tr>
        <w:tc>
          <w:tcPr>
            <w:tcW w:type="dxa" w:w="432"/>
          </w:tcPr>
          <w:p>
            <w:pPr>
              <w:spacing w:after="40"/>
            </w:pPr>
            <w:r/>
            <w:r>
              <w:rPr>
                <w:sz w:val="18"/>
              </w:rPr>
              <w:t>8</w:t>
            </w:r>
          </w:p>
        </w:tc>
        <w:tc>
          <w:tcPr>
            <w:tcW w:type="dxa" w:w="1296"/>
          </w:tcPr>
          <w:p>
            <w:pPr>
              <w:spacing w:after="40"/>
            </w:pPr>
            <w:r/>
            <w:r>
              <w:rPr>
                <w:sz w:val="18"/>
              </w:rPr>
              <w:t>Persist</w:t>
            </w:r>
          </w:p>
        </w:tc>
        <w:tc>
          <w:tcPr>
            <w:tcW w:type="dxa" w:w="1944"/>
          </w:tcPr>
          <w:p>
            <w:pPr>
              <w:spacing w:after="40"/>
            </w:pPr>
            <w:r/>
            <w:r>
              <w:rPr>
                <w:rFonts w:ascii="Consolas" w:hAnsi="Consolas"/>
                <w:sz w:val="17"/>
              </w:rPr>
              <w:t>storage/</w:t>
            </w:r>
          </w:p>
        </w:tc>
        <w:tc>
          <w:tcPr>
            <w:tcW w:type="dxa" w:w="5112"/>
          </w:tcPr>
          <w:p>
            <w:pPr>
              <w:spacing w:after="40"/>
            </w:pPr>
            <w:r/>
            <w:r>
              <w:rPr>
                <w:sz w:val="18"/>
              </w:rPr>
              <w:t>Vectors to LanceDB, metadata to SQLite, and a single review-queue row carrying every reason the document needs human attention.</w:t>
            </w:r>
          </w:p>
        </w:tc>
      </w:tr>
    </w:tbl>
    <w:p>
      <w:pPr>
        <w:spacing w:after="40"/>
      </w:pPr>
    </w:p>
    <w:p>
      <w:pPr>
        <w:spacing w:before="140" w:after="160"/>
        <w:ind w:left="173"/>
        <w:shd w:val="clear" w:color="auto" w:fill="EAF3EA"/>
      </w:pPr>
      <w:r>
        <w:rPr>
          <w:b/>
          <w:sz w:val="19"/>
        </w:rPr>
        <w:t xml:space="preserve">Why chunk once:  </w:t>
      </w:r>
      <w:r>
        <w:rPr>
          <w:sz w:val="19"/>
        </w:rPr>
        <w:t>the search index needs chunk vectors regardless. Embedding the document a second time for classification would double the GPU cost of every long document for no benefit.</w:t>
      </w:r>
    </w:p>
    <w:p>
      <w:pPr>
        <w:pStyle w:val="Heading2"/>
        <w:spacing w:before="280" w:after="100"/>
      </w:pPr>
      <w:r>
        <w:rPr>
          <w:color w:val="143D59"/>
        </w:rPr>
        <w:t>2.2 The classification algorithm</w:t>
      </w:r>
    </w:p>
    <w:p>
      <w:r>
        <w:rPr>
          <w:b w:val="0"/>
          <w:i w:val="0"/>
        </w:rPr>
      </w:r>
      <w:r>
        <w:rPr>
          <w:rFonts w:ascii="Consolas" w:hAnsi="Consolas"/>
          <w:b w:val="0"/>
          <w:i w:val="0"/>
          <w:sz w:val="19"/>
        </w:rPr>
        <w:t>classification/classifier.py</w:t>
      </w:r>
      <w:r>
        <w:rPr>
          <w:b w:val="0"/>
          <w:i w:val="0"/>
        </w:rPr>
        <w:t xml:space="preserve"> walks the taxonomy one level at a time rather than comparing against every leaf:</w:t>
      </w:r>
    </w:p>
    <w:p>
      <w:pPr>
        <w:pStyle w:val="ListNumber"/>
        <w:spacing w:after="60"/>
      </w:pPr>
      <w:r>
        <w:t>Score the document vector against the children of the current node by cosine similarity.</w:t>
      </w:r>
    </w:p>
    <w:p>
      <w:pPr>
        <w:pStyle w:val="ListNumber"/>
        <w:spacing w:after="60"/>
      </w:pPr>
      <w:r>
        <w:t>Accept the best child only if it clears BOTH thresholds: its similarity is at least auto_assign_threshold (0.72), AND its lead over the runner-up is at least ambiguous_gap_threshold (0.05).</w:t>
      </w:r>
    </w:p>
    <w:p>
      <w:pPr>
        <w:pStyle w:val="ListNumber"/>
        <w:spacing w:after="60"/>
      </w:pPr>
      <w:r>
        <w:t>If both hold, descend into that child and repeat. If not, stop and escalate.</w:t>
      </w:r>
    </w:p>
    <w:p>
      <w:pPr>
        <w:pStyle w:val="ListNumber"/>
        <w:spacing w:after="60"/>
      </w:pPr>
      <w:r>
        <w:t>On escalation, hand the LLM the top 5 candidates AT THAT LEVEL — never the whole taxonomy — plus the document's title and opening text. The LLM must pick one of those ids or explicitly decline; an id outside the shortlist is rejected.</w:t>
      </w:r>
    </w:p>
    <w:p>
      <w:pPr>
        <w:pStyle w:val="ListNumber"/>
        <w:spacing w:after="60"/>
      </w:pPr>
      <w:r>
        <w:t>If the LLM declines or returns something invalid, the document keeps the ancestors the embedding walk was confident about and is queued for human review.</w:t>
      </w:r>
    </w:p>
    <w:p>
      <w:r>
        <w:rPr>
          <w:b w:val="0"/>
          <w:i w:val="0"/>
        </w:rPr>
        <w:t>The two-threshold test matters: raw similarity alone would accept a confident-looking score in a category the document only marginally prefers over its sibling. Requiring a margin is what makes the escalation set small enough for an LLM pass to be affordable.</w:t>
      </w:r>
    </w:p>
    <w:p>
      <w:pPr>
        <w:spacing w:before="140" w:after="160"/>
        <w:ind w:left="173"/>
        <w:shd w:val="clear" w:color="auto" w:fill="FFF6E5"/>
      </w:pPr>
      <w:r>
        <w:rPr>
          <w:b/>
          <w:sz w:val="19"/>
        </w:rPr>
        <w:t xml:space="preserve">Deliberate limitation:  </w:t>
      </w:r>
      <w:r>
        <w:rPr>
          <w:sz w:val="19"/>
        </w:rPr>
        <w:t>after the LLM picks a node, the walk stops there rather than continuing deeper. If the embedding step was not confident at that level, there is no reason to trust a deeper guess. This means LLM-assigned documents can sit at a shallower depth than auto-assigned ones.</w:t>
      </w:r>
    </w:p>
    <w:p>
      <w:pPr>
        <w:pStyle w:val="Heading2"/>
        <w:spacing w:before="280" w:after="100"/>
      </w:pPr>
      <w:r>
        <w:rPr>
          <w:color w:val="143D59"/>
        </w:rPr>
        <w:t>2.3 Search</w:t>
      </w:r>
    </w:p>
    <w:p>
      <w:r>
        <w:rPr>
          <w:b w:val="0"/>
          <w:i w:val="0"/>
        </w:rPr>
        <w:t>Two stages, because the accurate model is too slow to run over a whole corpus:</w:t>
      </w:r>
    </w:p>
    <w:tbl>
      <w:tblPr>
        <w:tblStyle w:val="TableGrid"/>
        <w:tblW w:type="auto" w:w="0"/>
        <w:jc w:val="center"/>
        <w:tblLook w:firstColumn="1" w:firstRow="1" w:lastColumn="0" w:lastRow="0" w:noHBand="0" w:noVBand="1" w:val="04A0"/>
      </w:tblPr>
      <w:tblGrid>
        <w:gridCol w:w="3216"/>
        <w:gridCol w:w="3216"/>
        <w:gridCol w:w="3216"/>
      </w:tblGrid>
      <w:tr>
        <w:tc>
          <w:tcPr>
            <w:tcW w:type="dxa" w:w="1368"/>
          </w:tcPr>
          <w:p>
            <w:pPr>
              <w:shd w:val="clear" w:color="auto" w:fill="DCE6F1"/>
            </w:pPr>
            <w:r/>
            <w:r>
              <w:rPr>
                <w:b/>
                <w:sz w:val="19"/>
              </w:rPr>
              <w:t>Stage</w:t>
            </w:r>
          </w:p>
        </w:tc>
        <w:tc>
          <w:tcPr>
            <w:tcW w:type="dxa" w:w="1944"/>
          </w:tcPr>
          <w:p>
            <w:pPr>
              <w:shd w:val="clear" w:color="auto" w:fill="DCE6F1"/>
            </w:pPr>
            <w:r/>
            <w:r>
              <w:rPr>
                <w:b/>
                <w:sz w:val="19"/>
              </w:rPr>
              <w:t>Module</w:t>
            </w:r>
          </w:p>
        </w:tc>
        <w:tc>
          <w:tcPr>
            <w:tcW w:type="dxa" w:w="5472"/>
          </w:tcPr>
          <w:p>
            <w:pPr>
              <w:shd w:val="clear" w:color="auto" w:fill="DCE6F1"/>
            </w:pPr>
            <w:r/>
            <w:r>
              <w:rPr>
                <w:b/>
                <w:sz w:val="19"/>
              </w:rPr>
              <w:t>What it does</w:t>
            </w:r>
          </w:p>
        </w:tc>
      </w:tr>
      <w:tr>
        <w:tc>
          <w:tcPr>
            <w:tcW w:type="dxa" w:w="1368"/>
          </w:tcPr>
          <w:p>
            <w:pPr>
              <w:spacing w:after="40"/>
            </w:pPr>
            <w:r/>
            <w:r>
              <w:rPr>
                <w:sz w:val="18"/>
              </w:rPr>
              <w:t>1 — Recall</w:t>
            </w:r>
          </w:p>
        </w:tc>
        <w:tc>
          <w:tcPr>
            <w:tcW w:type="dxa" w:w="1944"/>
          </w:tcPr>
          <w:p>
            <w:pPr>
              <w:spacing w:after="40"/>
            </w:pPr>
            <w:r/>
            <w:r>
              <w:rPr>
                <w:rFonts w:ascii="Consolas" w:hAnsi="Consolas"/>
                <w:sz w:val="17"/>
              </w:rPr>
              <w:t>search/ann_search.py</w:t>
            </w:r>
          </w:p>
        </w:tc>
        <w:tc>
          <w:tcPr>
            <w:tcW w:type="dxa" w:w="5472"/>
          </w:tcPr>
          <w:p>
            <w:pPr>
              <w:spacing w:after="40"/>
            </w:pPr>
            <w:r/>
            <w:r>
              <w:rPr>
                <w:sz w:val="18"/>
              </w:rPr>
              <w:t>Approximate nearest-neighbour scan over chunk vectors in LanceDB. Deliberately over-fetches (50 candidates). Category and language filters are pushed DOWN into LanceDB so the candidate budget is spent inside the filtered subset.</w:t>
            </w:r>
          </w:p>
        </w:tc>
      </w:tr>
      <w:tr>
        <w:tc>
          <w:tcPr>
            <w:tcW w:type="dxa" w:w="1368"/>
          </w:tcPr>
          <w:p>
            <w:pPr>
              <w:spacing w:after="40"/>
            </w:pPr>
            <w:r/>
            <w:r>
              <w:rPr>
                <w:sz w:val="18"/>
              </w:rPr>
              <w:t>2 — Precision</w:t>
            </w:r>
          </w:p>
        </w:tc>
        <w:tc>
          <w:tcPr>
            <w:tcW w:type="dxa" w:w="1944"/>
          </w:tcPr>
          <w:p>
            <w:pPr>
              <w:spacing w:after="40"/>
            </w:pPr>
            <w:r/>
            <w:r>
              <w:rPr>
                <w:rFonts w:ascii="Consolas" w:hAnsi="Consolas"/>
                <w:sz w:val="17"/>
              </w:rPr>
              <w:t>search/reranker.py</w:t>
            </w:r>
          </w:p>
        </w:tc>
        <w:tc>
          <w:tcPr>
            <w:tcW w:type="dxa" w:w="5472"/>
          </w:tcPr>
          <w:p>
            <w:pPr>
              <w:spacing w:after="40"/>
            </w:pPr>
            <w:r/>
            <w:r>
              <w:rPr>
                <w:sz w:val="18"/>
              </w:rPr>
              <w:t>A cross-encoder (bge-reranker-v2-m3) scores query and candidate JOINTLY, which is far more accurate than comparing two independent embeddings, and far too slow to run over more than the ~50 survivors. Returns the top 10.</w:t>
            </w:r>
          </w:p>
        </w:tc>
      </w:tr>
    </w:tbl>
    <w:p>
      <w:pPr>
        <w:spacing w:after="40"/>
      </w:pPr>
    </w:p>
    <w:p>
      <w:pPr>
        <w:pStyle w:val="Heading2"/>
        <w:spacing w:before="280" w:after="100"/>
      </w:pPr>
      <w:r>
        <w:rPr>
          <w:color w:val="143D59"/>
        </w:rPr>
        <w:t>2.4 Storage model</w:t>
      </w:r>
    </w:p>
    <w:p>
      <w:r>
        <w:rPr>
          <w:b w:val="0"/>
          <w:i w:val="0"/>
        </w:rPr>
        <w:t>Two engines, split by access pattern. Small structured data queried by exact match goes to SQLite; vectors go to LanceDB.</w:t>
      </w:r>
    </w:p>
    <w:p>
      <w:r>
        <w:rPr>
          <w:b/>
          <w:i w:val="0"/>
        </w:rPr>
        <w:t xml:space="preserve">SQLite </w:t>
      </w:r>
      <w:r>
        <w:rPr>
          <w:rFonts w:ascii="Consolas" w:hAnsi="Consolas"/>
          <w:b w:val="0"/>
          <w:i w:val="0"/>
          <w:sz w:val="19"/>
        </w:rPr>
        <w:t>(data/sqlite/app.db)</w:t>
      </w:r>
      <w:r>
        <w:rPr>
          <w:b w:val="0"/>
          <w:i w:val="0"/>
        </w:rPr>
        <w:t>:</w:t>
      </w:r>
    </w:p>
    <w:tbl>
      <w:tblPr>
        <w:tblStyle w:val="TableGrid"/>
        <w:tblW w:type="auto" w:w="0"/>
        <w:jc w:val="center"/>
        <w:tblLook w:firstColumn="1" w:firstRow="1" w:lastColumn="0" w:lastRow="0" w:noHBand="0" w:noVBand="1" w:val="04A0"/>
      </w:tblPr>
      <w:tblGrid>
        <w:gridCol w:w="4824"/>
        <w:gridCol w:w="4824"/>
      </w:tblGrid>
      <w:tr>
        <w:tc>
          <w:tcPr>
            <w:tcW w:type="dxa" w:w="1656"/>
          </w:tcPr>
          <w:p>
            <w:pPr>
              <w:shd w:val="clear" w:color="auto" w:fill="DCE6F1"/>
            </w:pPr>
            <w:r/>
            <w:r>
              <w:rPr>
                <w:b/>
                <w:sz w:val="19"/>
              </w:rPr>
              <w:t>Table</w:t>
            </w:r>
          </w:p>
        </w:tc>
        <w:tc>
          <w:tcPr>
            <w:tcW w:type="dxa" w:w="7128"/>
          </w:tcPr>
          <w:p>
            <w:pPr>
              <w:shd w:val="clear" w:color="auto" w:fill="DCE6F1"/>
            </w:pPr>
            <w:r/>
            <w:r>
              <w:rPr>
                <w:b/>
                <w:sz w:val="19"/>
              </w:rPr>
              <w:t>Contents</w:t>
            </w:r>
          </w:p>
        </w:tc>
      </w:tr>
      <w:tr>
        <w:tc>
          <w:tcPr>
            <w:tcW w:type="dxa" w:w="1656"/>
          </w:tcPr>
          <w:p>
            <w:pPr>
              <w:spacing w:after="40"/>
            </w:pPr>
            <w:r/>
            <w:r>
              <w:rPr>
                <w:rFonts w:ascii="Consolas" w:hAnsi="Consolas"/>
                <w:sz w:val="17"/>
              </w:rPr>
              <w:t>documents</w:t>
            </w:r>
          </w:p>
        </w:tc>
        <w:tc>
          <w:tcPr>
            <w:tcW w:type="dxa" w:w="7128"/>
          </w:tcPr>
          <w:p>
            <w:pPr>
              <w:spacing w:after="40"/>
            </w:pPr>
            <w:r/>
            <w:r>
              <w:rPr>
                <w:sz w:val="18"/>
              </w:rPr>
              <w:t>One row per document: filename, content hash, language, category_path, confidence, status, upload batch, plus the extracted metadata fields (title, authors, keywords, published date, cached summary).</w:t>
            </w:r>
          </w:p>
        </w:tc>
      </w:tr>
      <w:tr>
        <w:tc>
          <w:tcPr>
            <w:tcW w:type="dxa" w:w="1656"/>
          </w:tcPr>
          <w:p>
            <w:pPr>
              <w:spacing w:after="40"/>
            </w:pPr>
            <w:r/>
            <w:r>
              <w:rPr>
                <w:rFonts w:ascii="Consolas" w:hAnsi="Consolas"/>
                <w:sz w:val="17"/>
              </w:rPr>
              <w:t>taxonomy</w:t>
            </w:r>
          </w:p>
        </w:tc>
        <w:tc>
          <w:tcPr>
            <w:tcW w:type="dxa" w:w="7128"/>
          </w:tcPr>
          <w:p>
            <w:pPr>
              <w:spacing w:after="40"/>
            </w:pPr>
            <w:r/>
            <w:r>
              <w:rPr>
                <w:sz w:val="18"/>
              </w:rPr>
              <w:t>The fixed category tree: category_id, parent_id, name, description, level.</w:t>
            </w:r>
          </w:p>
        </w:tc>
      </w:tr>
      <w:tr>
        <w:tc>
          <w:tcPr>
            <w:tcW w:type="dxa" w:w="1656"/>
          </w:tcPr>
          <w:p>
            <w:pPr>
              <w:spacing w:after="40"/>
            </w:pPr>
            <w:r/>
            <w:r>
              <w:rPr>
                <w:rFonts w:ascii="Consolas" w:hAnsi="Consolas"/>
                <w:sz w:val="17"/>
              </w:rPr>
              <w:t>review_queue</w:t>
            </w:r>
          </w:p>
        </w:tc>
        <w:tc>
          <w:tcPr>
            <w:tcW w:type="dxa" w:w="7128"/>
          </w:tcPr>
          <w:p>
            <w:pPr>
              <w:spacing w:after="40"/>
            </w:pPr>
            <w:r/>
            <w:r>
              <w:rPr>
                <w:sz w:val="18"/>
              </w:rPr>
              <w:t>Documents needing human attention, keyed by doc_id, with a comma-separated reason list and the candidate categories considered.</w:t>
            </w:r>
          </w:p>
        </w:tc>
      </w:tr>
      <w:tr>
        <w:tc>
          <w:tcPr>
            <w:tcW w:type="dxa" w:w="1656"/>
          </w:tcPr>
          <w:p>
            <w:pPr>
              <w:spacing w:after="40"/>
            </w:pPr>
            <w:r/>
            <w:r>
              <w:rPr>
                <w:rFonts w:ascii="Consolas" w:hAnsi="Consolas"/>
                <w:sz w:val="17"/>
              </w:rPr>
              <w:t>monthly_reports</w:t>
            </w:r>
          </w:p>
        </w:tc>
        <w:tc>
          <w:tcPr>
            <w:tcW w:type="dxa" w:w="7128"/>
          </w:tcPr>
          <w:p>
            <w:pPr>
              <w:spacing w:after="40"/>
            </w:pPr>
            <w:r/>
            <w:r>
              <w:rPr>
                <w:sz w:val="18"/>
              </w:rPr>
              <w:t>One row per generated batch digest.</w:t>
            </w:r>
          </w:p>
        </w:tc>
      </w:tr>
    </w:tbl>
    <w:p>
      <w:pPr>
        <w:spacing w:after="40"/>
      </w:pPr>
    </w:p>
    <w:p>
      <w:r>
        <w:rPr>
          <w:b/>
          <w:i w:val="0"/>
        </w:rPr>
        <w:t xml:space="preserve">LanceDB </w:t>
      </w:r>
      <w:r>
        <w:rPr>
          <w:rFonts w:ascii="Consolas" w:hAnsi="Consolas"/>
          <w:b w:val="0"/>
          <w:i w:val="0"/>
          <w:sz w:val="19"/>
        </w:rPr>
        <w:t>(data/lancedb/)</w:t>
      </w:r>
      <w:r>
        <w:rPr>
          <w:b w:val="0"/>
          <w:i w:val="0"/>
        </w:rPr>
        <w:t>:</w:t>
      </w:r>
    </w:p>
    <w:tbl>
      <w:tblPr>
        <w:tblStyle w:val="TableGrid"/>
        <w:tblW w:type="auto" w:w="0"/>
        <w:jc w:val="center"/>
        <w:tblLook w:firstColumn="1" w:firstRow="1" w:lastColumn="0" w:lastRow="0" w:noHBand="0" w:noVBand="1" w:val="04A0"/>
      </w:tblPr>
      <w:tblGrid>
        <w:gridCol w:w="3216"/>
        <w:gridCol w:w="3216"/>
        <w:gridCol w:w="3216"/>
      </w:tblGrid>
      <w:tr>
        <w:tc>
          <w:tcPr>
            <w:tcW w:type="dxa" w:w="1872"/>
          </w:tcPr>
          <w:p>
            <w:pPr>
              <w:shd w:val="clear" w:color="auto" w:fill="DCE6F1"/>
            </w:pPr>
            <w:r/>
            <w:r>
              <w:rPr>
                <w:b/>
                <w:sz w:val="19"/>
              </w:rPr>
              <w:t>Table</w:t>
            </w:r>
          </w:p>
        </w:tc>
        <w:tc>
          <w:tcPr>
            <w:tcW w:type="dxa" w:w="4176"/>
          </w:tcPr>
          <w:p>
            <w:pPr>
              <w:shd w:val="clear" w:color="auto" w:fill="DCE6F1"/>
            </w:pPr>
            <w:r/>
            <w:r>
              <w:rPr>
                <w:b/>
                <w:sz w:val="19"/>
              </w:rPr>
              <w:t>Cardinality</w:t>
            </w:r>
          </w:p>
        </w:tc>
        <w:tc>
          <w:tcPr>
            <w:tcW w:type="dxa" w:w="2736"/>
          </w:tcPr>
          <w:p>
            <w:pPr>
              <w:shd w:val="clear" w:color="auto" w:fill="DCE6F1"/>
            </w:pPr>
            <w:r/>
            <w:r>
              <w:rPr>
                <w:b/>
                <w:sz w:val="19"/>
              </w:rPr>
              <w:t>Consumer</w:t>
            </w:r>
          </w:p>
        </w:tc>
      </w:tr>
      <w:tr>
        <w:tc>
          <w:tcPr>
            <w:tcW w:type="dxa" w:w="1872"/>
          </w:tcPr>
          <w:p>
            <w:pPr>
              <w:spacing w:after="40"/>
            </w:pPr>
            <w:r/>
            <w:r>
              <w:rPr>
                <w:rFonts w:ascii="Consolas" w:hAnsi="Consolas"/>
                <w:sz w:val="17"/>
              </w:rPr>
              <w:t>doc_vectors</w:t>
            </w:r>
          </w:p>
        </w:tc>
        <w:tc>
          <w:tcPr>
            <w:tcW w:type="dxa" w:w="4176"/>
          </w:tcPr>
          <w:p>
            <w:pPr>
              <w:spacing w:after="40"/>
            </w:pPr>
            <w:r/>
            <w:r>
              <w:rPr>
                <w:sz w:val="18"/>
              </w:rPr>
              <w:t>1 row per document (pooled or whole-document embedding)</w:t>
            </w:r>
          </w:p>
        </w:tc>
        <w:tc>
          <w:tcPr>
            <w:tcW w:type="dxa" w:w="2736"/>
          </w:tcPr>
          <w:p>
            <w:pPr>
              <w:spacing w:after="40"/>
            </w:pPr>
            <w:r/>
            <w:r>
              <w:rPr>
                <w:sz w:val="18"/>
              </w:rPr>
              <w:t>The classifier</w:t>
            </w:r>
          </w:p>
        </w:tc>
      </w:tr>
      <w:tr>
        <w:tc>
          <w:tcPr>
            <w:tcW w:type="dxa" w:w="1872"/>
          </w:tcPr>
          <w:p>
            <w:pPr>
              <w:spacing w:after="40"/>
            </w:pPr>
            <w:r/>
            <w:r>
              <w:rPr>
                <w:rFonts w:ascii="Consolas" w:hAnsi="Consolas"/>
                <w:sz w:val="17"/>
              </w:rPr>
              <w:t>chunk_vectors</w:t>
            </w:r>
          </w:p>
        </w:tc>
        <w:tc>
          <w:tcPr>
            <w:tcW w:type="dxa" w:w="4176"/>
          </w:tcPr>
          <w:p>
            <w:pPr>
              <w:spacing w:after="40"/>
            </w:pPr>
            <w:r/>
            <w:r>
              <w:rPr>
                <w:sz w:val="18"/>
              </w:rPr>
              <w:t>N rows per document, one per chunk</w:t>
            </w:r>
          </w:p>
        </w:tc>
        <w:tc>
          <w:tcPr>
            <w:tcW w:type="dxa" w:w="2736"/>
          </w:tcPr>
          <w:p>
            <w:pPr>
              <w:spacing w:after="40"/>
            </w:pPr>
            <w:r/>
            <w:r>
              <w:rPr>
                <w:sz w:val="18"/>
              </w:rPr>
              <w:t>Search</w:t>
            </w:r>
          </w:p>
        </w:tc>
      </w:tr>
      <w:tr>
        <w:tc>
          <w:tcPr>
            <w:tcW w:type="dxa" w:w="1872"/>
          </w:tcPr>
          <w:p>
            <w:pPr>
              <w:spacing w:after="40"/>
            </w:pPr>
            <w:r/>
            <w:r>
              <w:rPr>
                <w:rFonts w:ascii="Consolas" w:hAnsi="Consolas"/>
                <w:sz w:val="17"/>
              </w:rPr>
              <w:t>category_vectors</w:t>
            </w:r>
          </w:p>
        </w:tc>
        <w:tc>
          <w:tcPr>
            <w:tcW w:type="dxa" w:w="4176"/>
          </w:tcPr>
          <w:p>
            <w:pPr>
              <w:spacing w:after="40"/>
            </w:pPr>
            <w:r/>
            <w:r>
              <w:rPr>
                <w:sz w:val="18"/>
              </w:rPr>
              <w:t>1 row per taxonomy node</w:t>
            </w:r>
          </w:p>
        </w:tc>
        <w:tc>
          <w:tcPr>
            <w:tcW w:type="dxa" w:w="2736"/>
          </w:tcPr>
          <w:p>
            <w:pPr>
              <w:spacing w:after="40"/>
            </w:pPr>
            <w:r/>
            <w:r>
              <w:rPr>
                <w:sz w:val="18"/>
              </w:rPr>
              <w:t>The classifier</w:t>
            </w:r>
          </w:p>
        </w:tc>
      </w:tr>
    </w:tbl>
    <w:p>
      <w:pPr>
        <w:spacing w:after="40"/>
      </w:pPr>
    </w:p>
    <w:p>
      <w:pPr>
        <w:spacing w:before="140" w:after="160"/>
        <w:ind w:left="173"/>
        <w:shd w:val="clear" w:color="auto" w:fill="FFF6E5"/>
      </w:pPr>
      <w:r>
        <w:rPr>
          <w:b/>
          <w:sz w:val="19"/>
        </w:rPr>
        <w:t xml:space="preserve">Denormalisation you should know about:  </w:t>
      </w:r>
      <w:r>
        <w:rPr>
          <w:sz w:val="19"/>
        </w:rPr>
        <w:t>category_path is copied onto every chunk row. LanceDB can only push a filter down into the table it is scanning, so filtering search by category requires the column to live on the chunk. lancedb_store.update_doc_category() keeps both vector tables in step whenever a document is re-classified — a resolution that only touched SQLite would leave the document unfindable under its new category.</w:t>
      </w:r>
    </w:p>
    <w:p>
      <w:pPr>
        <w:pStyle w:val="Heading2"/>
        <w:spacing w:before="280" w:after="100"/>
      </w:pPr>
      <w:r>
        <w:rPr>
          <w:color w:val="143D59"/>
        </w:rPr>
        <w:t>2.5 A note on category vectors</w:t>
      </w:r>
    </w:p>
    <w:p>
      <w:r>
        <w:rPr>
          <w:b w:val="0"/>
          <w:i w:val="0"/>
        </w:rPr>
        <w:t xml:space="preserve">A category's stored vector is not simply its description embedded. </w:t>
      </w:r>
      <w:r>
        <w:rPr>
          <w:rFonts w:ascii="Consolas" w:hAnsi="Consolas"/>
          <w:b w:val="0"/>
          <w:i w:val="0"/>
          <w:sz w:val="19"/>
        </w:rPr>
        <w:t>taxonomy_store.create_category()</w:t>
      </w:r>
      <w:r>
        <w:rPr>
          <w:b w:val="0"/>
          <w:i w:val="0"/>
        </w:rPr>
        <w:t xml:space="preserve"> blends the description embedding with the centroid of the cluster's seed documents, which classifies noticeably better: a one-sentence description sits in a different part of the vector space than the long, concrete documents it is meant to attract.</w:t>
      </w:r>
    </w:p>
    <w:p>
      <w:r>
        <w:br w:type="page"/>
      </w:r>
    </w:p>
    <w:p>
      <w:pPr>
        <w:pStyle w:val="Heading1"/>
        <w:spacing w:before="0" w:after="100"/>
      </w:pPr>
      <w:r>
        <w:rPr>
          <w:color w:val="143D59"/>
        </w:rPr>
        <w:t>3. Prerequisites</w:t>
      </w:r>
    </w:p>
    <w:p>
      <w:pPr>
        <w:pStyle w:val="Heading2"/>
        <w:spacing w:before="280" w:after="100"/>
      </w:pPr>
      <w:r>
        <w:rPr>
          <w:color w:val="143D59"/>
        </w:rPr>
        <w:t>3.1 Requirements</w:t>
      </w:r>
    </w:p>
    <w:tbl>
      <w:tblPr>
        <w:tblStyle w:val="TableGrid"/>
        <w:tblW w:type="auto" w:w="0"/>
        <w:jc w:val="center"/>
        <w:tblLook w:firstColumn="1" w:firstRow="1" w:lastColumn="0" w:lastRow="0" w:noHBand="0" w:noVBand="1" w:val="04A0"/>
      </w:tblPr>
      <w:tblGrid>
        <w:gridCol w:w="4824"/>
        <w:gridCol w:w="4824"/>
      </w:tblGrid>
      <w:tr>
        <w:tc>
          <w:tcPr>
            <w:tcW w:type="dxa" w:w="1872"/>
          </w:tcPr>
          <w:p>
            <w:pPr>
              <w:shd w:val="clear" w:color="auto" w:fill="DCE6F1"/>
            </w:pPr>
            <w:r/>
            <w:r>
              <w:rPr>
                <w:b/>
                <w:sz w:val="19"/>
              </w:rPr>
              <w:t>Requirement</w:t>
            </w:r>
          </w:p>
        </w:tc>
        <w:tc>
          <w:tcPr>
            <w:tcW w:type="dxa" w:w="6912"/>
          </w:tcPr>
          <w:p>
            <w:pPr>
              <w:shd w:val="clear" w:color="auto" w:fill="DCE6F1"/>
            </w:pPr>
            <w:r/>
            <w:r>
              <w:rPr>
                <w:b/>
                <w:sz w:val="19"/>
              </w:rPr>
              <w:t>Detail</w:t>
            </w:r>
          </w:p>
        </w:tc>
      </w:tr>
      <w:tr>
        <w:tc>
          <w:tcPr>
            <w:tcW w:type="dxa" w:w="1872"/>
          </w:tcPr>
          <w:p>
            <w:pPr>
              <w:spacing w:after="40"/>
            </w:pPr>
            <w:r/>
            <w:r>
              <w:rPr>
                <w:sz w:val="18"/>
              </w:rPr>
              <w:t>Operating system</w:t>
            </w:r>
          </w:p>
        </w:tc>
        <w:tc>
          <w:tcPr>
            <w:tcW w:type="dxa" w:w="6912"/>
          </w:tcPr>
          <w:p>
            <w:pPr>
              <w:spacing w:after="40"/>
            </w:pPr>
            <w:r/>
            <w:r>
              <w:rPr>
                <w:sz w:val="18"/>
              </w:rPr>
              <w:t>Windows 10 or 11. The OCR and LLM install steps are Windows-targeted; development on Linux/macOS works if you substitute the installer commands.</w:t>
            </w:r>
          </w:p>
        </w:tc>
      </w:tr>
      <w:tr>
        <w:tc>
          <w:tcPr>
            <w:tcW w:type="dxa" w:w="1872"/>
          </w:tcPr>
          <w:p>
            <w:pPr>
              <w:spacing w:after="40"/>
            </w:pPr>
            <w:r/>
            <w:r>
              <w:rPr>
                <w:sz w:val="18"/>
              </w:rPr>
              <w:t>Python</w:t>
            </w:r>
          </w:p>
        </w:tc>
        <w:tc>
          <w:tcPr>
            <w:tcW w:type="dxa" w:w="6912"/>
          </w:tcPr>
          <w:p>
            <w:pPr>
              <w:spacing w:after="40"/>
            </w:pPr>
            <w:r/>
            <w:r>
              <w:rPr>
                <w:sz w:val="18"/>
              </w:rPr>
              <w:t>3.12 exactly — see §3.2. This is a hard constraint, not a recommendation.</w:t>
            </w:r>
          </w:p>
        </w:tc>
      </w:tr>
      <w:tr>
        <w:tc>
          <w:tcPr>
            <w:tcW w:type="dxa" w:w="1872"/>
          </w:tcPr>
          <w:p>
            <w:pPr>
              <w:spacing w:after="40"/>
            </w:pPr>
            <w:r/>
            <w:r>
              <w:rPr>
                <w:sz w:val="18"/>
              </w:rPr>
              <w:t>GPU</w:t>
            </w:r>
          </w:p>
        </w:tc>
        <w:tc>
          <w:tcPr>
            <w:tcW w:type="dxa" w:w="6912"/>
          </w:tcPr>
          <w:p>
            <w:pPr>
              <w:spacing w:after="40"/>
            </w:pPr>
            <w:r/>
            <w:r>
              <w:rPr>
                <w:sz w:val="18"/>
              </w:rPr>
              <w:t>NVIDIA with CUDA support, strongly recommended. BGE-M3, the reranker and the 7B LLM are all designed to run GPU-accelerated. CPU-only is correct but slow.</w:t>
            </w:r>
          </w:p>
        </w:tc>
      </w:tr>
      <w:tr>
        <w:tc>
          <w:tcPr>
            <w:tcW w:type="dxa" w:w="1872"/>
          </w:tcPr>
          <w:p>
            <w:pPr>
              <w:spacing w:after="40"/>
            </w:pPr>
            <w:r/>
            <w:r>
              <w:rPr>
                <w:sz w:val="18"/>
              </w:rPr>
              <w:t>NVIDIA driver</w:t>
            </w:r>
          </w:p>
        </w:tc>
        <w:tc>
          <w:tcPr>
            <w:tcW w:type="dxa" w:w="6912"/>
          </w:tcPr>
          <w:p>
            <w:pPr>
              <w:spacing w:after="40"/>
            </w:pPr>
            <w:r/>
            <w:r>
              <w:rPr>
                <w:sz w:val="18"/>
              </w:rPr>
              <w:t>Required on the machine that RUNS the app. CUDA runtime DLLs ship inside the wheels; the driver cannot be bundled.</w:t>
            </w:r>
          </w:p>
        </w:tc>
      </w:tr>
      <w:tr>
        <w:tc>
          <w:tcPr>
            <w:tcW w:type="dxa" w:w="1872"/>
          </w:tcPr>
          <w:p>
            <w:pPr>
              <w:spacing w:after="40"/>
            </w:pPr>
            <w:r/>
            <w:r>
              <w:rPr>
                <w:sz w:val="18"/>
              </w:rPr>
              <w:t>CUDA Toolkit</w:t>
            </w:r>
          </w:p>
        </w:tc>
        <w:tc>
          <w:tcPr>
            <w:tcW w:type="dxa" w:w="6912"/>
          </w:tcPr>
          <w:p>
            <w:pPr>
              <w:spacing w:after="40"/>
            </w:pPr>
            <w:r/>
            <w:r>
              <w:rPr>
                <w:sz w:val="18"/>
              </w:rPr>
              <w:t>NOT required if you use the prebuilt llama-cpp-python wheel and CUDA torch. Only needed if you choose to compile llama-cpp-python yourself.</w:t>
            </w:r>
          </w:p>
        </w:tc>
      </w:tr>
      <w:tr>
        <w:tc>
          <w:tcPr>
            <w:tcW w:type="dxa" w:w="1872"/>
          </w:tcPr>
          <w:p>
            <w:pPr>
              <w:spacing w:after="40"/>
            </w:pPr>
            <w:r/>
            <w:r>
              <w:rPr>
                <w:sz w:val="18"/>
              </w:rPr>
              <w:t>VS Build Tools</w:t>
            </w:r>
          </w:p>
        </w:tc>
        <w:tc>
          <w:tcPr>
            <w:tcW w:type="dxa" w:w="6912"/>
          </w:tcPr>
          <w:p>
            <w:pPr>
              <w:spacing w:after="40"/>
            </w:pPr>
            <w:r/>
            <w:r>
              <w:rPr>
                <w:sz w:val="18"/>
              </w:rPr>
              <w:t>NOT required, for the same reason. The point of the vendored wheelhouse is that nothing compiles at install time.</w:t>
            </w:r>
          </w:p>
        </w:tc>
      </w:tr>
      <w:tr>
        <w:tc>
          <w:tcPr>
            <w:tcW w:type="dxa" w:w="1872"/>
          </w:tcPr>
          <w:p>
            <w:pPr>
              <w:spacing w:after="40"/>
            </w:pPr>
            <w:r/>
            <w:r>
              <w:rPr>
                <w:sz w:val="18"/>
              </w:rPr>
              <w:t>Disk space</w:t>
            </w:r>
          </w:p>
        </w:tc>
        <w:tc>
          <w:tcPr>
            <w:tcW w:type="dxa" w:w="6912"/>
          </w:tcPr>
          <w:p>
            <w:pPr>
              <w:spacing w:after="40"/>
            </w:pPr>
            <w:r/>
            <w:r>
              <w:rPr>
                <w:sz w:val="18"/>
              </w:rPr>
              <w:t>≈13 GB: model weights 8.8 GB, wheelhouse 1.2 GB, installed venv ≈3 GB. Add ≈2.5 GB for CUDA torch.</w:t>
            </w:r>
          </w:p>
        </w:tc>
      </w:tr>
      <w:tr>
        <w:tc>
          <w:tcPr>
            <w:tcW w:type="dxa" w:w="1872"/>
          </w:tcPr>
          <w:p>
            <w:pPr>
              <w:spacing w:after="40"/>
            </w:pPr>
            <w:r/>
            <w:r>
              <w:rPr>
                <w:sz w:val="18"/>
              </w:rPr>
              <w:t>Java or Docker</w:t>
            </w:r>
          </w:p>
        </w:tc>
        <w:tc>
          <w:tcPr>
            <w:tcW w:type="dxa" w:w="6912"/>
          </w:tcPr>
          <w:p>
            <w:pPr>
              <w:spacing w:after="40"/>
            </w:pPr>
            <w:r/>
            <w:r>
              <w:rPr>
                <w:sz w:val="18"/>
              </w:rPr>
              <w:t>Only for GROBID, which is optional.</w:t>
            </w:r>
          </w:p>
        </w:tc>
      </w:tr>
    </w:tbl>
    <w:p>
      <w:pPr>
        <w:spacing w:after="40"/>
      </w:pPr>
    </w:p>
    <w:p>
      <w:pPr>
        <w:pStyle w:val="Heading2"/>
        <w:spacing w:before="280" w:after="100"/>
      </w:pPr>
      <w:r>
        <w:rPr>
          <w:color w:val="143D59"/>
        </w:rPr>
        <w:t>3.2 Why Python 3.12 exactly</w:t>
      </w:r>
    </w:p>
    <w:p>
      <w:r>
        <w:rPr>
          <w:b w:val="0"/>
          <w:i w:val="0"/>
        </w:rPr>
        <w:t>This traces to a single package. The upstream fasttext distribution, used for language identification, publishes no wheels at all — only a source archive — so installing it compiles C++ and requires Visual Studio Build Tools. That is fatal for an offline install on a machine without a compiler.</w:t>
      </w:r>
    </w:p>
    <w:p>
      <w:r>
        <w:rPr>
          <w:b w:val="0"/>
          <w:i w:val="0"/>
        </w:rPr>
        <w:t xml:space="preserve">The project therefore depends on </w:t>
      </w:r>
      <w:r>
        <w:rPr>
          <w:rFonts w:ascii="Consolas" w:hAnsi="Consolas"/>
          <w:b w:val="0"/>
          <w:i w:val="0"/>
          <w:sz w:val="19"/>
        </w:rPr>
        <w:t>fasttext-wheel</w:t>
      </w:r>
      <w:r>
        <w:rPr>
          <w:b w:val="0"/>
          <w:i w:val="0"/>
        </w:rPr>
        <w:t xml:space="preserve"> instead: the same library, prebuilt, importable under the same </w:t>
      </w:r>
      <w:r>
        <w:rPr>
          <w:rFonts w:ascii="Consolas" w:hAnsi="Consolas"/>
          <w:b w:val="0"/>
          <w:i w:val="0"/>
          <w:sz w:val="19"/>
        </w:rPr>
        <w:t>import fasttext</w:t>
      </w:r>
      <w:r>
        <w:rPr>
          <w:b w:val="0"/>
          <w:i w:val="0"/>
        </w:rPr>
        <w:t xml:space="preserve"> name. Its newest published binaries are </w:t>
      </w:r>
      <w:r>
        <w:rPr>
          <w:rFonts w:ascii="Consolas" w:hAnsi="Consolas"/>
          <w:b w:val="0"/>
          <w:i w:val="0"/>
          <w:sz w:val="19"/>
        </w:rPr>
        <w:t>cp312</w:t>
      </w:r>
      <w:r>
        <w:rPr>
          <w:b w:val="0"/>
          <w:i w:val="0"/>
        </w:rPr>
        <w:t>, and that single fact pins the whole project.</w:t>
      </w:r>
    </w:p>
    <w:p>
      <w:r>
        <w:rPr>
          <w:b w:val="0"/>
          <w:i w:val="0"/>
        </w:rPr>
        <w:t>Everything else in the stack — torch, lancedb, PySide6, and the CUDA llama-cpp-python build (which ships as a version-independent wheel) — is fine on newer Pythons. If fasttext-wheel ever publishes cp313+, or you substitute a different language-ID library, this constraint lifts.</w:t>
      </w:r>
    </w:p>
    <w:p>
      <w:pPr>
        <w:spacing w:before="140" w:after="160"/>
        <w:ind w:left="173"/>
        <w:shd w:val="clear" w:color="auto" w:fill="FFF6E5"/>
      </w:pPr>
      <w:r>
        <w:rPr>
          <w:b/>
          <w:sz w:val="19"/>
        </w:rPr>
        <w:t xml:space="preserve">Important:  </w:t>
      </w:r>
      <w:r>
        <w:rPr>
          <w:sz w:val="19"/>
        </w:rPr>
        <w:t>a wheelhouse is not portable across Python minor versions. packages/MANIFEST.txt records the version it was built for, and install_offline.ps1 refuses to run against a mismatched interpreter rather than failing confusingly halfway through the install.</w:t>
      </w:r>
    </w:p>
    <w:p>
      <w:r>
        <w:br w:type="page"/>
      </w:r>
    </w:p>
    <w:p>
      <w:pPr>
        <w:pStyle w:val="Heading1"/>
        <w:spacing w:before="0" w:after="100"/>
      </w:pPr>
      <w:r>
        <w:rPr>
          <w:color w:val="143D59"/>
        </w:rPr>
        <w:t>4. Installation</w:t>
      </w:r>
    </w:p>
    <w:p>
      <w:pPr>
        <w:pStyle w:val="Heading2"/>
        <w:spacing w:before="280" w:after="100"/>
      </w:pPr>
      <w:r>
        <w:rPr>
          <w:color w:val="143D59"/>
        </w:rPr>
        <w:t>4.1 Offline installation (recommended)</w:t>
      </w:r>
    </w:p>
    <w:p>
      <w:r>
        <w:rPr>
          <w:b w:val="0"/>
          <w:i w:val="0"/>
        </w:rPr>
        <w:t>Two commands. The first needs internet once, on any machine; the second needs none, ever. Nothing compiles at install time.</w:t>
      </w:r>
    </w:p>
    <w:p>
      <w:r>
        <w:rPr>
          <w:b/>
          <w:i w:val="0"/>
        </w:rPr>
        <w:t>Step 1 — on a connected machine, once:</w:t>
      </w:r>
    </w:p>
    <w:p>
      <w:pPr>
        <w:spacing w:before="120" w:after="120" w:line="240" w:lineRule="auto"/>
        <w:ind w:left="259"/>
        <w:shd w:val="clear" w:color="auto" w:fill="F4F5F7"/>
      </w:pPr>
      <w:r>
        <w:rPr>
          <w:rFonts w:ascii="Consolas" w:hAnsi="Consolas"/>
          <w:sz w:val="17"/>
        </w:rPr>
        <w:t>powershell -ExecutionPolicy Bypass -File scripts\fetch_offline_bundle.ps1 -TorchCuda</w:t>
      </w:r>
    </w:p>
    <w:p>
      <w:r>
        <w:rPr>
          <w:b w:val="0"/>
          <w:i w:val="0"/>
        </w:rPr>
        <w:t>This populates the checkout with everything the offline machine will need:</w:t>
      </w:r>
    </w:p>
    <w:tbl>
      <w:tblPr>
        <w:tblStyle w:val="TableGrid"/>
        <w:tblW w:type="auto" w:w="0"/>
        <w:jc w:val="center"/>
        <w:tblLook w:firstColumn="1" w:firstRow="1" w:lastColumn="0" w:lastRow="0" w:noHBand="0" w:noVBand="1" w:val="04A0"/>
      </w:tblPr>
      <w:tblGrid>
        <w:gridCol w:w="4824"/>
        <w:gridCol w:w="4824"/>
      </w:tblGrid>
      <w:tr>
        <w:tc>
          <w:tcPr>
            <w:tcW w:type="dxa" w:w="2520"/>
          </w:tcPr>
          <w:p>
            <w:pPr>
              <w:shd w:val="clear" w:color="auto" w:fill="DCE6F1"/>
            </w:pPr>
            <w:r/>
            <w:r>
              <w:rPr>
                <w:b/>
                <w:sz w:val="19"/>
              </w:rPr>
              <w:t>Path</w:t>
            </w:r>
          </w:p>
        </w:tc>
        <w:tc>
          <w:tcPr>
            <w:tcW w:type="dxa" w:w="6264"/>
          </w:tcPr>
          <w:p>
            <w:pPr>
              <w:shd w:val="clear" w:color="auto" w:fill="DCE6F1"/>
            </w:pPr>
            <w:r/>
            <w:r>
              <w:rPr>
                <w:b/>
                <w:sz w:val="19"/>
              </w:rPr>
              <w:t>Contents</w:t>
            </w:r>
          </w:p>
        </w:tc>
      </w:tr>
      <w:tr>
        <w:tc>
          <w:tcPr>
            <w:tcW w:type="dxa" w:w="2520"/>
          </w:tcPr>
          <w:p>
            <w:pPr>
              <w:spacing w:after="40"/>
            </w:pPr>
            <w:r/>
            <w:r>
              <w:rPr>
                <w:rFonts w:ascii="Consolas" w:hAnsi="Consolas"/>
                <w:sz w:val="17"/>
              </w:rPr>
              <w:t>packages\wheels\</w:t>
            </w:r>
          </w:p>
        </w:tc>
        <w:tc>
          <w:tcPr>
            <w:tcW w:type="dxa" w:w="6264"/>
          </w:tcPr>
          <w:p>
            <w:pPr>
              <w:spacing w:after="40"/>
            </w:pPr>
            <w:r/>
            <w:r>
              <w:rPr>
                <w:sz w:val="18"/>
              </w:rPr>
              <w:t>118 wheels, ≈1.2 GB — every runtime and build dependency, including a prebuilt CUDA llama-cpp-python</w:t>
            </w:r>
          </w:p>
        </w:tc>
      </w:tr>
      <w:tr>
        <w:tc>
          <w:tcPr>
            <w:tcW w:type="dxa" w:w="2520"/>
          </w:tcPr>
          <w:p>
            <w:pPr>
              <w:spacing w:after="40"/>
            </w:pPr>
            <w:r/>
            <w:r>
              <w:rPr>
                <w:rFonts w:ascii="Consolas" w:hAnsi="Consolas"/>
                <w:sz w:val="17"/>
              </w:rPr>
              <w:t>packages\wheels-torch-cuda\</w:t>
            </w:r>
          </w:p>
        </w:tc>
        <w:tc>
          <w:tcPr>
            <w:tcW w:type="dxa" w:w="6264"/>
          </w:tcPr>
          <w:p>
            <w:pPr>
              <w:spacing w:after="40"/>
            </w:pPr>
            <w:r/>
            <w:r>
              <w:rPr>
                <w:sz w:val="18"/>
              </w:rPr>
              <w:t>CUDA torch (with -TorchCuda only). PyPI's torch is CPU-only on Windows; without this everything runs correctly but slowly.</w:t>
            </w:r>
          </w:p>
        </w:tc>
      </w:tr>
      <w:tr>
        <w:tc>
          <w:tcPr>
            <w:tcW w:type="dxa" w:w="2520"/>
          </w:tcPr>
          <w:p>
            <w:pPr>
              <w:spacing w:after="40"/>
            </w:pPr>
            <w:r/>
            <w:r>
              <w:rPr>
                <w:rFonts w:ascii="Consolas" w:hAnsi="Consolas"/>
                <w:sz w:val="17"/>
              </w:rPr>
              <w:t>packages\tools\</w:t>
            </w:r>
          </w:p>
        </w:tc>
        <w:tc>
          <w:tcPr>
            <w:tcW w:type="dxa" w:w="6264"/>
          </w:tcPr>
          <w:p>
            <w:pPr>
              <w:spacing w:after="40"/>
            </w:pPr>
            <w:r/>
            <w:r>
              <w:rPr>
                <w:sz w:val="18"/>
              </w:rPr>
              <w:t>The Tesseract OCR installer, plus a note on vendoring GROBID via docker save / docker load</w:t>
            </w:r>
          </w:p>
        </w:tc>
      </w:tr>
      <w:tr>
        <w:tc>
          <w:tcPr>
            <w:tcW w:type="dxa" w:w="2520"/>
          </w:tcPr>
          <w:p>
            <w:pPr>
              <w:spacing w:after="40"/>
            </w:pPr>
            <w:r/>
            <w:r>
              <w:rPr>
                <w:rFonts w:ascii="Consolas" w:hAnsi="Consolas"/>
                <w:sz w:val="17"/>
              </w:rPr>
              <w:t>packages\MANIFEST.txt</w:t>
            </w:r>
          </w:p>
        </w:tc>
        <w:tc>
          <w:tcPr>
            <w:tcW w:type="dxa" w:w="6264"/>
          </w:tcPr>
          <w:p>
            <w:pPr>
              <w:spacing w:after="40"/>
            </w:pPr>
            <w:r/>
            <w:r>
              <w:rPr>
                <w:sz w:val="18"/>
              </w:rPr>
              <w:t>Every filename fetched and the Python version targeted — a de-facto lock file</w:t>
            </w:r>
          </w:p>
        </w:tc>
      </w:tr>
      <w:tr>
        <w:tc>
          <w:tcPr>
            <w:tcW w:type="dxa" w:w="2520"/>
          </w:tcPr>
          <w:p>
            <w:pPr>
              <w:spacing w:after="40"/>
            </w:pPr>
            <w:r/>
            <w:r>
              <w:rPr>
                <w:rFonts w:ascii="Consolas" w:hAnsi="Consolas"/>
                <w:sz w:val="17"/>
              </w:rPr>
              <w:t>models\</w:t>
            </w:r>
          </w:p>
        </w:tc>
        <w:tc>
          <w:tcPr>
            <w:tcW w:type="dxa" w:w="6264"/>
          </w:tcPr>
          <w:p>
            <w:pPr>
              <w:spacing w:after="40"/>
            </w:pPr>
            <w:r/>
            <w:r>
              <w:rPr>
                <w:sz w:val="18"/>
              </w:rPr>
              <w:t>The four model artifacts, 8.8 GB</w:t>
            </w:r>
          </w:p>
        </w:tc>
      </w:tr>
    </w:tbl>
    <w:p>
      <w:pPr>
        <w:spacing w:after="40"/>
      </w:pPr>
    </w:p>
    <w:p>
      <w:r>
        <w:rPr>
          <w:b/>
          <w:i w:val="0"/>
        </w:rPr>
        <w:t>Step 2 — copy the whole folder across, then on the offline machine:</w:t>
      </w:r>
    </w:p>
    <w:p>
      <w:pPr>
        <w:spacing w:before="120" w:after="120" w:line="240" w:lineRule="auto"/>
        <w:ind w:left="259"/>
        <w:shd w:val="clear" w:color="auto" w:fill="F4F5F7"/>
      </w:pPr>
      <w:r>
        <w:rPr>
          <w:rFonts w:ascii="Consolas" w:hAnsi="Consolas"/>
          <w:sz w:val="17"/>
        </w:rPr>
        <w:t>powershell -ExecutionPolicy Bypass -File scripts\install_offline.ps1 -TorchCuda</w:t>
      </w:r>
    </w:p>
    <w:p>
      <w:r>
        <w:rPr>
          <w:b w:val="0"/>
          <w:i w:val="0"/>
        </w:rPr>
        <w:t>This creates .venv, installs everything with --no-index so pip cannot silently reach PyPI, probes twenty core imports and reports torch's CUDA availability, then prints the manual steps that remain: running the Tesseract installer, and setting HF_HUB_OFFLINE.</w:t>
      </w:r>
    </w:p>
    <w:p>
      <w:pPr>
        <w:pStyle w:val="Heading2"/>
        <w:spacing w:before="280" w:after="100"/>
      </w:pPr>
      <w:r>
        <w:rPr>
          <w:color w:val="143D59"/>
        </w:rPr>
        <w:t>4.2 Verifying a bundle without a 3.12 interpreter</w:t>
      </w:r>
    </w:p>
    <w:p>
      <w:r>
        <w:rPr>
          <w:b w:val="0"/>
          <w:i w:val="0"/>
        </w:rPr>
        <w:t>You can prove the offline install will resolve before you have Python 3.12 anywhere. This resolves the full dependency set against the local wheelhouse with the index disabled:</w:t>
      </w:r>
    </w:p>
    <w:p>
      <w:pPr>
        <w:spacing w:before="120" w:after="0" w:line="240" w:lineRule="auto"/>
        <w:ind w:left="259"/>
        <w:shd w:val="clear" w:color="auto" w:fill="F4F5F7"/>
      </w:pPr>
      <w:r>
        <w:rPr>
          <w:rFonts w:ascii="Consolas" w:hAnsi="Consolas"/>
          <w:sz w:val="17"/>
        </w:rPr>
        <w:t>python -m pip install --dry-run --ignore-installed --no-index `</w:t>
      </w:r>
    </w:p>
    <w:p>
      <w:pPr>
        <w:spacing w:before="0" w:after="0" w:line="240" w:lineRule="auto"/>
        <w:ind w:left="259"/>
        <w:shd w:val="clear" w:color="auto" w:fill="F4F5F7"/>
      </w:pPr>
      <w:r>
        <w:rPr>
          <w:rFonts w:ascii="Consolas" w:hAnsi="Consolas"/>
          <w:sz w:val="17"/>
        </w:rPr>
        <w:t xml:space="preserve">    --find-links packages\wheels --only-binary=:all: `</w:t>
      </w:r>
    </w:p>
    <w:p>
      <w:pPr>
        <w:spacing w:before="0" w:after="0" w:line="240" w:lineRule="auto"/>
        <w:ind w:left="259"/>
        <w:shd w:val="clear" w:color="auto" w:fill="F4F5F7"/>
      </w:pPr>
      <w:r>
        <w:rPr>
          <w:rFonts w:ascii="Consolas" w:hAnsi="Consolas"/>
          <w:sz w:val="17"/>
        </w:rPr>
        <w:t xml:space="preserve">    --python-version 3.12 --platform win_amd64 --target $env:TEMP\check `</w:t>
      </w:r>
    </w:p>
    <w:p>
      <w:pPr>
        <w:spacing w:before="0" w:after="120" w:line="240" w:lineRule="auto"/>
        <w:ind w:left="259"/>
        <w:shd w:val="clear" w:color="auto" w:fill="F4F5F7"/>
      </w:pPr>
      <w:r>
        <w:rPr>
          <w:rFonts w:ascii="Consolas" w:hAnsi="Consolas"/>
          <w:sz w:val="17"/>
        </w:rPr>
        <w:t xml:space="preserve">    -r requirements.txt -r requirements-build.txt</w:t>
      </w:r>
    </w:p>
    <w:p>
      <w:r>
        <w:rPr>
          <w:b w:val="0"/>
          <w:i w:val="0"/>
        </w:rPr>
        <w:t>A clean exit means every dependency resolves from local files with zero network access. It does not prove the wheels run — only a real 3.12 install can establish that.</w:t>
      </w:r>
    </w:p>
    <w:p>
      <w:pPr>
        <w:pStyle w:val="Heading2"/>
        <w:spacing w:before="280" w:after="100"/>
      </w:pPr>
      <w:r>
        <w:rPr>
          <w:color w:val="143D59"/>
        </w:rPr>
        <w:t>4.3 Online installation (for development)</w:t>
      </w:r>
    </w:p>
    <w:p>
      <w:pPr>
        <w:spacing w:before="120" w:after="0" w:line="240" w:lineRule="auto"/>
        <w:ind w:left="259"/>
        <w:shd w:val="clear" w:color="auto" w:fill="F4F5F7"/>
      </w:pPr>
      <w:r>
        <w:rPr>
          <w:rFonts w:ascii="Consolas" w:hAnsi="Consolas"/>
          <w:sz w:val="17"/>
        </w:rPr>
        <w:t>git clone &lt;your-repo-url&gt; document-classifier-search</w:t>
      </w:r>
    </w:p>
    <w:p>
      <w:pPr>
        <w:spacing w:before="0" w:after="0" w:line="240" w:lineRule="auto"/>
        <w:ind w:left="259"/>
        <w:shd w:val="clear" w:color="auto" w:fill="F4F5F7"/>
      </w:pPr>
      <w:r>
        <w:rPr>
          <w:rFonts w:ascii="Consolas" w:hAnsi="Consolas"/>
          <w:sz w:val="17"/>
        </w:rPr>
        <w:t>cd document-classifier-search</w:t>
      </w:r>
    </w:p>
    <w:p>
      <w:pPr>
        <w:spacing w:before="0" w:after="0" w:line="240" w:lineRule="auto"/>
        <w:ind w:left="259"/>
        <w:shd w:val="clear" w:color="auto" w:fill="F4F5F7"/>
      </w:pPr>
      <w:r>
        <w:rPr>
          <w:rFonts w:ascii="Consolas" w:hAnsi="Consolas"/>
          <w:sz w:val="17"/>
        </w:rPr>
        <w:t>py -3.12 -m venv .venv</w:t>
      </w:r>
    </w:p>
    <w:p>
      <w:pPr>
        <w:spacing w:before="0" w:after="0" w:line="240" w:lineRule="auto"/>
        <w:ind w:left="259"/>
        <w:shd w:val="clear" w:color="auto" w:fill="F4F5F7"/>
      </w:pPr>
      <w:r>
        <w:rPr>
          <w:rFonts w:ascii="Consolas" w:hAnsi="Consolas"/>
          <w:sz w:val="17"/>
        </w:rPr>
        <w:t>.venv\Scripts\activate</w:t>
      </w:r>
    </w:p>
    <w:p>
      <w:pPr>
        <w:spacing w:before="0" w:after="0" w:line="240" w:lineRule="auto"/>
        <w:ind w:left="259"/>
        <w:shd w:val="clear" w:color="auto" w:fill="F4F5F7"/>
      </w:pPr>
      <w:r>
        <w:rPr>
          <w:rFonts w:ascii="Consolas" w:hAnsi="Consolas"/>
          <w:sz w:val="17"/>
        </w:rPr>
        <w:t>python -m pip install --upgrade pip</w:t>
      </w:r>
    </w:p>
    <w:p>
      <w:pPr>
        <w:spacing w:before="0" w:after="0" w:line="240" w:lineRule="auto"/>
        <w:ind w:left="259"/>
        <w:shd w:val="clear" w:color="auto" w:fill="F4F5F7"/>
      </w:pPr>
      <w:r>
        <w:rPr>
          <w:rFonts w:ascii="Consolas" w:hAnsi="Consolas"/>
          <w:sz w:val="17"/>
        </w:rPr>
        <w:t>pip install -r requirements.txt</w:t>
      </w:r>
    </w:p>
    <w:p>
      <w:pPr>
        <w:spacing w:before="0" w:after="120" w:line="240" w:lineRule="auto"/>
        <w:ind w:left="259"/>
        <w:shd w:val="clear" w:color="auto" w:fill="F4F5F7"/>
      </w:pPr>
      <w:r>
        <w:rPr>
          <w:rFonts w:ascii="Consolas" w:hAnsi="Consolas"/>
          <w:sz w:val="17"/>
        </w:rPr>
        <w:t>pip install -r requirements-build.txt</w:t>
      </w:r>
    </w:p>
    <w:p>
      <w:r>
        <w:rPr>
          <w:b w:val="0"/>
          <w:i w:val="0"/>
        </w:rPr>
        <w:t xml:space="preserve">Then the two components needing special handling. </w:t>
      </w:r>
      <w:r>
        <w:rPr>
          <w:rFonts w:ascii="Consolas" w:hAnsi="Consolas"/>
          <w:b w:val="0"/>
          <w:i w:val="0"/>
          <w:sz w:val="19"/>
        </w:rPr>
        <w:t>llama-cpp-python</w:t>
      </w:r>
      <w:r>
        <w:rPr>
          <w:b w:val="0"/>
          <w:i w:val="0"/>
        </w:rPr>
        <w:t xml:space="preserve"> — prefer the prebuilt wheel, which needs no compiler:</w:t>
      </w:r>
    </w:p>
    <w:p>
      <w:pPr>
        <w:spacing w:before="120" w:after="120" w:line="240" w:lineRule="auto"/>
        <w:ind w:left="259"/>
        <w:shd w:val="clear" w:color="auto" w:fill="F4F5F7"/>
      </w:pPr>
      <w:r>
        <w:rPr>
          <w:rFonts w:ascii="Consolas" w:hAnsi="Consolas"/>
          <w:sz w:val="17"/>
        </w:rPr>
        <w:t>pip install llama-cpp-python --index-url https://abetlen.github.io/llama-cpp-python/whl/cu124</w:t>
      </w:r>
    </w:p>
    <w:p>
      <w:r>
        <w:rPr>
          <w:b w:val="0"/>
          <w:i w:val="0"/>
        </w:rPr>
        <w:t xml:space="preserve">Use </w:t>
      </w:r>
      <w:r>
        <w:rPr>
          <w:rFonts w:ascii="Consolas" w:hAnsi="Consolas"/>
          <w:b w:val="0"/>
          <w:i w:val="0"/>
          <w:sz w:val="19"/>
        </w:rPr>
        <w:t>.../whl/cpu</w:t>
      </w:r>
      <w:r>
        <w:rPr>
          <w:b w:val="0"/>
          <w:i w:val="0"/>
        </w:rPr>
        <w:t xml:space="preserve"> for a CPU-only build. And CUDA torch, because PyPI's torch is CPU-only on Windows:</w:t>
      </w:r>
    </w:p>
    <w:p>
      <w:pPr>
        <w:spacing w:before="120" w:after="120" w:line="240" w:lineRule="auto"/>
        <w:ind w:left="259"/>
        <w:shd w:val="clear" w:color="auto" w:fill="F4F5F7"/>
      </w:pPr>
      <w:r>
        <w:rPr>
          <w:rFonts w:ascii="Consolas" w:hAnsi="Consolas"/>
          <w:sz w:val="17"/>
        </w:rPr>
        <w:t>pip install --force-reinstall --no-deps torch --index-url https://download.pytorch.org/whl/cu124</w:t>
      </w:r>
    </w:p>
    <w:p>
      <w:pPr>
        <w:spacing w:before="140" w:after="160"/>
        <w:ind w:left="173"/>
        <w:shd w:val="clear" w:color="auto" w:fill="FFF6E5"/>
      </w:pPr>
      <w:r>
        <w:rPr>
          <w:b/>
          <w:sz w:val="19"/>
        </w:rPr>
        <w:t xml:space="preserve">vLLM:  </w:t>
      </w:r>
      <w:r>
        <w:rPr>
          <w:sz w:val="19"/>
        </w:rPr>
        <w:t>referenced by the batching TODO in scripts/bulk_init_classify.py, but there are no Windows wheels for it, so that optimisation cannot currently be completed on Windows. The per-item llama.cpp fallback in the same function is what actually runs.</w:t>
      </w:r>
    </w:p>
    <w:p>
      <w:pPr>
        <w:pStyle w:val="Heading2"/>
        <w:spacing w:before="280" w:after="100"/>
      </w:pPr>
      <w:r>
        <w:rPr>
          <w:color w:val="143D59"/>
        </w:rPr>
        <w:t>4.4 Model weights</w:t>
      </w:r>
    </w:p>
    <w:p>
      <w:pPr>
        <w:spacing w:before="120" w:after="0" w:line="240" w:lineRule="auto"/>
        <w:ind w:left="259"/>
        <w:shd w:val="clear" w:color="auto" w:fill="F4F5F7"/>
      </w:pPr>
      <w:r>
        <w:rPr>
          <w:rFonts w:ascii="Consolas" w:hAnsi="Consolas"/>
          <w:sz w:val="17"/>
        </w:rPr>
        <w:t>pip install huggingface_hub</w:t>
      </w:r>
    </w:p>
    <w:p>
      <w:pPr>
        <w:spacing w:before="0" w:after="0" w:line="240" w:lineRule="auto"/>
        <w:ind w:left="259"/>
        <w:shd w:val="clear" w:color="auto" w:fill="F4F5F7"/>
      </w:pPr>
      <w:r>
        <w:rPr>
          <w:rFonts w:ascii="Consolas" w:hAnsi="Consolas"/>
          <w:sz w:val="17"/>
        </w:rPr>
        <w:t>python scripts\fetch_models.py                 # all four artifacts</w:t>
      </w:r>
    </w:p>
    <w:p>
      <w:pPr>
        <w:spacing w:before="0" w:after="120" w:line="240" w:lineRule="auto"/>
        <w:ind w:left="259"/>
        <w:shd w:val="clear" w:color="auto" w:fill="F4F5F7"/>
      </w:pPr>
      <w:r>
        <w:rPr>
          <w:rFonts w:ascii="Consolas" w:hAnsi="Consolas"/>
          <w:sz w:val="17"/>
        </w:rPr>
        <w:t>python scripts\fetch_models.py --only lid      # or just one</w:t>
      </w:r>
    </w:p>
    <w:p>
      <w:r>
        <w:rPr>
          <w:b w:val="0"/>
          <w:i w:val="0"/>
        </w:rPr>
        <w:t>The script calls snapshot_download() rather than the command-line tool on purpose: the CLI was renamed from huggingface-cli to hf and its flags moved, whereas the Python API has been stable for years. Re-running is cheap — transfers resume and existing files are skipped. It also excludes bge-m3's ONNX export, roughly 2.2 GB that nothing here loads.</w:t>
      </w:r>
    </w:p>
    <w:p>
      <w:r>
        <w:rPr>
          <w:b w:val="0"/>
          <w:i w:val="0"/>
        </w:rPr>
        <w:t>Resulting layout, 8.8 GB:</w:t>
      </w:r>
    </w:p>
    <w:tbl>
      <w:tblPr>
        <w:tblStyle w:val="TableGrid"/>
        <w:tblW w:type="auto" w:w="0"/>
        <w:jc w:val="center"/>
        <w:tblLook w:firstColumn="1" w:firstRow="1" w:lastColumn="0" w:lastRow="0" w:noHBand="0" w:noVBand="1" w:val="04A0"/>
      </w:tblPr>
      <w:tblGrid>
        <w:gridCol w:w="3216"/>
        <w:gridCol w:w="3216"/>
        <w:gridCol w:w="3216"/>
      </w:tblGrid>
      <w:tr>
        <w:tc>
          <w:tcPr>
            <w:tcW w:type="dxa" w:w="4752"/>
          </w:tcPr>
          <w:p>
            <w:pPr>
              <w:shd w:val="clear" w:color="auto" w:fill="DCE6F1"/>
            </w:pPr>
            <w:r/>
            <w:r>
              <w:rPr>
                <w:b/>
                <w:sz w:val="19"/>
              </w:rPr>
              <w:t>Path</w:t>
            </w:r>
          </w:p>
        </w:tc>
        <w:tc>
          <w:tcPr>
            <w:tcW w:type="dxa" w:w="936"/>
          </w:tcPr>
          <w:p>
            <w:pPr>
              <w:shd w:val="clear" w:color="auto" w:fill="DCE6F1"/>
            </w:pPr>
            <w:r/>
            <w:r>
              <w:rPr>
                <w:b/>
                <w:sz w:val="19"/>
              </w:rPr>
              <w:t>Size</w:t>
            </w:r>
          </w:p>
        </w:tc>
        <w:tc>
          <w:tcPr>
            <w:tcW w:type="dxa" w:w="3096"/>
          </w:tcPr>
          <w:p>
            <w:pPr>
              <w:shd w:val="clear" w:color="auto" w:fill="DCE6F1"/>
            </w:pPr>
            <w:r/>
            <w:r>
              <w:rPr>
                <w:b/>
                <w:sz w:val="19"/>
              </w:rPr>
              <w:t>Note</w:t>
            </w:r>
          </w:p>
        </w:tc>
      </w:tr>
      <w:tr>
        <w:tc>
          <w:tcPr>
            <w:tcW w:type="dxa" w:w="4752"/>
          </w:tcPr>
          <w:p>
            <w:pPr>
              <w:spacing w:after="40"/>
            </w:pPr>
            <w:r/>
            <w:r>
              <w:rPr>
                <w:rFonts w:ascii="Consolas" w:hAnsi="Consolas"/>
                <w:sz w:val="17"/>
              </w:rPr>
              <w:t>models\bge-m3\</w:t>
            </w:r>
          </w:p>
        </w:tc>
        <w:tc>
          <w:tcPr>
            <w:tcW w:type="dxa" w:w="936"/>
          </w:tcPr>
          <w:p>
            <w:pPr>
              <w:spacing w:after="40"/>
            </w:pPr>
            <w:r/>
            <w:r>
              <w:rPr>
                <w:sz w:val="18"/>
              </w:rPr>
              <w:t>2.2 GB</w:t>
            </w:r>
          </w:p>
        </w:tc>
        <w:tc>
          <w:tcPr>
            <w:tcW w:type="dxa" w:w="3096"/>
          </w:tcPr>
          <w:p>
            <w:pPr>
              <w:spacing w:after="40"/>
            </w:pPr>
            <w:r/>
            <w:r>
              <w:rPr>
                <w:sz w:val="18"/>
              </w:rPr>
              <w:t>pytorch_model.bin — this repository publishes no safetensors</w:t>
            </w:r>
          </w:p>
        </w:tc>
      </w:tr>
      <w:tr>
        <w:tc>
          <w:tcPr>
            <w:tcW w:type="dxa" w:w="4752"/>
          </w:tcPr>
          <w:p>
            <w:pPr>
              <w:spacing w:after="40"/>
            </w:pPr>
            <w:r/>
            <w:r>
              <w:rPr>
                <w:rFonts w:ascii="Consolas" w:hAnsi="Consolas"/>
                <w:sz w:val="17"/>
              </w:rPr>
              <w:t>models\bge-reranker-v2-m3\</w:t>
            </w:r>
          </w:p>
        </w:tc>
        <w:tc>
          <w:tcPr>
            <w:tcW w:type="dxa" w:w="936"/>
          </w:tcPr>
          <w:p>
            <w:pPr>
              <w:spacing w:after="40"/>
            </w:pPr>
            <w:r/>
            <w:r>
              <w:rPr>
                <w:sz w:val="18"/>
              </w:rPr>
              <w:t>2.2 GB</w:t>
            </w:r>
          </w:p>
        </w:tc>
        <w:tc>
          <w:tcPr>
            <w:tcW w:type="dxa" w:w="3096"/>
          </w:tcPr>
          <w:p>
            <w:pPr>
              <w:spacing w:after="40"/>
            </w:pPr>
            <w:r/>
            <w:r>
              <w:rPr>
                <w:sz w:val="18"/>
              </w:rPr>
              <w:t>model.safetensors</w:t>
            </w:r>
          </w:p>
        </w:tc>
      </w:tr>
      <w:tr>
        <w:tc>
          <w:tcPr>
            <w:tcW w:type="dxa" w:w="4752"/>
          </w:tcPr>
          <w:p>
            <w:pPr>
              <w:spacing w:after="40"/>
            </w:pPr>
            <w:r/>
            <w:r>
              <w:rPr>
                <w:rFonts w:ascii="Consolas" w:hAnsi="Consolas"/>
                <w:sz w:val="17"/>
              </w:rPr>
              <w:t>models\qwen2.5-7b-instruct-q4_k_m-00001-of-00002.gguf</w:t>
            </w:r>
          </w:p>
        </w:tc>
        <w:tc>
          <w:tcPr>
            <w:tcW w:type="dxa" w:w="936"/>
          </w:tcPr>
          <w:p>
            <w:pPr>
              <w:spacing w:after="40"/>
            </w:pPr>
            <w:r/>
            <w:r>
              <w:rPr>
                <w:sz w:val="18"/>
              </w:rPr>
              <w:t>3.8 GB</w:t>
            </w:r>
          </w:p>
        </w:tc>
        <w:tc>
          <w:tcPr>
            <w:tcW w:type="dxa" w:w="3096"/>
          </w:tcPr>
          <w:p>
            <w:pPr>
              <w:spacing w:after="40"/>
            </w:pPr>
            <w:r/>
            <w:r>
              <w:rPr>
                <w:sz w:val="18"/>
              </w:rPr>
              <w:t>Shard 1 of 2</w:t>
            </w:r>
          </w:p>
        </w:tc>
      </w:tr>
      <w:tr>
        <w:tc>
          <w:tcPr>
            <w:tcW w:type="dxa" w:w="4752"/>
          </w:tcPr>
          <w:p>
            <w:pPr>
              <w:spacing w:after="40"/>
            </w:pPr>
            <w:r/>
            <w:r>
              <w:rPr>
                <w:rFonts w:ascii="Consolas" w:hAnsi="Consolas"/>
                <w:sz w:val="17"/>
              </w:rPr>
              <w:t>models\qwen2.5-7b-instruct-q4_k_m-00002-of-00002.gguf</w:t>
            </w:r>
          </w:p>
        </w:tc>
        <w:tc>
          <w:tcPr>
            <w:tcW w:type="dxa" w:w="936"/>
          </w:tcPr>
          <w:p>
            <w:pPr>
              <w:spacing w:after="40"/>
            </w:pPr>
            <w:r/>
            <w:r>
              <w:rPr>
                <w:sz w:val="18"/>
              </w:rPr>
              <w:t>658 MB</w:t>
            </w:r>
          </w:p>
        </w:tc>
        <w:tc>
          <w:tcPr>
            <w:tcW w:type="dxa" w:w="3096"/>
          </w:tcPr>
          <w:p>
            <w:pPr>
              <w:spacing w:after="40"/>
            </w:pPr>
            <w:r/>
            <w:r>
              <w:rPr>
                <w:sz w:val="18"/>
              </w:rPr>
              <w:t>Shard 2 of 2</w:t>
            </w:r>
          </w:p>
        </w:tc>
      </w:tr>
      <w:tr>
        <w:tc>
          <w:tcPr>
            <w:tcW w:type="dxa" w:w="4752"/>
          </w:tcPr>
          <w:p>
            <w:pPr>
              <w:spacing w:after="40"/>
            </w:pPr>
            <w:r/>
            <w:r>
              <w:rPr>
                <w:rFonts w:ascii="Consolas" w:hAnsi="Consolas"/>
                <w:sz w:val="17"/>
              </w:rPr>
              <w:t>models\lid.176.bin</w:t>
            </w:r>
          </w:p>
        </w:tc>
        <w:tc>
          <w:tcPr>
            <w:tcW w:type="dxa" w:w="936"/>
          </w:tcPr>
          <w:p>
            <w:pPr>
              <w:spacing w:after="40"/>
            </w:pPr>
            <w:r/>
            <w:r>
              <w:rPr>
                <w:sz w:val="18"/>
              </w:rPr>
              <w:t>126 MB</w:t>
            </w:r>
          </w:p>
        </w:tc>
        <w:tc>
          <w:tcPr>
            <w:tcW w:type="dxa" w:w="3096"/>
          </w:tcPr>
          <w:p>
            <w:pPr>
              <w:spacing w:after="40"/>
            </w:pPr>
            <w:r/>
            <w:r>
              <w:rPr>
                <w:sz w:val="18"/>
              </w:rPr>
              <w:t>fastText language identification</w:t>
            </w:r>
          </w:p>
        </w:tc>
      </w:tr>
    </w:tbl>
    <w:p>
      <w:pPr>
        <w:spacing w:after="40"/>
      </w:pPr>
    </w:p>
    <w:p>
      <w:pPr>
        <w:spacing w:before="140" w:after="160"/>
        <w:ind w:left="173"/>
        <w:shd w:val="clear" w:color="auto" w:fill="FFF6E5"/>
      </w:pPr>
      <w:r>
        <w:rPr>
          <w:b/>
          <w:sz w:val="19"/>
        </w:rPr>
        <w:t xml:space="preserve">The Qwen GGUF arrives split into two shards.  </w:t>
      </w:r>
      <w:r>
        <w:rPr>
          <w:sz w:val="19"/>
        </w:rPr>
        <w:t>config.yaml names the logical single file qwen2.5-7b-instruct-q4_k_m.gguf, which does not exist on disk. resolve_gguf_path() in llm/local_llm.py finds the -00001-of-00002 shard; llama.cpp then reads split.count from its header and loads the second automatically. Both a split and a merged single-file layout work with the shipped configuration unchanged.</w:t>
      </w:r>
    </w:p>
    <w:p>
      <w:r>
        <w:rPr>
          <w:b w:val="0"/>
          <w:i w:val="0"/>
        </w:rPr>
        <w:t>Finally, forbid any further network call at the library level:</w:t>
      </w:r>
    </w:p>
    <w:p>
      <w:pPr>
        <w:spacing w:before="120" w:after="120" w:line="240" w:lineRule="auto"/>
        <w:ind w:left="259"/>
        <w:shd w:val="clear" w:color="auto" w:fill="F4F5F7"/>
      </w:pPr>
      <w:r>
        <w:rPr>
          <w:rFonts w:ascii="Consolas" w:hAnsi="Consolas"/>
          <w:sz w:val="17"/>
        </w:rPr>
        <w:t>setx HF_HUB_OFFLINE 1</w:t>
      </w:r>
    </w:p>
    <w:p>
      <w:pPr>
        <w:pStyle w:val="Heading2"/>
        <w:spacing w:before="280" w:after="100"/>
      </w:pPr>
      <w:r>
        <w:rPr>
          <w:color w:val="143D59"/>
        </w:rPr>
        <w:t>4.5 Verify the environment</w:t>
      </w:r>
    </w:p>
    <w:p>
      <w:r>
        <w:rPr>
          <w:b w:val="0"/>
          <w:i w:val="0"/>
        </w:rPr>
        <w:t>Run the diagnostic before anything else. It loads every model and service and reports pass/fail individually, so a broken install step surfaces immediately rather than deep inside a pipeline run.</w:t>
      </w:r>
    </w:p>
    <w:p>
      <w:pPr>
        <w:spacing w:before="120" w:after="120" w:line="240" w:lineRule="auto"/>
        <w:ind w:left="259"/>
        <w:shd w:val="clear" w:color="auto" w:fill="F4F5F7"/>
      </w:pPr>
      <w:r>
        <w:rPr>
          <w:rFonts w:ascii="Consolas" w:hAnsi="Consolas"/>
          <w:sz w:val="17"/>
        </w:rPr>
        <w:t>python scripts/setup_check.py</w:t>
      </w:r>
    </w:p>
    <w:p>
      <w:r>
        <w:rPr>
          <w:b w:val="0"/>
          <w:i w:val="0"/>
        </w:rPr>
        <w:t>Eight checks run: the embedding model, the reranker, the local LLM, LanceDB, SQLite, fastText, the Tesseract binary, and GROBID. GROBID is explicitly optional — the script exits non-zero only if something other than GROBID fails.</w:t>
      </w:r>
    </w:p>
    <w:p>
      <w:r>
        <w:br w:type="page"/>
      </w:r>
    </w:p>
    <w:p>
      <w:pPr>
        <w:pStyle w:val="Heading1"/>
        <w:spacing w:before="0" w:after="100"/>
      </w:pPr>
      <w:r>
        <w:rPr>
          <w:color w:val="143D59"/>
        </w:rPr>
        <w:t>5. Running the application</w:t>
      </w:r>
    </w:p>
    <w:p>
      <w:pPr>
        <w:pStyle w:val="Heading2"/>
        <w:spacing w:before="280" w:after="100"/>
      </w:pPr>
      <w:r>
        <w:rPr>
          <w:color w:val="143D59"/>
        </w:rPr>
        <w:t>5.1 The desktop application</w:t>
      </w:r>
    </w:p>
    <w:p>
      <w:pPr>
        <w:spacing w:before="120" w:after="120" w:line="240" w:lineRule="auto"/>
        <w:ind w:left="259"/>
        <w:shd w:val="clear" w:color="auto" w:fill="F4F5F7"/>
      </w:pPr>
      <w:r>
        <w:rPr>
          <w:rFonts w:ascii="Consolas" w:hAnsi="Consolas"/>
          <w:sz w:val="17"/>
        </w:rPr>
        <w:t>python main.py</w:t>
      </w:r>
    </w:p>
    <w:p>
      <w:r>
        <w:rPr>
          <w:b w:val="0"/>
          <w:i w:val="0"/>
        </w:rPr>
        <w:t>Opens the PySide6 window and calls init_db() on startup, so the SQLite schema is created automatically on first run. Four views:</w:t>
      </w:r>
    </w:p>
    <w:tbl>
      <w:tblPr>
        <w:tblStyle w:val="TableGrid"/>
        <w:tblW w:type="auto" w:w="0"/>
        <w:jc w:val="center"/>
        <w:tblLook w:firstColumn="1" w:firstRow="1" w:lastColumn="0" w:lastRow="0" w:noHBand="0" w:noVBand="1" w:val="04A0"/>
      </w:tblPr>
      <w:tblGrid>
        <w:gridCol w:w="4824"/>
        <w:gridCol w:w="4824"/>
      </w:tblGrid>
      <w:tr>
        <w:tc>
          <w:tcPr>
            <w:tcW w:type="dxa" w:w="1368"/>
          </w:tcPr>
          <w:p>
            <w:pPr>
              <w:shd w:val="clear" w:color="auto" w:fill="DCE6F1"/>
            </w:pPr>
            <w:r/>
            <w:r>
              <w:rPr>
                <w:b/>
                <w:sz w:val="19"/>
              </w:rPr>
              <w:t>View</w:t>
            </w:r>
          </w:p>
        </w:tc>
        <w:tc>
          <w:tcPr>
            <w:tcW w:type="dxa" w:w="7416"/>
          </w:tcPr>
          <w:p>
            <w:pPr>
              <w:shd w:val="clear" w:color="auto" w:fill="DCE6F1"/>
            </w:pPr>
            <w:r/>
            <w:r>
              <w:rPr>
                <w:b/>
                <w:sz w:val="19"/>
              </w:rPr>
              <w:t>What it does</w:t>
            </w:r>
          </w:p>
        </w:tc>
      </w:tr>
      <w:tr>
        <w:tc>
          <w:tcPr>
            <w:tcW w:type="dxa" w:w="1368"/>
          </w:tcPr>
          <w:p>
            <w:pPr>
              <w:spacing w:after="40"/>
            </w:pPr>
            <w:r/>
            <w:r>
              <w:rPr>
                <w:sz w:val="18"/>
              </w:rPr>
              <w:t>Ingest</w:t>
            </w:r>
          </w:p>
        </w:tc>
        <w:tc>
          <w:tcPr>
            <w:tcW w:type="dxa" w:w="7416"/>
          </w:tcPr>
          <w:p>
            <w:pPr>
              <w:spacing w:after="40"/>
            </w:pPr>
            <w:r/>
            <w:r>
              <w:rPr>
                <w:sz w:val="18"/>
              </w:rPr>
              <w:t>Pick a folder and run ingestion plus classification over it. Runs on a worker thread so the window stays responsive during what is a long, GPU-bound operation.</w:t>
            </w:r>
          </w:p>
        </w:tc>
      </w:tr>
      <w:tr>
        <w:tc>
          <w:tcPr>
            <w:tcW w:type="dxa" w:w="1368"/>
          </w:tcPr>
          <w:p>
            <w:pPr>
              <w:spacing w:after="40"/>
            </w:pPr>
            <w:r/>
            <w:r>
              <w:rPr>
                <w:sz w:val="18"/>
              </w:rPr>
              <w:t>Search</w:t>
            </w:r>
          </w:p>
        </w:tc>
        <w:tc>
          <w:tcPr>
            <w:tcW w:type="dxa" w:w="7416"/>
          </w:tcPr>
          <w:p>
            <w:pPr>
              <w:spacing w:after="40"/>
            </w:pPr>
            <w:r/>
            <w:r>
              <w:rPr>
                <w:sz w:val="18"/>
              </w:rPr>
              <w:t>Query box and ranked results with snippets. Also threaded.</w:t>
            </w:r>
          </w:p>
        </w:tc>
      </w:tr>
      <w:tr>
        <w:tc>
          <w:tcPr>
            <w:tcW w:type="dxa" w:w="1368"/>
          </w:tcPr>
          <w:p>
            <w:pPr>
              <w:spacing w:after="40"/>
            </w:pPr>
            <w:r/>
            <w:r>
              <w:rPr>
                <w:sz w:val="18"/>
              </w:rPr>
              <w:t>Taxonomy</w:t>
            </w:r>
          </w:p>
        </w:tc>
        <w:tc>
          <w:tcPr>
            <w:tcW w:type="dxa" w:w="7416"/>
          </w:tcPr>
          <w:p>
            <w:pPr>
              <w:spacing w:after="40"/>
            </w:pPr>
            <w:r/>
            <w:r>
              <w:rPr>
                <w:sz w:val="18"/>
              </w:rPr>
              <w:t>Browse the category tree on the left; work the human-review queue on the right. Selecting a queued document shows why it was flagged, the classifier's best guess and confidence, and the full paths of the candidates it considered.</w:t>
            </w:r>
          </w:p>
        </w:tc>
      </w:tr>
      <w:tr>
        <w:tc>
          <w:tcPr>
            <w:tcW w:type="dxa" w:w="1368"/>
          </w:tcPr>
          <w:p>
            <w:pPr>
              <w:spacing w:after="40"/>
            </w:pPr>
            <w:r/>
            <w:r>
              <w:rPr>
                <w:sz w:val="18"/>
              </w:rPr>
              <w:t>Reports</w:t>
            </w:r>
          </w:p>
        </w:tc>
        <w:tc>
          <w:tcPr>
            <w:tcW w:type="dxa" w:w="7416"/>
          </w:tcPr>
          <w:p>
            <w:pPr>
              <w:spacing w:after="40"/>
            </w:pPr>
            <w:r/>
            <w:r>
              <w:rPr>
                <w:sz w:val="18"/>
              </w:rPr>
              <w:t>Generate and read the monthly digest for a given batch id.</w:t>
            </w:r>
          </w:p>
        </w:tc>
      </w:tr>
    </w:tbl>
    <w:p>
      <w:pPr>
        <w:spacing w:after="40"/>
      </w:pPr>
    </w:p>
    <w:p>
      <w:pPr>
        <w:pStyle w:val="Heading2"/>
        <w:spacing w:before="280" w:after="100"/>
      </w:pPr>
      <w:r>
        <w:rPr>
          <w:color w:val="143D59"/>
        </w:rPr>
        <w:t>5.2 One-time setup workflow</w:t>
      </w:r>
    </w:p>
    <w:p>
      <w:r>
        <w:rPr>
          <w:b w:val="0"/>
          <w:i w:val="0"/>
        </w:rPr>
        <w:t>Run these once, in order, before the system is useful.</w:t>
      </w:r>
    </w:p>
    <w:p>
      <w:pPr>
        <w:spacing w:before="120" w:after="0" w:line="240" w:lineRule="auto"/>
        <w:ind w:left="259"/>
        <w:shd w:val="clear" w:color="auto" w:fill="F4F5F7"/>
      </w:pPr>
      <w:r>
        <w:rPr>
          <w:rFonts w:ascii="Consolas" w:hAnsi="Consolas"/>
          <w:sz w:val="17"/>
        </w:rPr>
        <w:t># 1. Confirm every model and service loads</w:t>
      </w:r>
    </w:p>
    <w:p>
      <w:pPr>
        <w:spacing w:before="0" w:after="0" w:line="240" w:lineRule="auto"/>
        <w:ind w:left="259"/>
        <w:shd w:val="clear" w:color="auto" w:fill="F4F5F7"/>
      </w:pPr>
      <w:r>
        <w:rPr>
          <w:rFonts w:ascii="Consolas" w:hAnsi="Consolas"/>
          <w:sz w:val="17"/>
        </w:rPr>
        <w:t>python scripts/setup_check.py</w:t>
      </w:r>
    </w:p>
    <w:p>
      <w:pPr>
        <w:spacing w:before="0" w:after="0" w:line="240" w:lineRule="auto"/>
        <w:ind w:left="259"/>
        <w:shd w:val="clear" w:color="auto" w:fill="F4F5F7"/>
      </w:pPr>
      <w:r>
        <w:rPr>
          <w:rFonts w:ascii="Consolas" w:hAnsi="Consolas"/>
          <w:sz w:val="17"/>
        </w:rPr>
        <w:t xml:space="preserve"> </w:t>
      </w:r>
    </w:p>
    <w:p>
      <w:pPr>
        <w:spacing w:before="0" w:after="0" w:line="240" w:lineRule="auto"/>
        <w:ind w:left="259"/>
        <w:shd w:val="clear" w:color="auto" w:fill="F4F5F7"/>
      </w:pPr>
      <w:r>
        <w:rPr>
          <w:rFonts w:ascii="Consolas" w:hAnsi="Consolas"/>
          <w:sz w:val="17"/>
        </w:rPr>
        <w:t># 2. Build the fixed taxonomy from a sample of your corpus.</w:t>
      </w:r>
    </w:p>
    <w:p>
      <w:pPr>
        <w:spacing w:before="0" w:after="0" w:line="240" w:lineRule="auto"/>
        <w:ind w:left="259"/>
        <w:shd w:val="clear" w:color="auto" w:fill="F4F5F7"/>
      </w:pPr>
      <w:r>
        <w:rPr>
          <w:rFonts w:ascii="Consolas" w:hAnsi="Consolas"/>
          <w:sz w:val="17"/>
        </w:rPr>
        <w:t>#    One number per level, coarsest first: "6 20 60" means 6 Domains, each split</w:t>
      </w:r>
    </w:p>
    <w:p>
      <w:pPr>
        <w:spacing w:before="0" w:after="0" w:line="240" w:lineRule="auto"/>
        <w:ind w:left="259"/>
        <w:shd w:val="clear" w:color="auto" w:fill="F4F5F7"/>
      </w:pPr>
      <w:r>
        <w:rPr>
          <w:rFonts w:ascii="Consolas" w:hAnsi="Consolas"/>
          <w:sz w:val="17"/>
        </w:rPr>
        <w:t>#    into up to 20 Fields, each split into up to 60 Subfields.</w:t>
      </w:r>
    </w:p>
    <w:p>
      <w:pPr>
        <w:spacing w:before="0" w:after="0" w:line="240" w:lineRule="auto"/>
        <w:ind w:left="259"/>
        <w:shd w:val="clear" w:color="auto" w:fill="F4F5F7"/>
      </w:pPr>
      <w:r>
        <w:rPr>
          <w:rFonts w:ascii="Consolas" w:hAnsi="Consolas"/>
          <w:sz w:val="17"/>
        </w:rPr>
        <w:t>python scripts/build_taxonomy.py --folder "C:\path\to\corpus" --sample-size 3000 --level-cuts 6 20 60</w:t>
      </w:r>
    </w:p>
    <w:p>
      <w:pPr>
        <w:spacing w:before="0" w:after="0" w:line="240" w:lineRule="auto"/>
        <w:ind w:left="259"/>
        <w:shd w:val="clear" w:color="auto" w:fill="F4F5F7"/>
      </w:pPr>
      <w:r>
        <w:rPr>
          <w:rFonts w:ascii="Consolas" w:hAnsi="Consolas"/>
          <w:sz w:val="17"/>
        </w:rPr>
        <w:t xml:space="preserve"> </w:t>
      </w:r>
    </w:p>
    <w:p>
      <w:pPr>
        <w:spacing w:before="0" w:after="0" w:line="240" w:lineRule="auto"/>
        <w:ind w:left="259"/>
        <w:shd w:val="clear" w:color="auto" w:fill="F4F5F7"/>
      </w:pPr>
      <w:r>
        <w:rPr>
          <w:rFonts w:ascii="Consolas" w:hAnsi="Consolas"/>
          <w:sz w:val="17"/>
        </w:rPr>
        <w:t># 3. Review and edit data\taxonomy_review.json, then apply your edits</w:t>
      </w:r>
    </w:p>
    <w:p>
      <w:pPr>
        <w:spacing w:before="0" w:after="0" w:line="240" w:lineRule="auto"/>
        <w:ind w:left="259"/>
        <w:shd w:val="clear" w:color="auto" w:fill="F4F5F7"/>
      </w:pPr>
      <w:r>
        <w:rPr>
          <w:rFonts w:ascii="Consolas" w:hAnsi="Consolas"/>
          <w:sz w:val="17"/>
        </w:rPr>
        <w:t>#    (via taxonomy_store.py, or the Taxonomy view)</w:t>
      </w:r>
    </w:p>
    <w:p>
      <w:pPr>
        <w:spacing w:before="0" w:after="0" w:line="240" w:lineRule="auto"/>
        <w:ind w:left="259"/>
        <w:shd w:val="clear" w:color="auto" w:fill="F4F5F7"/>
      </w:pPr>
      <w:r>
        <w:rPr>
          <w:rFonts w:ascii="Consolas" w:hAnsi="Consolas"/>
          <w:sz w:val="17"/>
        </w:rPr>
        <w:t xml:space="preserve"> </w:t>
      </w:r>
    </w:p>
    <w:p>
      <w:pPr>
        <w:spacing w:before="0" w:after="0" w:line="240" w:lineRule="auto"/>
        <w:ind w:left="259"/>
        <w:shd w:val="clear" w:color="auto" w:fill="F4F5F7"/>
      </w:pPr>
      <w:r>
        <w:rPr>
          <w:rFonts w:ascii="Consolas" w:hAnsi="Consolas"/>
          <w:sz w:val="17"/>
        </w:rPr>
        <w:t># 4. Classify the entire existing corpus</w:t>
      </w:r>
    </w:p>
    <w:p>
      <w:pPr>
        <w:spacing w:before="0" w:after="120" w:line="240" w:lineRule="auto"/>
        <w:ind w:left="259"/>
        <w:shd w:val="clear" w:color="auto" w:fill="F4F5F7"/>
      </w:pPr>
      <w:r>
        <w:rPr>
          <w:rFonts w:ascii="Consolas" w:hAnsi="Consolas"/>
          <w:sz w:val="17"/>
        </w:rPr>
        <w:t>python scripts/bulk_init_classify.py --folder "C:\path\to\corpus" --workers 16</w:t>
      </w:r>
    </w:p>
    <w:p>
      <w:r>
        <w:rPr>
          <w:b w:val="0"/>
          <w:i w:val="0"/>
        </w:rPr>
        <w:t>The hierarchy is built recursively: each level is produced by clustering within its parent's own member documents. This is what guarantees a Field stays inside exactly one Domain. Cutting a single global dendrogram at several heights — the obvious alternative — gives no such guarantee and produces a tree that is not really nested.</w:t>
      </w:r>
    </w:p>
    <w:p>
      <w:r>
        <w:rPr>
          <w:b w:val="0"/>
          <w:i w:val="0"/>
        </w:rPr>
        <w:t>Clusters below MIN_DOCUMENTS_TO_SPLIT (10 documents) are left as leaves rather than split into categories that describe individual papers. Pass --sample-seed to make the sample reproducible across runs, and --review-output to relocate the review sheet.</w:t>
      </w:r>
    </w:p>
    <w:p>
      <w:pPr>
        <w:pStyle w:val="Heading2"/>
        <w:spacing w:before="280" w:after="100"/>
      </w:pPr>
      <w:r>
        <w:rPr>
          <w:color w:val="143D59"/>
        </w:rPr>
        <w:t>5.3 Recurring monthly workflow</w:t>
      </w:r>
    </w:p>
    <w:p>
      <w:pPr>
        <w:spacing w:before="120" w:after="120" w:line="240" w:lineRule="auto"/>
        <w:ind w:left="259"/>
        <w:shd w:val="clear" w:color="auto" w:fill="F4F5F7"/>
      </w:pPr>
      <w:r>
        <w:rPr>
          <w:rFonts w:ascii="Consolas" w:hAnsi="Consolas"/>
          <w:sz w:val="17"/>
        </w:rPr>
        <w:t>python scripts/monthly_ingest.py</w:t>
      </w:r>
    </w:p>
    <w:p>
      <w:r>
        <w:rPr>
          <w:b w:val="0"/>
          <w:i w:val="0"/>
        </w:rPr>
        <w:t>Ingests everything currently in data/inbox/, classifies it, and generates the monthly report. It calls the same process_document() the UI uses, so the two cannot diverge. Schedule it with Windows Task Scheduler if you want it unattended.</w:t>
      </w:r>
    </w:p>
    <w:p>
      <w:pPr>
        <w:pStyle w:val="Heading2"/>
        <w:spacing w:before="280" w:after="100"/>
      </w:pPr>
      <w:r>
        <w:rPr>
          <w:color w:val="143D59"/>
        </w:rPr>
        <w:t>5.4 How the bulk script differs</w:t>
      </w:r>
    </w:p>
    <w:p>
      <w:r>
        <w:rPr>
          <w:b w:val="0"/>
          <w:i w:val="0"/>
        </w:rPr>
        <w:t>scripts/bulk_init_classify.py is not simply a loop over the monthly path. Four differences matter at scale:</w:t>
      </w:r>
    </w:p>
    <w:p>
      <w:pPr>
        <w:pStyle w:val="ListBullet"/>
        <w:spacing w:after="60"/>
      </w:pPr>
      <w:r>
        <w:t>Parsing and OCR — CPU-bound — run in a multiprocessing pool rather than sequentially.</w:t>
      </w:r>
    </w:p>
    <w:p>
      <w:pPr>
        <w:pStyle w:val="ListBullet"/>
        <w:spacing w:after="60"/>
      </w:pPr>
      <w:r>
        <w:t>Embedding is batched across the whole GPU batch: every chunk of every document in the batch goes into one encode() call and is sliced back out afterwards, rather than one call per document.</w:t>
      </w:r>
    </w:p>
    <w:p>
      <w:pPr>
        <w:pStyle w:val="ListBullet"/>
        <w:spacing w:after="60"/>
      </w:pPr>
      <w:r>
        <w:t>The LLM tie-breaker runs as a separate pass over all ambiguous documents at the end, instead of inline per document. This keeps embedding and generation from interleaving on the GPU, and is the shape a batched vLLM call would slot into.</w:t>
      </w:r>
    </w:p>
    <w:p>
      <w:pPr>
        <w:pStyle w:val="ListBullet"/>
        <w:spacing w:after="60"/>
      </w:pPr>
      <w:r>
        <w:t>In-run deduplication: the workers each check SQLite, but two identical new files in the same run would both pass that check, since neither is committed yet. Hashes are therefore also tracked in the parent process, where every result funnels through.</w:t>
      </w:r>
    </w:p>
    <w:p>
      <w:pPr>
        <w:spacing w:before="140" w:after="160"/>
        <w:ind w:left="173"/>
        <w:shd w:val="clear" w:color="auto" w:fill="FFF6E5"/>
      </w:pPr>
      <w:r>
        <w:rPr>
          <w:b/>
          <w:sz w:val="19"/>
        </w:rPr>
        <w:t xml:space="preserve">Memory:  </w:t>
      </w:r>
      <w:r>
        <w:rPr>
          <w:sz w:val="19"/>
        </w:rPr>
        <w:t>the ambiguous-document buffer is held until the tie-break pass at the end. Each entry is roughly 1 KB, so budget about 1 GB per million ambiguous documents. For a corpus where that is too much, flush the buffer through run_llm_tiebreak_batch() every N batches rather than once at the end.</w:t>
      </w:r>
    </w:p>
    <w:p>
      <w:pPr>
        <w:spacing w:before="140" w:after="160"/>
        <w:ind w:left="173"/>
        <w:shd w:val="clear" w:color="auto" w:fill="FFF6E5"/>
      </w:pPr>
      <w:r>
        <w:rPr>
          <w:b/>
          <w:sz w:val="19"/>
        </w:rPr>
        <w:t xml:space="preserve">Cost control:  </w:t>
      </w:r>
      <w:r>
        <w:rPr>
          <w:sz w:val="19"/>
        </w:rPr>
        <w:t>before a multi-million-document run, set metadata.use_llm_fallback and metadata.translate_to_english to false in config.yaml. Each is one LLM generation call per document — fine for a monthly batch, prohibitive across a whole corpus.</w:t>
      </w:r>
    </w:p>
    <w:p>
      <w:r>
        <w:br w:type="page"/>
      </w:r>
    </w:p>
    <w:p>
      <w:pPr>
        <w:pStyle w:val="Heading1"/>
        <w:spacing w:before="0" w:after="100"/>
      </w:pPr>
      <w:r>
        <w:rPr>
          <w:color w:val="143D59"/>
        </w:rPr>
        <w:t>6. Configuration reference</w:t>
      </w:r>
    </w:p>
    <w:p>
      <w:r>
        <w:rPr>
          <w:b w:val="0"/>
          <w:i w:val="0"/>
        </w:rPr>
        <w:t xml:space="preserve">Everything lives in </w:t>
      </w:r>
      <w:r>
        <w:rPr>
          <w:rFonts w:ascii="Consolas" w:hAnsi="Consolas"/>
          <w:b w:val="0"/>
          <w:i w:val="0"/>
          <w:sz w:val="19"/>
        </w:rPr>
        <w:t>config/config.yaml</w:t>
      </w:r>
      <w:r>
        <w:rPr>
          <w:b w:val="0"/>
          <w:i w:val="0"/>
        </w:rPr>
        <w:t>. Relative paths beginning ./ are resolved against the project root at import time, so the application can be launched from any working directory.</w:t>
      </w:r>
    </w:p>
    <w:tbl>
      <w:tblPr>
        <w:tblStyle w:val="TableGrid"/>
        <w:tblW w:type="auto" w:w="0"/>
        <w:jc w:val="center"/>
        <w:tblLook w:firstColumn="1" w:firstRow="1" w:lastColumn="0" w:lastRow="0" w:noHBand="0" w:noVBand="1" w:val="04A0"/>
      </w:tblPr>
      <w:tblGrid>
        <w:gridCol w:w="3216"/>
        <w:gridCol w:w="3216"/>
        <w:gridCol w:w="3216"/>
      </w:tblGrid>
      <w:tr>
        <w:tc>
          <w:tcPr>
            <w:tcW w:type="dxa" w:w="2808"/>
          </w:tcPr>
          <w:p>
            <w:pPr>
              <w:shd w:val="clear" w:color="auto" w:fill="DCE6F1"/>
            </w:pPr>
            <w:r/>
            <w:r>
              <w:rPr>
                <w:b/>
                <w:sz w:val="19"/>
              </w:rPr>
              <w:t>Key</w:t>
            </w:r>
          </w:p>
        </w:tc>
        <w:tc>
          <w:tcPr>
            <w:tcW w:type="dxa" w:w="3600"/>
          </w:tcPr>
          <w:p>
            <w:pPr>
              <w:shd w:val="clear" w:color="auto" w:fill="DCE6F1"/>
            </w:pPr>
            <w:r/>
            <w:r>
              <w:rPr>
                <w:b/>
                <w:sz w:val="19"/>
              </w:rPr>
              <w:t>Meaning</w:t>
            </w:r>
          </w:p>
        </w:tc>
        <w:tc>
          <w:tcPr>
            <w:tcW w:type="dxa" w:w="2376"/>
          </w:tcPr>
          <w:p>
            <w:pPr>
              <w:shd w:val="clear" w:color="auto" w:fill="DCE6F1"/>
            </w:pPr>
            <w:r/>
            <w:r>
              <w:rPr>
                <w:b/>
                <w:sz w:val="19"/>
              </w:rPr>
              <w:t>Default</w:t>
            </w:r>
          </w:p>
        </w:tc>
      </w:tr>
      <w:tr>
        <w:tc>
          <w:tcPr>
            <w:tcW w:type="dxa" w:w="2808"/>
          </w:tcPr>
          <w:p>
            <w:pPr>
              <w:spacing w:after="40"/>
            </w:pPr>
            <w:r/>
            <w:r>
              <w:rPr>
                <w:rFonts w:ascii="Consolas" w:hAnsi="Consolas"/>
                <w:sz w:val="17"/>
              </w:rPr>
              <w:t>models.embedding</w:t>
            </w:r>
          </w:p>
        </w:tc>
        <w:tc>
          <w:tcPr>
            <w:tcW w:type="dxa" w:w="3600"/>
          </w:tcPr>
          <w:p>
            <w:pPr>
              <w:spacing w:after="40"/>
            </w:pPr>
            <w:r/>
            <w:r>
              <w:rPr>
                <w:sz w:val="18"/>
              </w:rPr>
              <w:t>BGE-M3 weights directory</w:t>
            </w:r>
          </w:p>
        </w:tc>
        <w:tc>
          <w:tcPr>
            <w:tcW w:type="dxa" w:w="2376"/>
          </w:tcPr>
          <w:p>
            <w:pPr>
              <w:spacing w:after="40"/>
            </w:pPr>
            <w:r/>
            <w:r>
              <w:rPr>
                <w:rFonts w:ascii="Consolas" w:hAnsi="Consolas"/>
                <w:sz w:val="17"/>
              </w:rPr>
              <w:t>./models/bge-m3</w:t>
            </w:r>
          </w:p>
        </w:tc>
      </w:tr>
      <w:tr>
        <w:tc>
          <w:tcPr>
            <w:tcW w:type="dxa" w:w="2808"/>
          </w:tcPr>
          <w:p>
            <w:pPr>
              <w:spacing w:after="40"/>
            </w:pPr>
            <w:r/>
            <w:r>
              <w:rPr>
                <w:rFonts w:ascii="Consolas" w:hAnsi="Consolas"/>
                <w:sz w:val="17"/>
              </w:rPr>
              <w:t>models.reranker</w:t>
            </w:r>
          </w:p>
        </w:tc>
        <w:tc>
          <w:tcPr>
            <w:tcW w:type="dxa" w:w="3600"/>
          </w:tcPr>
          <w:p>
            <w:pPr>
              <w:spacing w:after="40"/>
            </w:pPr>
            <w:r/>
            <w:r>
              <w:rPr>
                <w:sz w:val="18"/>
              </w:rPr>
              <w:t>Cross-encoder weights directory</w:t>
            </w:r>
          </w:p>
        </w:tc>
        <w:tc>
          <w:tcPr>
            <w:tcW w:type="dxa" w:w="2376"/>
          </w:tcPr>
          <w:p>
            <w:pPr>
              <w:spacing w:after="40"/>
            </w:pPr>
            <w:r/>
            <w:r>
              <w:rPr>
                <w:rFonts w:ascii="Consolas" w:hAnsi="Consolas"/>
                <w:sz w:val="17"/>
              </w:rPr>
              <w:t>./models/bge-reranker-v2-m3</w:t>
            </w:r>
          </w:p>
        </w:tc>
      </w:tr>
      <w:tr>
        <w:tc>
          <w:tcPr>
            <w:tcW w:type="dxa" w:w="2808"/>
          </w:tcPr>
          <w:p>
            <w:pPr>
              <w:spacing w:after="40"/>
            </w:pPr>
            <w:r/>
            <w:r>
              <w:rPr>
                <w:rFonts w:ascii="Consolas" w:hAnsi="Consolas"/>
                <w:sz w:val="17"/>
              </w:rPr>
              <w:t>models.llm_gguf</w:t>
            </w:r>
          </w:p>
        </w:tc>
        <w:tc>
          <w:tcPr>
            <w:tcW w:type="dxa" w:w="3600"/>
          </w:tcPr>
          <w:p>
            <w:pPr>
              <w:spacing w:after="40"/>
            </w:pPr>
            <w:r/>
            <w:r>
              <w:rPr>
                <w:sz w:val="18"/>
              </w:rPr>
              <w:t>GGUF model; split shards resolved automatically</w:t>
            </w:r>
          </w:p>
        </w:tc>
        <w:tc>
          <w:tcPr>
            <w:tcW w:type="dxa" w:w="2376"/>
          </w:tcPr>
          <w:p>
            <w:pPr>
              <w:spacing w:after="40"/>
            </w:pPr>
            <w:r/>
            <w:r>
              <w:rPr>
                <w:rFonts w:ascii="Consolas" w:hAnsi="Consolas"/>
                <w:sz w:val="17"/>
              </w:rPr>
              <w:t>./models/qwen2.5-7b-instruct-q4_k_m.gguf</w:t>
            </w:r>
          </w:p>
        </w:tc>
      </w:tr>
      <w:tr>
        <w:tc>
          <w:tcPr>
            <w:tcW w:type="dxa" w:w="2808"/>
          </w:tcPr>
          <w:p>
            <w:pPr>
              <w:spacing w:after="40"/>
            </w:pPr>
            <w:r/>
            <w:r>
              <w:rPr>
                <w:rFonts w:ascii="Consolas" w:hAnsi="Consolas"/>
                <w:sz w:val="17"/>
              </w:rPr>
              <w:t>models.lang_id</w:t>
            </w:r>
          </w:p>
        </w:tc>
        <w:tc>
          <w:tcPr>
            <w:tcW w:type="dxa" w:w="3600"/>
          </w:tcPr>
          <w:p>
            <w:pPr>
              <w:spacing w:after="40"/>
            </w:pPr>
            <w:r/>
            <w:r>
              <w:rPr>
                <w:sz w:val="18"/>
              </w:rPr>
              <w:t>fastText language-ID model</w:t>
            </w:r>
          </w:p>
        </w:tc>
        <w:tc>
          <w:tcPr>
            <w:tcW w:type="dxa" w:w="2376"/>
          </w:tcPr>
          <w:p>
            <w:pPr>
              <w:spacing w:after="40"/>
            </w:pPr>
            <w:r/>
            <w:r>
              <w:rPr>
                <w:rFonts w:ascii="Consolas" w:hAnsi="Consolas"/>
                <w:sz w:val="17"/>
              </w:rPr>
              <w:t>./models/lid.176.bin</w:t>
            </w:r>
          </w:p>
        </w:tc>
      </w:tr>
      <w:tr>
        <w:tc>
          <w:tcPr>
            <w:tcW w:type="dxa" w:w="2808"/>
          </w:tcPr>
          <w:p>
            <w:pPr>
              <w:spacing w:after="40"/>
            </w:pPr>
            <w:r/>
            <w:r>
              <w:rPr>
                <w:rFonts w:ascii="Consolas" w:hAnsi="Consolas"/>
                <w:sz w:val="17"/>
              </w:rPr>
              <w:t>chunking.chunk_size_tokens</w:t>
            </w:r>
          </w:p>
        </w:tc>
        <w:tc>
          <w:tcPr>
            <w:tcW w:type="dxa" w:w="3600"/>
          </w:tcPr>
          <w:p>
            <w:pPr>
              <w:spacing w:after="40"/>
            </w:pPr>
            <w:r/>
            <w:r>
              <w:rPr>
                <w:sz w:val="18"/>
              </w:rPr>
              <w:t>Words per chunk (approximate)</w:t>
            </w:r>
          </w:p>
        </w:tc>
        <w:tc>
          <w:tcPr>
            <w:tcW w:type="dxa" w:w="2376"/>
          </w:tcPr>
          <w:p>
            <w:pPr>
              <w:spacing w:after="40"/>
            </w:pPr>
            <w:r/>
            <w:r>
              <w:rPr>
                <w:rFonts w:ascii="Consolas" w:hAnsi="Consolas"/>
                <w:sz w:val="17"/>
              </w:rPr>
              <w:t>400</w:t>
            </w:r>
          </w:p>
        </w:tc>
      </w:tr>
      <w:tr>
        <w:tc>
          <w:tcPr>
            <w:tcW w:type="dxa" w:w="2808"/>
          </w:tcPr>
          <w:p>
            <w:pPr>
              <w:spacing w:after="40"/>
            </w:pPr>
            <w:r/>
            <w:r>
              <w:rPr>
                <w:rFonts w:ascii="Consolas" w:hAnsi="Consolas"/>
                <w:sz w:val="17"/>
              </w:rPr>
              <w:t>chunking.chunk_overlap_tokens</w:t>
            </w:r>
          </w:p>
        </w:tc>
        <w:tc>
          <w:tcPr>
            <w:tcW w:type="dxa" w:w="3600"/>
          </w:tcPr>
          <w:p>
            <w:pPr>
              <w:spacing w:after="40"/>
            </w:pPr>
            <w:r/>
            <w:r>
              <w:rPr>
                <w:sz w:val="18"/>
              </w:rPr>
              <w:t>Overlap between consecutive chunks</w:t>
            </w:r>
          </w:p>
        </w:tc>
        <w:tc>
          <w:tcPr>
            <w:tcW w:type="dxa" w:w="2376"/>
          </w:tcPr>
          <w:p>
            <w:pPr>
              <w:spacing w:after="40"/>
            </w:pPr>
            <w:r/>
            <w:r>
              <w:rPr>
                <w:rFonts w:ascii="Consolas" w:hAnsi="Consolas"/>
                <w:sz w:val="17"/>
              </w:rPr>
              <w:t>50</w:t>
            </w:r>
          </w:p>
        </w:tc>
      </w:tr>
      <w:tr>
        <w:tc>
          <w:tcPr>
            <w:tcW w:type="dxa" w:w="2808"/>
          </w:tcPr>
          <w:p>
            <w:pPr>
              <w:spacing w:after="40"/>
            </w:pPr>
            <w:r/>
            <w:r>
              <w:rPr>
                <w:rFonts w:ascii="Consolas" w:hAnsi="Consolas"/>
                <w:sz w:val="17"/>
              </w:rPr>
              <w:t>classification.auto_assign_threshold</w:t>
            </w:r>
          </w:p>
        </w:tc>
        <w:tc>
          <w:tcPr>
            <w:tcW w:type="dxa" w:w="3600"/>
          </w:tcPr>
          <w:p>
            <w:pPr>
              <w:spacing w:after="40"/>
            </w:pPr>
            <w:r/>
            <w:r>
              <w:rPr>
                <w:sz w:val="18"/>
              </w:rPr>
              <w:t>Minimum cosine similarity to auto-assign</w:t>
            </w:r>
          </w:p>
        </w:tc>
        <w:tc>
          <w:tcPr>
            <w:tcW w:type="dxa" w:w="2376"/>
          </w:tcPr>
          <w:p>
            <w:pPr>
              <w:spacing w:after="40"/>
            </w:pPr>
            <w:r/>
            <w:r>
              <w:rPr>
                <w:rFonts w:ascii="Consolas" w:hAnsi="Consolas"/>
                <w:sz w:val="17"/>
              </w:rPr>
              <w:t>0.72</w:t>
            </w:r>
          </w:p>
        </w:tc>
      </w:tr>
      <w:tr>
        <w:tc>
          <w:tcPr>
            <w:tcW w:type="dxa" w:w="2808"/>
          </w:tcPr>
          <w:p>
            <w:pPr>
              <w:spacing w:after="40"/>
            </w:pPr>
            <w:r/>
            <w:r>
              <w:rPr>
                <w:rFonts w:ascii="Consolas" w:hAnsi="Consolas"/>
                <w:sz w:val="17"/>
              </w:rPr>
              <w:t>classification.ambiguous_gap_threshold</w:t>
            </w:r>
          </w:p>
        </w:tc>
        <w:tc>
          <w:tcPr>
            <w:tcW w:type="dxa" w:w="3600"/>
          </w:tcPr>
          <w:p>
            <w:pPr>
              <w:spacing w:after="40"/>
            </w:pPr>
            <w:r/>
            <w:r>
              <w:rPr>
                <w:sz w:val="18"/>
              </w:rPr>
              <w:t>Minimum top-1 to top-2 margin</w:t>
            </w:r>
          </w:p>
        </w:tc>
        <w:tc>
          <w:tcPr>
            <w:tcW w:type="dxa" w:w="2376"/>
          </w:tcPr>
          <w:p>
            <w:pPr>
              <w:spacing w:after="40"/>
            </w:pPr>
            <w:r/>
            <w:r>
              <w:rPr>
                <w:rFonts w:ascii="Consolas" w:hAnsi="Consolas"/>
                <w:sz w:val="17"/>
              </w:rPr>
              <w:t>0.05</w:t>
            </w:r>
          </w:p>
        </w:tc>
      </w:tr>
      <w:tr>
        <w:tc>
          <w:tcPr>
            <w:tcW w:type="dxa" w:w="2808"/>
          </w:tcPr>
          <w:p>
            <w:pPr>
              <w:spacing w:after="40"/>
            </w:pPr>
            <w:r/>
            <w:r>
              <w:rPr>
                <w:rFonts w:ascii="Consolas" w:hAnsi="Consolas"/>
                <w:sz w:val="17"/>
              </w:rPr>
              <w:t>classification.llm_candidate_count</w:t>
            </w:r>
          </w:p>
        </w:tc>
        <w:tc>
          <w:tcPr>
            <w:tcW w:type="dxa" w:w="3600"/>
          </w:tcPr>
          <w:p>
            <w:pPr>
              <w:spacing w:after="40"/>
            </w:pPr>
            <w:r/>
            <w:r>
              <w:rPr>
                <w:sz w:val="18"/>
              </w:rPr>
              <w:t>Categories handed to the LLM tie-breaker</w:t>
            </w:r>
          </w:p>
        </w:tc>
        <w:tc>
          <w:tcPr>
            <w:tcW w:type="dxa" w:w="2376"/>
          </w:tcPr>
          <w:p>
            <w:pPr>
              <w:spacing w:after="40"/>
            </w:pPr>
            <w:r/>
            <w:r>
              <w:rPr>
                <w:rFonts w:ascii="Consolas" w:hAnsi="Consolas"/>
                <w:sz w:val="17"/>
              </w:rPr>
              <w:t>5</w:t>
            </w:r>
          </w:p>
        </w:tc>
      </w:tr>
      <w:tr>
        <w:tc>
          <w:tcPr>
            <w:tcW w:type="dxa" w:w="2808"/>
          </w:tcPr>
          <w:p>
            <w:pPr>
              <w:spacing w:after="40"/>
            </w:pPr>
            <w:r/>
            <w:r>
              <w:rPr>
                <w:rFonts w:ascii="Consolas" w:hAnsi="Consolas"/>
                <w:sz w:val="17"/>
              </w:rPr>
              <w:t>search.ann_candidate_count</w:t>
            </w:r>
          </w:p>
        </w:tc>
        <w:tc>
          <w:tcPr>
            <w:tcW w:type="dxa" w:w="3600"/>
          </w:tcPr>
          <w:p>
            <w:pPr>
              <w:spacing w:after="40"/>
            </w:pPr>
            <w:r/>
            <w:r>
              <w:rPr>
                <w:sz w:val="18"/>
              </w:rPr>
              <w:t>Candidates retrieved before reranking</w:t>
            </w:r>
          </w:p>
        </w:tc>
        <w:tc>
          <w:tcPr>
            <w:tcW w:type="dxa" w:w="2376"/>
          </w:tcPr>
          <w:p>
            <w:pPr>
              <w:spacing w:after="40"/>
            </w:pPr>
            <w:r/>
            <w:r>
              <w:rPr>
                <w:rFonts w:ascii="Consolas" w:hAnsi="Consolas"/>
                <w:sz w:val="17"/>
              </w:rPr>
              <w:t>50</w:t>
            </w:r>
          </w:p>
        </w:tc>
      </w:tr>
      <w:tr>
        <w:tc>
          <w:tcPr>
            <w:tcW w:type="dxa" w:w="2808"/>
          </w:tcPr>
          <w:p>
            <w:pPr>
              <w:spacing w:after="40"/>
            </w:pPr>
            <w:r/>
            <w:r>
              <w:rPr>
                <w:rFonts w:ascii="Consolas" w:hAnsi="Consolas"/>
                <w:sz w:val="17"/>
              </w:rPr>
              <w:t>search.final_result_count</w:t>
            </w:r>
          </w:p>
        </w:tc>
        <w:tc>
          <w:tcPr>
            <w:tcW w:type="dxa" w:w="3600"/>
          </w:tcPr>
          <w:p>
            <w:pPr>
              <w:spacing w:after="40"/>
            </w:pPr>
            <w:r/>
            <w:r>
              <w:rPr>
                <w:sz w:val="18"/>
              </w:rPr>
              <w:t>Results returned after reranking</w:t>
            </w:r>
          </w:p>
        </w:tc>
        <w:tc>
          <w:tcPr>
            <w:tcW w:type="dxa" w:w="2376"/>
          </w:tcPr>
          <w:p>
            <w:pPr>
              <w:spacing w:after="40"/>
            </w:pPr>
            <w:r/>
            <w:r>
              <w:rPr>
                <w:rFonts w:ascii="Consolas" w:hAnsi="Consolas"/>
                <w:sz w:val="17"/>
              </w:rPr>
              <w:t>10</w:t>
            </w:r>
          </w:p>
        </w:tc>
      </w:tr>
      <w:tr>
        <w:tc>
          <w:tcPr>
            <w:tcW w:type="dxa" w:w="2808"/>
          </w:tcPr>
          <w:p>
            <w:pPr>
              <w:spacing w:after="40"/>
            </w:pPr>
            <w:r/>
            <w:r>
              <w:rPr>
                <w:rFonts w:ascii="Consolas" w:hAnsi="Consolas"/>
                <w:sz w:val="17"/>
              </w:rPr>
              <w:t>report.output_language</w:t>
            </w:r>
          </w:p>
        </w:tc>
        <w:tc>
          <w:tcPr>
            <w:tcW w:type="dxa" w:w="3600"/>
          </w:tcPr>
          <w:p>
            <w:pPr>
              <w:spacing w:after="40"/>
            </w:pPr>
            <w:r/>
            <w:r>
              <w:rPr>
                <w:sz w:val="18"/>
              </w:rPr>
              <w:t>Language for generated summaries</w:t>
            </w:r>
          </w:p>
        </w:tc>
        <w:tc>
          <w:tcPr>
            <w:tcW w:type="dxa" w:w="2376"/>
          </w:tcPr>
          <w:p>
            <w:pPr>
              <w:spacing w:after="40"/>
            </w:pPr>
            <w:r/>
            <w:r>
              <w:rPr>
                <w:rFonts w:ascii="Consolas" w:hAnsi="Consolas"/>
                <w:sz w:val="17"/>
              </w:rPr>
              <w:t>en</w:t>
            </w:r>
          </w:p>
        </w:tc>
      </w:tr>
      <w:tr>
        <w:tc>
          <w:tcPr>
            <w:tcW w:type="dxa" w:w="2808"/>
          </w:tcPr>
          <w:p>
            <w:pPr>
              <w:spacing w:after="40"/>
            </w:pPr>
            <w:r/>
            <w:r>
              <w:rPr>
                <w:rFonts w:ascii="Consolas" w:hAnsi="Consolas"/>
                <w:sz w:val="17"/>
              </w:rPr>
              <w:t>report.samples_per_category</w:t>
            </w:r>
          </w:p>
        </w:tc>
        <w:tc>
          <w:tcPr>
            <w:tcW w:type="dxa" w:w="3600"/>
          </w:tcPr>
          <w:p>
            <w:pPr>
              <w:spacing w:after="40"/>
            </w:pPr>
            <w:r/>
            <w:r>
              <w:rPr>
                <w:sz w:val="18"/>
              </w:rPr>
              <w:t>Documents sampled per category summary</w:t>
            </w:r>
          </w:p>
        </w:tc>
        <w:tc>
          <w:tcPr>
            <w:tcW w:type="dxa" w:w="2376"/>
          </w:tcPr>
          <w:p>
            <w:pPr>
              <w:spacing w:after="40"/>
            </w:pPr>
            <w:r/>
            <w:r>
              <w:rPr>
                <w:rFonts w:ascii="Consolas" w:hAnsi="Consolas"/>
                <w:sz w:val="17"/>
              </w:rPr>
              <w:t>8</w:t>
            </w:r>
          </w:p>
        </w:tc>
      </w:tr>
      <w:tr>
        <w:tc>
          <w:tcPr>
            <w:tcW w:type="dxa" w:w="2808"/>
          </w:tcPr>
          <w:p>
            <w:pPr>
              <w:spacing w:after="40"/>
            </w:pPr>
            <w:r/>
            <w:r>
              <w:rPr>
                <w:rFonts w:ascii="Consolas" w:hAnsi="Consolas"/>
                <w:sz w:val="17"/>
              </w:rPr>
              <w:t>ocr.confidence_flag_threshold</w:t>
            </w:r>
          </w:p>
        </w:tc>
        <w:tc>
          <w:tcPr>
            <w:tcW w:type="dxa" w:w="3600"/>
          </w:tcPr>
          <w:p>
            <w:pPr>
              <w:spacing w:after="40"/>
            </w:pPr>
            <w:r/>
            <w:r>
              <w:rPr>
                <w:sz w:val="18"/>
              </w:rPr>
              <w:t>Below this, OCR output is flagged for review</w:t>
            </w:r>
          </w:p>
        </w:tc>
        <w:tc>
          <w:tcPr>
            <w:tcW w:type="dxa" w:w="2376"/>
          </w:tcPr>
          <w:p>
            <w:pPr>
              <w:spacing w:after="40"/>
            </w:pPr>
            <w:r/>
            <w:r>
              <w:rPr>
                <w:rFonts w:ascii="Consolas" w:hAnsi="Consolas"/>
                <w:sz w:val="17"/>
              </w:rPr>
              <w:t>60</w:t>
            </w:r>
          </w:p>
        </w:tc>
      </w:tr>
      <w:tr>
        <w:tc>
          <w:tcPr>
            <w:tcW w:type="dxa" w:w="2808"/>
          </w:tcPr>
          <w:p>
            <w:pPr>
              <w:spacing w:after="40"/>
            </w:pPr>
            <w:r/>
            <w:r>
              <w:rPr>
                <w:rFonts w:ascii="Consolas" w:hAnsi="Consolas"/>
                <w:sz w:val="17"/>
              </w:rPr>
              <w:t>metadata.enabled</w:t>
            </w:r>
          </w:p>
        </w:tc>
        <w:tc>
          <w:tcPr>
            <w:tcW w:type="dxa" w:w="3600"/>
          </w:tcPr>
          <w:p>
            <w:pPr>
              <w:spacing w:after="40"/>
            </w:pPr>
            <w:r/>
            <w:r>
              <w:rPr>
                <w:sz w:val="18"/>
              </w:rPr>
              <w:t>Extract metadata during ingestion at all</w:t>
            </w:r>
          </w:p>
        </w:tc>
        <w:tc>
          <w:tcPr>
            <w:tcW w:type="dxa" w:w="2376"/>
          </w:tcPr>
          <w:p>
            <w:pPr>
              <w:spacing w:after="40"/>
            </w:pPr>
            <w:r/>
            <w:r>
              <w:rPr>
                <w:rFonts w:ascii="Consolas" w:hAnsi="Consolas"/>
                <w:sz w:val="17"/>
              </w:rPr>
              <w:t>true</w:t>
            </w:r>
          </w:p>
        </w:tc>
      </w:tr>
      <w:tr>
        <w:tc>
          <w:tcPr>
            <w:tcW w:type="dxa" w:w="2808"/>
          </w:tcPr>
          <w:p>
            <w:pPr>
              <w:spacing w:after="40"/>
            </w:pPr>
            <w:r/>
            <w:r>
              <w:rPr>
                <w:rFonts w:ascii="Consolas" w:hAnsi="Consolas"/>
                <w:sz w:val="17"/>
              </w:rPr>
              <w:t>metadata.use_grobid</w:t>
            </w:r>
          </w:p>
        </w:tc>
        <w:tc>
          <w:tcPr>
            <w:tcW w:type="dxa" w:w="3600"/>
          </w:tcPr>
          <w:p>
            <w:pPr>
              <w:spacing w:after="40"/>
            </w:pPr>
            <w:r/>
            <w:r>
              <w:rPr>
                <w:sz w:val="18"/>
              </w:rPr>
              <w:t>Try local GROBID first for PDFs</w:t>
            </w:r>
          </w:p>
        </w:tc>
        <w:tc>
          <w:tcPr>
            <w:tcW w:type="dxa" w:w="2376"/>
          </w:tcPr>
          <w:p>
            <w:pPr>
              <w:spacing w:after="40"/>
            </w:pPr>
            <w:r/>
            <w:r>
              <w:rPr>
                <w:rFonts w:ascii="Consolas" w:hAnsi="Consolas"/>
                <w:sz w:val="17"/>
              </w:rPr>
              <w:t>true</w:t>
            </w:r>
          </w:p>
        </w:tc>
      </w:tr>
      <w:tr>
        <w:tc>
          <w:tcPr>
            <w:tcW w:type="dxa" w:w="2808"/>
          </w:tcPr>
          <w:p>
            <w:pPr>
              <w:spacing w:after="40"/>
            </w:pPr>
            <w:r/>
            <w:r>
              <w:rPr>
                <w:rFonts w:ascii="Consolas" w:hAnsi="Consolas"/>
                <w:sz w:val="17"/>
              </w:rPr>
              <w:t>metadata.use_llm_fallback</w:t>
            </w:r>
          </w:p>
        </w:tc>
        <w:tc>
          <w:tcPr>
            <w:tcW w:type="dxa" w:w="3600"/>
          </w:tcPr>
          <w:p>
            <w:pPr>
              <w:spacing w:after="40"/>
            </w:pPr>
            <w:r/>
            <w:r>
              <w:rPr>
                <w:sz w:val="18"/>
              </w:rPr>
              <w:t>LLM header extraction when GROBID finds nothing</w:t>
            </w:r>
          </w:p>
        </w:tc>
        <w:tc>
          <w:tcPr>
            <w:tcW w:type="dxa" w:w="2376"/>
          </w:tcPr>
          <w:p>
            <w:pPr>
              <w:spacing w:after="40"/>
            </w:pPr>
            <w:r/>
            <w:r>
              <w:rPr>
                <w:rFonts w:ascii="Consolas" w:hAnsi="Consolas"/>
                <w:sz w:val="17"/>
              </w:rPr>
              <w:t>true</w:t>
            </w:r>
          </w:p>
        </w:tc>
      </w:tr>
      <w:tr>
        <w:tc>
          <w:tcPr>
            <w:tcW w:type="dxa" w:w="2808"/>
          </w:tcPr>
          <w:p>
            <w:pPr>
              <w:spacing w:after="40"/>
            </w:pPr>
            <w:r/>
            <w:r>
              <w:rPr>
                <w:rFonts w:ascii="Consolas" w:hAnsi="Consolas"/>
                <w:sz w:val="17"/>
              </w:rPr>
              <w:t>metadata.extract_keywords</w:t>
            </w:r>
          </w:p>
        </w:tc>
        <w:tc>
          <w:tcPr>
            <w:tcW w:type="dxa" w:w="3600"/>
          </w:tcPr>
          <w:p>
            <w:pPr>
              <w:spacing w:after="40"/>
            </w:pPr>
            <w:r/>
            <w:r>
              <w:rPr>
                <w:sz w:val="18"/>
              </w:rPr>
              <w:t>KeyBERT keywords when the document lists none</w:t>
            </w:r>
          </w:p>
        </w:tc>
        <w:tc>
          <w:tcPr>
            <w:tcW w:type="dxa" w:w="2376"/>
          </w:tcPr>
          <w:p>
            <w:pPr>
              <w:spacing w:after="40"/>
            </w:pPr>
            <w:r/>
            <w:r>
              <w:rPr>
                <w:rFonts w:ascii="Consolas" w:hAnsi="Consolas"/>
                <w:sz w:val="17"/>
              </w:rPr>
              <w:t>true</w:t>
            </w:r>
          </w:p>
        </w:tc>
      </w:tr>
      <w:tr>
        <w:tc>
          <w:tcPr>
            <w:tcW w:type="dxa" w:w="2808"/>
          </w:tcPr>
          <w:p>
            <w:pPr>
              <w:spacing w:after="40"/>
            </w:pPr>
            <w:r/>
            <w:r>
              <w:rPr>
                <w:rFonts w:ascii="Consolas" w:hAnsi="Consolas"/>
                <w:sz w:val="17"/>
              </w:rPr>
              <w:t>metadata.translate_to_english</w:t>
            </w:r>
          </w:p>
        </w:tc>
        <w:tc>
          <w:tcPr>
            <w:tcW w:type="dxa" w:w="3600"/>
          </w:tcPr>
          <w:p>
            <w:pPr>
              <w:spacing w:after="40"/>
            </w:pPr>
            <w:r/>
            <w:r>
              <w:rPr>
                <w:sz w:val="18"/>
              </w:rPr>
              <w:t>Populate the *_en mirror fields</w:t>
            </w:r>
          </w:p>
        </w:tc>
        <w:tc>
          <w:tcPr>
            <w:tcW w:type="dxa" w:w="2376"/>
          </w:tcPr>
          <w:p>
            <w:pPr>
              <w:spacing w:after="40"/>
            </w:pPr>
            <w:r/>
            <w:r>
              <w:rPr>
                <w:rFonts w:ascii="Consolas" w:hAnsi="Consolas"/>
                <w:sz w:val="17"/>
              </w:rPr>
              <w:t>true</w:t>
            </w:r>
          </w:p>
        </w:tc>
      </w:tr>
      <w:tr>
        <w:tc>
          <w:tcPr>
            <w:tcW w:type="dxa" w:w="2808"/>
          </w:tcPr>
          <w:p>
            <w:pPr>
              <w:spacing w:after="40"/>
            </w:pPr>
            <w:r/>
            <w:r>
              <w:rPr>
                <w:rFonts w:ascii="Consolas" w:hAnsi="Consolas"/>
                <w:sz w:val="17"/>
              </w:rPr>
              <w:t>metadata.llm_snippet_chars</w:t>
            </w:r>
          </w:p>
        </w:tc>
        <w:tc>
          <w:tcPr>
            <w:tcW w:type="dxa" w:w="3600"/>
          </w:tcPr>
          <w:p>
            <w:pPr>
              <w:spacing w:after="40"/>
            </w:pPr>
            <w:r/>
            <w:r>
              <w:rPr>
                <w:sz w:val="18"/>
              </w:rPr>
              <w:t>Document head the LLM extractor reads</w:t>
            </w:r>
          </w:p>
        </w:tc>
        <w:tc>
          <w:tcPr>
            <w:tcW w:type="dxa" w:w="2376"/>
          </w:tcPr>
          <w:p>
            <w:pPr>
              <w:spacing w:after="40"/>
            </w:pPr>
            <w:r/>
            <w:r>
              <w:rPr>
                <w:rFonts w:ascii="Consolas" w:hAnsi="Consolas"/>
                <w:sz w:val="17"/>
              </w:rPr>
              <w:t>3000</w:t>
            </w:r>
          </w:p>
        </w:tc>
      </w:tr>
    </w:tbl>
    <w:p>
      <w:pPr>
        <w:spacing w:after="40"/>
      </w:pPr>
    </w:p>
    <w:p>
      <w:pPr>
        <w:spacing w:before="140" w:after="160"/>
        <w:ind w:left="173"/>
        <w:shd w:val="clear" w:color="auto" w:fill="FFF6E5"/>
      </w:pPr>
      <w:r>
        <w:rPr>
          <w:b/>
          <w:sz w:val="19"/>
        </w:rPr>
        <w:t xml:space="preserve">Tuning the two classification thresholds:  </w:t>
      </w:r>
      <w:r>
        <w:rPr>
          <w:sz w:val="19"/>
        </w:rPr>
        <w:t>raising auto_assign_threshold sends more documents to the LLM and then to human review — higher precision, more work. Raising ambiguous_gap_threshold specifically targets documents sitting between two sibling categories. Measure on a labelled sample before changing either; the defaults are reasonable starting points, not tuned values.</w:t>
      </w:r>
    </w:p>
    <w:p>
      <w:r>
        <w:br w:type="page"/>
      </w:r>
    </w:p>
    <w:p>
      <w:pPr>
        <w:pStyle w:val="Heading1"/>
        <w:spacing w:before="0" w:after="100"/>
      </w:pPr>
      <w:r>
        <w:rPr>
          <w:color w:val="143D59"/>
        </w:rPr>
        <w:t>7. Packaging into a Windows executable</w:t>
      </w:r>
    </w:p>
    <w:tbl>
      <w:tblPr>
        <w:tblStyle w:val="TableGrid"/>
        <w:tblW w:type="auto" w:w="0"/>
        <w:jc w:val="center"/>
        <w:tblLook w:firstColumn="1" w:firstRow="1" w:lastColumn="0" w:lastRow="0" w:noHBand="0" w:noVBand="1" w:val="04A0"/>
      </w:tblPr>
      <w:tblGrid>
        <w:gridCol w:w="4824"/>
        <w:gridCol w:w="4824"/>
      </w:tblGrid>
      <w:tr>
        <w:tc>
          <w:tcPr>
            <w:tcW w:type="dxa" w:w="3024"/>
          </w:tcPr>
          <w:p>
            <w:pPr>
              <w:shd w:val="clear" w:color="auto" w:fill="DCE6F1"/>
            </w:pPr>
            <w:r/>
            <w:r>
              <w:rPr>
                <w:b/>
                <w:sz w:val="19"/>
              </w:rPr>
              <w:t>File</w:t>
            </w:r>
          </w:p>
        </w:tc>
        <w:tc>
          <w:tcPr>
            <w:tcW w:type="dxa" w:w="5760"/>
          </w:tcPr>
          <w:p>
            <w:pPr>
              <w:shd w:val="clear" w:color="auto" w:fill="DCE6F1"/>
            </w:pPr>
            <w:r/>
            <w:r>
              <w:rPr>
                <w:b/>
                <w:sz w:val="19"/>
              </w:rPr>
              <w:t>Role</w:t>
            </w:r>
          </w:p>
        </w:tc>
      </w:tr>
      <w:tr>
        <w:tc>
          <w:tcPr>
            <w:tcW w:type="dxa" w:w="3024"/>
          </w:tcPr>
          <w:p>
            <w:pPr>
              <w:spacing w:after="40"/>
            </w:pPr>
            <w:r/>
            <w:r>
              <w:rPr>
                <w:rFonts w:ascii="Consolas" w:hAnsi="Consolas"/>
                <w:sz w:val="17"/>
              </w:rPr>
              <w:t>build/main.spec</w:t>
            </w:r>
          </w:p>
        </w:tc>
        <w:tc>
          <w:tcPr>
            <w:tcW w:type="dxa" w:w="5760"/>
          </w:tcPr>
          <w:p>
            <w:pPr>
              <w:spacing w:after="40"/>
            </w:pPr>
            <w:r/>
            <w:r>
              <w:rPr>
                <w:sz w:val="18"/>
              </w:rPr>
              <w:t>PyInstaller spec, --onedir mode</w:t>
            </w:r>
          </w:p>
        </w:tc>
      </w:tr>
      <w:tr>
        <w:tc>
          <w:tcPr>
            <w:tcW w:type="dxa" w:w="3024"/>
          </w:tcPr>
          <w:p>
            <w:pPr>
              <w:spacing w:after="40"/>
            </w:pPr>
            <w:r/>
            <w:r>
              <w:rPr>
                <w:rFonts w:ascii="Consolas" w:hAnsi="Consolas"/>
                <w:sz w:val="17"/>
              </w:rPr>
              <w:t>build/build.ps1</w:t>
            </w:r>
          </w:p>
        </w:tc>
        <w:tc>
          <w:tcPr>
            <w:tcW w:type="dxa" w:w="5760"/>
          </w:tcPr>
          <w:p>
            <w:pPr>
              <w:spacing w:after="40"/>
            </w:pPr>
            <w:r/>
            <w:r>
              <w:rPr>
                <w:sz w:val="18"/>
              </w:rPr>
              <w:t>Wraps the process: environment check → clean → build → assemble</w:t>
            </w:r>
          </w:p>
        </w:tc>
      </w:tr>
      <w:tr>
        <w:tc>
          <w:tcPr>
            <w:tcW w:type="dxa" w:w="3024"/>
          </w:tcPr>
          <w:p>
            <w:pPr>
              <w:spacing w:after="40"/>
            </w:pPr>
            <w:r/>
            <w:r>
              <w:rPr>
                <w:rFonts w:ascii="Consolas" w:hAnsi="Consolas"/>
                <w:sz w:val="17"/>
              </w:rPr>
              <w:t>build/README_BUILD.md</w:t>
            </w:r>
          </w:p>
        </w:tc>
        <w:tc>
          <w:tcPr>
            <w:tcW w:type="dxa" w:w="5760"/>
          </w:tcPr>
          <w:p>
            <w:pPr>
              <w:spacing w:after="40"/>
            </w:pPr>
            <w:r/>
            <w:r>
              <w:rPr>
                <w:sz w:val="18"/>
              </w:rPr>
              <w:t>Packaging gotchas — read before debugging a build</w:t>
            </w:r>
          </w:p>
        </w:tc>
      </w:tr>
      <w:tr>
        <w:tc>
          <w:tcPr>
            <w:tcW w:type="dxa" w:w="3024"/>
          </w:tcPr>
          <w:p>
            <w:pPr>
              <w:spacing w:after="40"/>
            </w:pPr>
            <w:r/>
            <w:r>
              <w:rPr>
                <w:rFonts w:ascii="Consolas" w:hAnsi="Consolas"/>
                <w:sz w:val="17"/>
              </w:rPr>
              <w:t>build/hooks/hook-llama_cpp.py</w:t>
            </w:r>
          </w:p>
        </w:tc>
        <w:tc>
          <w:tcPr>
            <w:tcW w:type="dxa" w:w="5760"/>
          </w:tcPr>
          <w:p>
            <w:pPr>
              <w:spacing w:after="40"/>
            </w:pPr>
            <w:r/>
            <w:r>
              <w:rPr>
                <w:sz w:val="18"/>
              </w:rPr>
              <w:t>Collects llama.cpp's ctypes-loaded backend DLLs</w:t>
            </w:r>
          </w:p>
        </w:tc>
      </w:tr>
      <w:tr>
        <w:tc>
          <w:tcPr>
            <w:tcW w:type="dxa" w:w="3024"/>
          </w:tcPr>
          <w:p>
            <w:pPr>
              <w:spacing w:after="40"/>
            </w:pPr>
            <w:r/>
            <w:r>
              <w:rPr>
                <w:rFonts w:ascii="Consolas" w:hAnsi="Consolas"/>
                <w:sz w:val="17"/>
              </w:rPr>
              <w:t>build/hooks/hook-lancedb.py</w:t>
            </w:r>
          </w:p>
        </w:tc>
        <w:tc>
          <w:tcPr>
            <w:tcW w:type="dxa" w:w="5760"/>
          </w:tcPr>
          <w:p>
            <w:pPr>
              <w:spacing w:after="40"/>
            </w:pPr>
            <w:r/>
            <w:r>
              <w:rPr>
                <w:sz w:val="18"/>
              </w:rPr>
              <w:t>Collects lancedb's native Rust extension</w:t>
            </w:r>
          </w:p>
        </w:tc>
      </w:tr>
    </w:tbl>
    <w:p>
      <w:pPr>
        <w:spacing w:after="40"/>
      </w:pPr>
    </w:p>
    <w:p>
      <w:pPr>
        <w:pStyle w:val="Heading2"/>
        <w:spacing w:before="280" w:after="100"/>
      </w:pPr>
      <w:r>
        <w:rPr>
          <w:color w:val="143D59"/>
        </w:rPr>
        <w:t>7.1 Building</w:t>
      </w:r>
    </w:p>
    <w:p>
      <w:pPr>
        <w:spacing w:before="120" w:after="0" w:line="240" w:lineRule="auto"/>
        <w:ind w:left="259"/>
        <w:shd w:val="clear" w:color="auto" w:fill="F4F5F7"/>
      </w:pPr>
      <w:r>
        <w:rPr>
          <w:rFonts w:ascii="Consolas" w:hAnsi="Consolas"/>
          <w:sz w:val="17"/>
        </w:rPr>
        <w:t>.venv\Scripts\activate</w:t>
      </w:r>
    </w:p>
    <w:p>
      <w:pPr>
        <w:spacing w:before="0" w:after="120" w:line="240" w:lineRule="auto"/>
        <w:ind w:left="259"/>
        <w:shd w:val="clear" w:color="auto" w:fill="F4F5F7"/>
      </w:pPr>
      <w:r>
        <w:rPr>
          <w:rFonts w:ascii="Consolas" w:hAnsi="Consolas"/>
          <w:sz w:val="17"/>
        </w:rPr>
        <w:t>powershell -ExecutionPolicy Bypass -File build\build.ps1 -Console -SkipEnvCheck</w:t>
      </w:r>
    </w:p>
    <w:tbl>
      <w:tblPr>
        <w:tblStyle w:val="TableGrid"/>
        <w:tblW w:type="auto" w:w="0"/>
        <w:jc w:val="center"/>
        <w:tblLook w:firstColumn="1" w:firstRow="1" w:lastColumn="0" w:lastRow="0" w:noHBand="0" w:noVBand="1" w:val="04A0"/>
      </w:tblPr>
      <w:tblGrid>
        <w:gridCol w:w="4824"/>
        <w:gridCol w:w="4824"/>
      </w:tblGrid>
      <w:tr>
        <w:tc>
          <w:tcPr>
            <w:tcW w:type="dxa" w:w="1656"/>
          </w:tcPr>
          <w:p>
            <w:pPr>
              <w:shd w:val="clear" w:color="auto" w:fill="DCE6F1"/>
            </w:pPr>
            <w:r/>
            <w:r>
              <w:rPr>
                <w:b/>
                <w:sz w:val="19"/>
              </w:rPr>
              <w:t>Flag</w:t>
            </w:r>
          </w:p>
        </w:tc>
        <w:tc>
          <w:tcPr>
            <w:tcW w:type="dxa" w:w="7128"/>
          </w:tcPr>
          <w:p>
            <w:pPr>
              <w:shd w:val="clear" w:color="auto" w:fill="DCE6F1"/>
            </w:pPr>
            <w:r/>
            <w:r>
              <w:rPr>
                <w:b/>
                <w:sz w:val="19"/>
              </w:rPr>
              <w:t>Why</w:t>
            </w:r>
          </w:p>
        </w:tc>
      </w:tr>
      <w:tr>
        <w:tc>
          <w:tcPr>
            <w:tcW w:type="dxa" w:w="1656"/>
          </w:tcPr>
          <w:p>
            <w:pPr>
              <w:spacing w:after="40"/>
            </w:pPr>
            <w:r/>
            <w:r>
              <w:rPr>
                <w:rFonts w:ascii="Consolas" w:hAnsi="Consolas"/>
                <w:sz w:val="17"/>
              </w:rPr>
              <w:t>-Console</w:t>
            </w:r>
          </w:p>
        </w:tc>
        <w:tc>
          <w:tcPr>
            <w:tcW w:type="dxa" w:w="7128"/>
          </w:tcPr>
          <w:p>
            <w:pPr>
              <w:spacing w:after="40"/>
            </w:pPr>
            <w:r/>
            <w:r>
              <w:rPr>
                <w:sz w:val="18"/>
              </w:rPr>
              <w:t>Use this for a first build. A windowed PyInstaller application discards stdout and stderr, so a missing import appears as a window that simply never opens.</w:t>
            </w:r>
          </w:p>
        </w:tc>
      </w:tr>
      <w:tr>
        <w:tc>
          <w:tcPr>
            <w:tcW w:type="dxa" w:w="1656"/>
          </w:tcPr>
          <w:p>
            <w:pPr>
              <w:spacing w:after="40"/>
            </w:pPr>
            <w:r/>
            <w:r>
              <w:rPr>
                <w:rFonts w:ascii="Consolas" w:hAnsi="Consolas"/>
                <w:sz w:val="17"/>
              </w:rPr>
              <w:t>-SkipEnvCheck</w:t>
            </w:r>
          </w:p>
        </w:tc>
        <w:tc>
          <w:tcPr>
            <w:tcW w:type="dxa" w:w="7128"/>
          </w:tcPr>
          <w:p>
            <w:pPr>
              <w:spacing w:after="40"/>
            </w:pPr>
            <w:r/>
            <w:r>
              <w:rPr>
                <w:sz w:val="18"/>
              </w:rPr>
              <w:t>Skips setup_check.py, which loads every model and therefore needs models/ populated on the build machine.</w:t>
            </w:r>
          </w:p>
        </w:tc>
      </w:tr>
      <w:tr>
        <w:tc>
          <w:tcPr>
            <w:tcW w:type="dxa" w:w="1656"/>
          </w:tcPr>
          <w:p>
            <w:pPr>
              <w:spacing w:after="40"/>
            </w:pPr>
            <w:r/>
            <w:r>
              <w:rPr>
                <w:rFonts w:ascii="Consolas" w:hAnsi="Consolas"/>
                <w:sz w:val="17"/>
              </w:rPr>
              <w:t>-KeepWork</w:t>
            </w:r>
          </w:p>
        </w:tc>
        <w:tc>
          <w:tcPr>
            <w:tcW w:type="dxa" w:w="7128"/>
          </w:tcPr>
          <w:p>
            <w:pPr>
              <w:spacing w:after="40"/>
            </w:pPr>
            <w:r/>
            <w:r>
              <w:rPr>
                <w:sz w:val="18"/>
              </w:rPr>
              <w:t>Keeps build/work/, holding warn-docclassify.txt (every unresolved module) and xref-docclassify.html (the import graph).</w:t>
            </w:r>
          </w:p>
        </w:tc>
      </w:tr>
      <w:tr>
        <w:tc>
          <w:tcPr>
            <w:tcW w:type="dxa" w:w="1656"/>
          </w:tcPr>
          <w:p>
            <w:pPr>
              <w:spacing w:after="40"/>
            </w:pPr>
            <w:r/>
            <w:r>
              <w:rPr>
                <w:rFonts w:ascii="Consolas" w:hAnsi="Consolas"/>
                <w:sz w:val="17"/>
              </w:rPr>
              <w:t>-Python &lt;path&gt;</w:t>
            </w:r>
          </w:p>
        </w:tc>
        <w:tc>
          <w:tcPr>
            <w:tcW w:type="dxa" w:w="7128"/>
          </w:tcPr>
          <w:p>
            <w:pPr>
              <w:spacing w:after="40"/>
            </w:pPr>
            <w:r/>
            <w:r>
              <w:rPr>
                <w:sz w:val="18"/>
              </w:rPr>
              <w:t>Build with an interpreter other than the project venv.</w:t>
            </w:r>
          </w:p>
        </w:tc>
      </w:tr>
    </w:tbl>
    <w:p>
      <w:pPr>
        <w:spacing w:after="40"/>
      </w:pPr>
    </w:p>
    <w:p>
      <w:r>
        <w:rPr>
          <w:b w:val="0"/>
          <w:i w:val="0"/>
        </w:rPr>
        <w:t>Output is dist\docclassify\, then copy models across and the folder is self-contained:</w:t>
      </w:r>
    </w:p>
    <w:p>
      <w:pPr>
        <w:spacing w:before="120" w:after="0" w:line="240" w:lineRule="auto"/>
        <w:ind w:left="259"/>
        <w:shd w:val="clear" w:color="auto" w:fill="F4F5F7"/>
      </w:pPr>
      <w:r>
        <w:rPr>
          <w:rFonts w:ascii="Consolas" w:hAnsi="Consolas"/>
          <w:sz w:val="17"/>
        </w:rPr>
        <w:t>Copy-Item -Recurse -Force models\* dist\docclassify\models\</w:t>
      </w:r>
    </w:p>
    <w:p>
      <w:pPr>
        <w:spacing w:before="0" w:after="120" w:line="240" w:lineRule="auto"/>
        <w:ind w:left="259"/>
        <w:shd w:val="clear" w:color="auto" w:fill="F4F5F7"/>
      </w:pPr>
      <w:r>
        <w:rPr>
          <w:rFonts w:ascii="Consolas" w:hAnsi="Consolas"/>
          <w:sz w:val="17"/>
        </w:rPr>
        <w:t>dist\docclassify\docclassify.exe</w:t>
      </w:r>
    </w:p>
    <w:p>
      <w:pPr>
        <w:pStyle w:val="Heading2"/>
        <w:spacing w:before="280" w:after="100"/>
      </w:pPr>
      <w:r>
        <w:rPr>
          <w:color w:val="143D59"/>
        </w:rPr>
        <w:t>7.2 The decisions embedded in the spec</w:t>
      </w:r>
    </w:p>
    <w:p>
      <w:r>
        <w:rPr>
          <w:b/>
          <w:i w:val="0"/>
        </w:rPr>
        <w:t xml:space="preserve">--onedir, not --onefile. </w:t>
      </w:r>
      <w:r>
        <w:rPr>
          <w:b w:val="0"/>
          <w:i w:val="0"/>
        </w:rPr>
        <w:t>A onefile build unpacks the entire multi-gigabyte dependency tree into a temporary directory on every launch. For an application people open repeatedly that is unacceptable.</w:t>
      </w:r>
    </w:p>
    <w:p>
      <w:r>
        <w:rPr>
          <w:b/>
          <w:i w:val="0"/>
        </w:rPr>
        <w:t xml:space="preserve">UPX compression is off, deliberately. </w:t>
      </w:r>
      <w:r>
        <w:rPr>
          <w:b w:val="0"/>
          <w:i w:val="0"/>
        </w:rPr>
        <w:t>Compressing CUDA and torch DLLs with UPX is a well-known cause of builds that work on the build machine and fail silently elsewhere. Do not turn it back on.</w:t>
      </w:r>
    </w:p>
    <w:p>
      <w:r>
        <w:rPr>
          <w:b/>
          <w:i w:val="0"/>
        </w:rPr>
        <w:t xml:space="preserve">config, models and data stay outside the bundle. </w:t>
      </w:r>
      <w:r>
        <w:rPr>
          <w:b w:val="0"/>
          <w:i w:val="0"/>
        </w:rPr>
        <w:t>This works only because config.py detects sys.frozen and anchors to the executable's own directory instead of walking up from __file__, which after packaging points into PyInstaller's private temporary directory. Keeping them external means configuration stays editable without a rebuild, swapping a model does not mean re-packaging, and runtime data has somewhere durable to live.</w:t>
      </w:r>
    </w:p>
    <w:p>
      <w:pPr>
        <w:pStyle w:val="Heading2"/>
        <w:spacing w:before="280" w:after="100"/>
      </w:pPr>
      <w:r>
        <w:rPr>
          <w:color w:val="143D59"/>
        </w:rPr>
        <w:t>7.3 Why the two hooks exist</w:t>
      </w:r>
    </w:p>
    <w:p>
      <w:r>
        <w:rPr>
          <w:b w:val="0"/>
          <w:i w:val="0"/>
        </w:rPr>
        <w:t>Both cover the same class of failure — a library loaded by a mechanism PyInstaller's static analysis cannot observe — and both fail at runtime rather than at build time, which is what makes them troublesome.</w:t>
      </w:r>
    </w:p>
    <w:p>
      <w:pPr>
        <w:pStyle w:val="ListBullet"/>
        <w:spacing w:after="60"/>
      </w:pPr>
      <w:r>
        <w:t>llama_cpp does not import its backend. It loads llama.dll through ctypes from a path computed relative to the package. Without the hook, the build succeeds and the first LLM call dies with "Shared library with base name 'llama' not found".</w:t>
      </w:r>
    </w:p>
    <w:p>
      <w:pPr>
        <w:pStyle w:val="ListBullet"/>
        <w:spacing w:after="60"/>
      </w:pPr>
      <w:r>
        <w:t>lancedb is a thin Python layer over a compiled Rust core living in the companion lance distribution. Analysis collects the Python modules and leaves the extension behind, so lancedb.connect() raises ImportError the first time anything touches the vector store.</w:t>
      </w:r>
    </w:p>
    <w:p>
      <w:pPr>
        <w:spacing w:before="140" w:after="160"/>
        <w:ind w:left="173"/>
        <w:shd w:val="clear" w:color="auto" w:fill="FFF6E5"/>
      </w:pPr>
      <w:r>
        <w:rPr>
          <w:b/>
          <w:sz w:val="19"/>
        </w:rPr>
        <w:t xml:space="preserve">When something is missing:  </w:t>
      </w:r>
      <w:r>
        <w:rPr>
          <w:sz w:val="19"/>
        </w:rPr>
        <w:t>read build/work/warn-docclassify.txt and add the module to hiddenimports in main.spec, rather than reaching for collect_all on its whole distribution. Also grep the build log for '[main.spec] WARNING:' — the spec swallows collect_all failures on purpose so an absent optional package cannot abort a twenty-minute build.</w:t>
      </w:r>
    </w:p>
    <w:p>
      <w:r>
        <w:br w:type="page"/>
      </w:r>
    </w:p>
    <w:p>
      <w:pPr>
        <w:pStyle w:val="Heading1"/>
        <w:spacing w:before="0" w:after="100"/>
      </w:pPr>
      <w:r>
        <w:rPr>
          <w:color w:val="143D59"/>
        </w:rPr>
        <w:t>8. Testing</w:t>
      </w:r>
    </w:p>
    <w:p>
      <w:pPr>
        <w:spacing w:before="120" w:after="120" w:line="240" w:lineRule="auto"/>
        <w:ind w:left="259"/>
        <w:shd w:val="clear" w:color="auto" w:fill="F4F5F7"/>
      </w:pPr>
      <w:r>
        <w:rPr>
          <w:rFonts w:ascii="Consolas" w:hAnsi="Consolas"/>
          <w:sz w:val="17"/>
        </w:rPr>
        <w:t>pytest tests/ -v</w:t>
      </w:r>
    </w:p>
    <w:p>
      <w:r>
        <w:rPr>
          <w:b w:val="0"/>
          <w:i w:val="0"/>
        </w:rPr>
        <w:t>None of the tests need a GPU, a model download, or a running service.</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pPr>
              <w:shd w:val="clear" w:color="auto" w:fill="DCE6F1"/>
            </w:pPr>
            <w:r/>
            <w:r>
              <w:rPr>
                <w:b/>
                <w:sz w:val="19"/>
              </w:rPr>
              <w:t>File</w:t>
            </w:r>
          </w:p>
        </w:tc>
        <w:tc>
          <w:tcPr>
            <w:tcW w:type="dxa" w:w="4320"/>
          </w:tcPr>
          <w:p>
            <w:pPr>
              <w:shd w:val="clear" w:color="auto" w:fill="DCE6F1"/>
            </w:pPr>
            <w:r/>
            <w:r>
              <w:rPr>
                <w:b/>
                <w:sz w:val="19"/>
              </w:rPr>
              <w:t>Covers</w:t>
            </w:r>
          </w:p>
        </w:tc>
        <w:tc>
          <w:tcPr>
            <w:tcW w:type="dxa" w:w="2304"/>
          </w:tcPr>
          <w:p>
            <w:pPr>
              <w:shd w:val="clear" w:color="auto" w:fill="DCE6F1"/>
            </w:pPr>
            <w:r/>
            <w:r>
              <w:rPr>
                <w:b/>
                <w:sz w:val="19"/>
              </w:rPr>
              <w:t>Requires</w:t>
            </w:r>
          </w:p>
        </w:tc>
      </w:tr>
      <w:tr>
        <w:tc>
          <w:tcPr>
            <w:tcW w:type="dxa" w:w="2160"/>
          </w:tcPr>
          <w:p>
            <w:pPr>
              <w:spacing w:after="40"/>
            </w:pPr>
            <w:r/>
            <w:r>
              <w:rPr>
                <w:rFonts w:ascii="Consolas" w:hAnsi="Consolas"/>
                <w:sz w:val="17"/>
              </w:rPr>
              <w:t>test_storage_filters.py</w:t>
            </w:r>
          </w:p>
        </w:tc>
        <w:tc>
          <w:tcPr>
            <w:tcW w:type="dxa" w:w="4320"/>
          </w:tcPr>
          <w:p>
            <w:pPr>
              <w:spacing w:after="40"/>
            </w:pPr>
            <w:r/>
            <w:r>
              <w:rPr>
                <w:sz w:val="18"/>
              </w:rPr>
              <w:t>SQL-literal quoting and escaping for LanceDB filters, including an injection attempt</w:t>
            </w:r>
          </w:p>
        </w:tc>
        <w:tc>
          <w:tcPr>
            <w:tcW w:type="dxa" w:w="2304"/>
          </w:tcPr>
          <w:p>
            <w:pPr>
              <w:spacing w:after="40"/>
            </w:pPr>
            <w:r/>
            <w:r>
              <w:rPr>
                <w:sz w:val="18"/>
              </w:rPr>
              <w:t>Nothing — runs on a bare Python install</w:t>
            </w:r>
          </w:p>
        </w:tc>
      </w:tr>
      <w:tr>
        <w:tc>
          <w:tcPr>
            <w:tcW w:type="dxa" w:w="2160"/>
          </w:tcPr>
          <w:p>
            <w:pPr>
              <w:spacing w:after="40"/>
            </w:pPr>
            <w:r/>
            <w:r>
              <w:rPr>
                <w:rFonts w:ascii="Consolas" w:hAnsi="Consolas"/>
                <w:sz w:val="17"/>
              </w:rPr>
              <w:t>test_ingestion.py</w:t>
            </w:r>
          </w:p>
        </w:tc>
        <w:tc>
          <w:tcPr>
            <w:tcW w:type="dxa" w:w="4320"/>
          </w:tcPr>
          <w:p>
            <w:pPr>
              <w:spacing w:after="40"/>
            </w:pPr>
            <w:r/>
            <w:r>
              <w:rPr>
                <w:sz w:val="18"/>
              </w:rPr>
              <w:t>Chunk overlap, pooling threshold, content hashing</w:t>
            </w:r>
          </w:p>
        </w:tc>
        <w:tc>
          <w:tcPr>
            <w:tcW w:type="dxa" w:w="2304"/>
          </w:tcPr>
          <w:p>
            <w:pPr>
              <w:spacing w:after="40"/>
            </w:pPr>
            <w:r/>
            <w:r>
              <w:rPr>
                <w:rFonts w:ascii="Consolas" w:hAnsi="Consolas"/>
                <w:sz w:val="17"/>
              </w:rPr>
              <w:t>pyyaml</w:t>
            </w:r>
          </w:p>
        </w:tc>
      </w:tr>
      <w:tr>
        <w:tc>
          <w:tcPr>
            <w:tcW w:type="dxa" w:w="2160"/>
          </w:tcPr>
          <w:p>
            <w:pPr>
              <w:spacing w:after="40"/>
            </w:pPr>
            <w:r/>
            <w:r>
              <w:rPr>
                <w:rFonts w:ascii="Consolas" w:hAnsi="Consolas"/>
                <w:sz w:val="17"/>
              </w:rPr>
              <w:t>test_taxonomy.py</w:t>
            </w:r>
          </w:p>
        </w:tc>
        <w:tc>
          <w:tcPr>
            <w:tcW w:type="dxa" w:w="4320"/>
          </w:tcPr>
          <w:p>
            <w:pPr>
              <w:spacing w:after="40"/>
            </w:pPr>
            <w:r/>
            <w:r>
              <w:rPr>
                <w:sz w:val="18"/>
              </w:rPr>
              <w:t>Full-path resolution, orphan and cycle handling</w:t>
            </w:r>
          </w:p>
        </w:tc>
        <w:tc>
          <w:tcPr>
            <w:tcW w:type="dxa" w:w="2304"/>
          </w:tcPr>
          <w:p>
            <w:pPr>
              <w:spacing w:after="40"/>
            </w:pPr>
            <w:r/>
            <w:r>
              <w:rPr>
                <w:rFonts w:ascii="Consolas" w:hAnsi="Consolas"/>
                <w:sz w:val="17"/>
              </w:rPr>
              <w:t>pyyaml`, `pyarrow</w:t>
            </w:r>
          </w:p>
        </w:tc>
      </w:tr>
      <w:tr>
        <w:tc>
          <w:tcPr>
            <w:tcW w:type="dxa" w:w="2160"/>
          </w:tcPr>
          <w:p>
            <w:pPr>
              <w:spacing w:after="40"/>
            </w:pPr>
            <w:r/>
            <w:r>
              <w:rPr>
                <w:rFonts w:ascii="Consolas" w:hAnsi="Consolas"/>
                <w:sz w:val="17"/>
              </w:rPr>
              <w:t>test_classification.py</w:t>
            </w:r>
          </w:p>
        </w:tc>
        <w:tc>
          <w:tcPr>
            <w:tcW w:type="dxa" w:w="4320"/>
          </w:tcPr>
          <w:p>
            <w:pPr>
              <w:spacing w:after="40"/>
            </w:pPr>
            <w:r/>
            <w:r>
              <w:rPr>
                <w:sz w:val="18"/>
              </w:rPr>
              <w:t>Cosine ranking, LLM tie-break path composition, the hallucinated-id guard, status mapping, cache invalidation</w:t>
            </w:r>
          </w:p>
        </w:tc>
        <w:tc>
          <w:tcPr>
            <w:tcW w:type="dxa" w:w="2304"/>
          </w:tcPr>
          <w:p>
            <w:pPr>
              <w:spacing w:after="40"/>
            </w:pPr>
            <w:r/>
            <w:r>
              <w:rPr>
                <w:rFonts w:ascii="Consolas" w:hAnsi="Consolas"/>
                <w:sz w:val="17"/>
              </w:rPr>
              <w:t>numpy`, `pyarrow`, `lancedb</w:t>
            </w:r>
          </w:p>
        </w:tc>
      </w:tr>
      <w:tr>
        <w:tc>
          <w:tcPr>
            <w:tcW w:type="dxa" w:w="2160"/>
          </w:tcPr>
          <w:p>
            <w:pPr>
              <w:spacing w:after="40"/>
            </w:pPr>
            <w:r/>
            <w:r>
              <w:rPr>
                <w:rFonts w:ascii="Consolas" w:hAnsi="Consolas"/>
                <w:sz w:val="17"/>
              </w:rPr>
              <w:t>test_search.py</w:t>
            </w:r>
          </w:p>
        </w:tc>
        <w:tc>
          <w:tcPr>
            <w:tcW w:type="dxa" w:w="4320"/>
          </w:tcPr>
          <w:p>
            <w:pPr>
              <w:spacing w:after="40"/>
            </w:pPr>
            <w:r/>
            <w:r>
              <w:rPr>
                <w:sz w:val="18"/>
              </w:rPr>
              <w:t>Reranker sort order and top_n truncation</w:t>
            </w:r>
          </w:p>
        </w:tc>
        <w:tc>
          <w:tcPr>
            <w:tcW w:type="dxa" w:w="2304"/>
          </w:tcPr>
          <w:p>
            <w:pPr>
              <w:spacing w:after="40"/>
            </w:pPr>
            <w:r/>
            <w:r>
              <w:rPr>
                <w:sz w:val="18"/>
              </w:rPr>
              <w:t>`FlagEmbedding` importable</w:t>
            </w:r>
          </w:p>
        </w:tc>
      </w:tr>
    </w:tbl>
    <w:p>
      <w:pPr>
        <w:spacing w:after="40"/>
      </w:pPr>
    </w:p>
    <w:p>
      <w:r>
        <w:rPr>
          <w:b w:val="0"/>
          <w:i w:val="0"/>
        </w:rPr>
        <w:t>test_classification.py substitutes a fake tie-breaker module into sys.modules, so llama-cpp is never imported. test_search.py monkeypatches the cross-encoder away entirely.</w:t>
      </w:r>
    </w:p>
    <w:p>
      <w:r>
        <w:br w:type="page"/>
      </w:r>
    </w:p>
    <w:p>
      <w:pPr>
        <w:pStyle w:val="Heading1"/>
        <w:spacing w:before="0" w:after="100"/>
      </w:pPr>
      <w:r>
        <w:rPr>
          <w:color w:val="143D59"/>
        </w:rPr>
        <w:t>9. 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2880"/>
          </w:tcPr>
          <w:p>
            <w:pPr>
              <w:shd w:val="clear" w:color="auto" w:fill="DCE6F1"/>
            </w:pPr>
            <w:r/>
            <w:r>
              <w:rPr>
                <w:b/>
                <w:sz w:val="19"/>
              </w:rPr>
              <w:t>Symptom</w:t>
            </w:r>
          </w:p>
        </w:tc>
        <w:tc>
          <w:tcPr>
            <w:tcW w:type="dxa" w:w="2736"/>
          </w:tcPr>
          <w:p>
            <w:pPr>
              <w:shd w:val="clear" w:color="auto" w:fill="DCE6F1"/>
            </w:pPr>
            <w:r/>
            <w:r>
              <w:rPr>
                <w:b/>
                <w:sz w:val="19"/>
              </w:rPr>
              <w:t>Cause</w:t>
            </w:r>
          </w:p>
        </w:tc>
        <w:tc>
          <w:tcPr>
            <w:tcW w:type="dxa" w:w="3168"/>
          </w:tcPr>
          <w:p>
            <w:pPr>
              <w:shd w:val="clear" w:color="auto" w:fill="DCE6F1"/>
            </w:pPr>
            <w:r/>
            <w:r>
              <w:rPr>
                <w:b/>
                <w:sz w:val="19"/>
              </w:rPr>
              <w:t>Fix</w:t>
            </w:r>
          </w:p>
        </w:tc>
      </w:tr>
      <w:tr>
        <w:tc>
          <w:tcPr>
            <w:tcW w:type="dxa" w:w="2880"/>
          </w:tcPr>
          <w:p>
            <w:pPr>
              <w:spacing w:after="40"/>
            </w:pPr>
            <w:r/>
            <w:r>
              <w:rPr>
                <w:sz w:val="18"/>
              </w:rPr>
              <w:t>`ModuleNotFoundError` for pyarrow, lancedb, FlagEmbedding …</w:t>
            </w:r>
          </w:p>
        </w:tc>
        <w:tc>
          <w:tcPr>
            <w:tcW w:type="dxa" w:w="2736"/>
          </w:tcPr>
          <w:p>
            <w:pPr>
              <w:spacing w:after="40"/>
            </w:pPr>
            <w:r/>
            <w:r>
              <w:rPr>
                <w:sz w:val="18"/>
              </w:rPr>
              <w:t>requirements.txt was not installed into the active venv</w:t>
            </w:r>
          </w:p>
        </w:tc>
        <w:tc>
          <w:tcPr>
            <w:tcW w:type="dxa" w:w="3168"/>
          </w:tcPr>
          <w:p>
            <w:pPr>
              <w:spacing w:after="40"/>
            </w:pPr>
            <w:r/>
            <w:r>
              <w:rPr>
                <w:sz w:val="18"/>
              </w:rPr>
              <w:t>Re-activate the venv and reinstall</w:t>
            </w:r>
          </w:p>
        </w:tc>
      </w:tr>
      <w:tr>
        <w:tc>
          <w:tcPr>
            <w:tcW w:type="dxa" w:w="2880"/>
          </w:tcPr>
          <w:p>
            <w:pPr>
              <w:spacing w:after="40"/>
            </w:pPr>
            <w:r/>
            <w:r>
              <w:rPr>
                <w:sz w:val="18"/>
              </w:rPr>
              <w:t>Install fails compiling fasttext</w:t>
            </w:r>
          </w:p>
        </w:tc>
        <w:tc>
          <w:tcPr>
            <w:tcW w:type="dxa" w:w="2736"/>
          </w:tcPr>
          <w:p>
            <w:pPr>
              <w:spacing w:after="40"/>
            </w:pPr>
            <w:r/>
            <w:r>
              <w:rPr>
                <w:sz w:val="18"/>
              </w:rPr>
              <w:t>You are on the upstream fasttext package, or on Python 3.13+</w:t>
            </w:r>
          </w:p>
        </w:tc>
        <w:tc>
          <w:tcPr>
            <w:tcW w:type="dxa" w:w="3168"/>
          </w:tcPr>
          <w:p>
            <w:pPr>
              <w:spacing w:after="40"/>
            </w:pPr>
            <w:r/>
            <w:r>
              <w:rPr>
                <w:sz w:val="18"/>
              </w:rPr>
              <w:t>Use fasttext-wheel on Python 3.12 (§3.2)</w:t>
            </w:r>
          </w:p>
        </w:tc>
      </w:tr>
      <w:tr>
        <w:tc>
          <w:tcPr>
            <w:tcW w:type="dxa" w:w="2880"/>
          </w:tcPr>
          <w:p>
            <w:pPr>
              <w:spacing w:after="40"/>
            </w:pPr>
            <w:r/>
            <w:r>
              <w:rPr>
                <w:sz w:val="18"/>
              </w:rPr>
              <w:t>`install_offline.ps1` refuses to run</w:t>
            </w:r>
          </w:p>
        </w:tc>
        <w:tc>
          <w:tcPr>
            <w:tcW w:type="dxa" w:w="2736"/>
          </w:tcPr>
          <w:p>
            <w:pPr>
              <w:spacing w:after="40"/>
            </w:pPr>
            <w:r/>
            <w:r>
              <w:rPr>
                <w:sz w:val="18"/>
              </w:rPr>
              <w:t>Interpreter does not match the wheelhouse's target version</w:t>
            </w:r>
          </w:p>
        </w:tc>
        <w:tc>
          <w:tcPr>
            <w:tcW w:type="dxa" w:w="3168"/>
          </w:tcPr>
          <w:p>
            <w:pPr>
              <w:spacing w:after="40"/>
            </w:pPr>
            <w:r/>
            <w:r>
              <w:rPr>
                <w:sz w:val="18"/>
              </w:rPr>
              <w:t>Install Python 3.12, or re-fetch the bundle with -PythonVersion set to what you have</w:t>
            </w:r>
          </w:p>
        </w:tc>
      </w:tr>
      <w:tr>
        <w:tc>
          <w:tcPr>
            <w:tcW w:type="dxa" w:w="2880"/>
          </w:tcPr>
          <w:p>
            <w:pPr>
              <w:spacing w:after="40"/>
            </w:pPr>
            <w:r/>
            <w:r>
              <w:rPr>
                <w:sz w:val="18"/>
              </w:rPr>
              <w:t>"Shared library with base name 'llama' not found" in the packaged app</w:t>
            </w:r>
          </w:p>
        </w:tc>
        <w:tc>
          <w:tcPr>
            <w:tcW w:type="dxa" w:w="2736"/>
          </w:tcPr>
          <w:p>
            <w:pPr>
              <w:spacing w:after="40"/>
            </w:pPr>
            <w:r/>
            <w:r>
              <w:rPr>
                <w:sz w:val="18"/>
              </w:rPr>
              <w:t>llama.cpp's ctypes-loaded DLL was not bundled</w:t>
            </w:r>
          </w:p>
        </w:tc>
        <w:tc>
          <w:tcPr>
            <w:tcW w:type="dxa" w:w="3168"/>
          </w:tcPr>
          <w:p>
            <w:pPr>
              <w:spacing w:after="40"/>
            </w:pPr>
            <w:r/>
            <w:r>
              <w:rPr>
                <w:sz w:val="18"/>
              </w:rPr>
              <w:t>Confirm build/hooks/hook-llama_cpp.py is being picked up (hookspath in main.spec)</w:t>
            </w:r>
          </w:p>
        </w:tc>
      </w:tr>
      <w:tr>
        <w:tc>
          <w:tcPr>
            <w:tcW w:type="dxa" w:w="2880"/>
          </w:tcPr>
          <w:p>
            <w:pPr>
              <w:spacing w:after="40"/>
            </w:pPr>
            <w:r/>
            <w:r>
              <w:rPr>
                <w:sz w:val="18"/>
              </w:rPr>
              <w:t>Model fails to load with a path error</w:t>
            </w:r>
          </w:p>
        </w:tc>
        <w:tc>
          <w:tcPr>
            <w:tcW w:type="dxa" w:w="2736"/>
          </w:tcPr>
          <w:p>
            <w:pPr>
              <w:spacing w:after="40"/>
            </w:pPr>
            <w:r/>
            <w:r>
              <w:rPr>
                <w:sz w:val="18"/>
              </w:rPr>
              <w:t>The GGUF is split into shards and config names a single file</w:t>
            </w:r>
          </w:p>
        </w:tc>
        <w:tc>
          <w:tcPr>
            <w:tcW w:type="dxa" w:w="3168"/>
          </w:tcPr>
          <w:p>
            <w:pPr>
              <w:spacing w:after="40"/>
            </w:pPr>
            <w:r/>
            <w:r>
              <w:rPr>
                <w:sz w:val="18"/>
              </w:rPr>
              <w:t>resolve_gguf_path() handles this; if it still fails, its error lists every .gguf it found — point models.llm_gguf at the -00001-of-* shard</w:t>
            </w:r>
          </w:p>
        </w:tc>
      </w:tr>
      <w:tr>
        <w:tc>
          <w:tcPr>
            <w:tcW w:type="dxa" w:w="2880"/>
          </w:tcPr>
          <w:p>
            <w:pPr>
              <w:spacing w:after="40"/>
            </w:pPr>
            <w:r/>
            <w:r>
              <w:rPr>
                <w:sz w:val="18"/>
              </w:rPr>
              <w:t>Embedding or reranker calls hang or run out of memory</w:t>
            </w:r>
          </w:p>
        </w:tc>
        <w:tc>
          <w:tcPr>
            <w:tcW w:type="dxa" w:w="2736"/>
          </w:tcPr>
          <w:p>
            <w:pPr>
              <w:spacing w:after="40"/>
            </w:pPr>
            <w:r/>
            <w:r>
              <w:rPr>
                <w:sz w:val="18"/>
              </w:rPr>
              <w:t>GPU VRAM exhausted by BGE-M3, the reranker and the 7B LLM together</w:t>
            </w:r>
          </w:p>
        </w:tc>
        <w:tc>
          <w:tcPr>
            <w:tcW w:type="dxa" w:w="3168"/>
          </w:tcPr>
          <w:p>
            <w:pPr>
              <w:spacing w:after="40"/>
            </w:pPr>
            <w:r/>
            <w:r>
              <w:rPr>
                <w:sz w:val="18"/>
              </w:rPr>
              <w:t>Reduce n_gpu_layers in llm/local_llm.py, or run the components sequentially</w:t>
            </w:r>
          </w:p>
        </w:tc>
      </w:tr>
      <w:tr>
        <w:tc>
          <w:tcPr>
            <w:tcW w:type="dxa" w:w="2880"/>
          </w:tcPr>
          <w:p>
            <w:pPr>
              <w:spacing w:after="40"/>
            </w:pPr>
            <w:r/>
            <w:r>
              <w:rPr>
                <w:sz w:val="18"/>
              </w:rPr>
              <w:t>Language detection returns "unknown" for short strings</w:t>
            </w:r>
          </w:p>
        </w:tc>
        <w:tc>
          <w:tcPr>
            <w:tcW w:type="dxa" w:w="2736"/>
          </w:tcPr>
          <w:p>
            <w:pPr>
              <w:spacing w:after="40"/>
            </w:pPr>
            <w:r/>
            <w:r>
              <w:rPr>
                <w:sz w:val="18"/>
              </w:rPr>
              <w:t>By design — under 5 characters returns unknown</w:t>
            </w:r>
          </w:p>
        </w:tc>
        <w:tc>
          <w:tcPr>
            <w:tcW w:type="dxa" w:w="3168"/>
          </w:tcPr>
          <w:p>
            <w:pPr>
              <w:spacing w:after="40"/>
            </w:pPr>
            <w:r/>
            <w:r>
              <w:rPr>
                <w:sz w:val="18"/>
              </w:rPr>
              <w:t>Not a bug</w:t>
            </w:r>
          </w:p>
        </w:tc>
      </w:tr>
      <w:tr>
        <w:tc>
          <w:tcPr>
            <w:tcW w:type="dxa" w:w="2880"/>
          </w:tcPr>
          <w:p>
            <w:pPr>
              <w:spacing w:after="40"/>
            </w:pPr>
            <w:r/>
            <w:r>
              <w:rPr>
                <w:sz w:val="18"/>
              </w:rPr>
              <w:t>Re-uploading a document does not deduplicate</w:t>
            </w:r>
          </w:p>
        </w:tc>
        <w:tc>
          <w:tcPr>
            <w:tcW w:type="dxa" w:w="2736"/>
          </w:tcPr>
          <w:p>
            <w:pPr>
              <w:spacing w:after="40"/>
            </w:pPr>
            <w:r/>
            <w:r>
              <w:rPr>
                <w:sz w:val="18"/>
              </w:rPr>
              <w:t>The hash covers normalised TEXT, not file bytes</w:t>
            </w:r>
          </w:p>
        </w:tc>
        <w:tc>
          <w:tcPr>
            <w:tcW w:type="dxa" w:w="3168"/>
          </w:tcPr>
          <w:p>
            <w:pPr>
              <w:spacing w:after="40"/>
            </w:pPr>
            <w:r/>
            <w:r>
              <w:rPr>
                <w:sz w:val="18"/>
              </w:rPr>
              <w:t>Confirm the file re-extracts to identical text; OCR is not deterministic, so a re-scan can hash differently</w:t>
            </w:r>
          </w:p>
        </w:tc>
      </w:tr>
      <w:tr>
        <w:tc>
          <w:tcPr>
            <w:tcW w:type="dxa" w:w="2880"/>
          </w:tcPr>
          <w:p>
            <w:pPr>
              <w:spacing w:after="40"/>
            </w:pPr>
            <w:r/>
            <w:r>
              <w:rPr>
                <w:sz w:val="18"/>
              </w:rPr>
              <w:t>`setup_check.py` fails only on GROBID</w:t>
            </w:r>
          </w:p>
        </w:tc>
        <w:tc>
          <w:tcPr>
            <w:tcW w:type="dxa" w:w="2736"/>
          </w:tcPr>
          <w:p>
            <w:pPr>
              <w:spacing w:after="40"/>
            </w:pPr>
            <w:r/>
            <w:r>
              <w:rPr>
                <w:sz w:val="18"/>
              </w:rPr>
              <w:t>Expected if the container is not running</w:t>
            </w:r>
          </w:p>
        </w:tc>
        <w:tc>
          <w:tcPr>
            <w:tcW w:type="dxa" w:w="3168"/>
          </w:tcPr>
          <w:p>
            <w:pPr>
              <w:spacing w:after="40"/>
            </w:pPr>
            <w:r/>
            <w:r>
              <w:rPr>
                <w:sz w:val="18"/>
              </w:rPr>
              <w:t>Safe to ignore, or set metadata.use_grobid: false</w:t>
            </w:r>
          </w:p>
        </w:tc>
      </w:tr>
      <w:tr>
        <w:tc>
          <w:tcPr>
            <w:tcW w:type="dxa" w:w="2880"/>
          </w:tcPr>
          <w:p>
            <w:pPr>
              <w:spacing w:after="40"/>
            </w:pPr>
            <w:r/>
            <w:r>
              <w:rPr>
                <w:sz w:val="18"/>
              </w:rPr>
              <w:t>Search returns nothing after re-classifying</w:t>
            </w:r>
          </w:p>
        </w:tc>
        <w:tc>
          <w:tcPr>
            <w:tcW w:type="dxa" w:w="2736"/>
          </w:tcPr>
          <w:p>
            <w:pPr>
              <w:spacing w:after="40"/>
            </w:pPr>
            <w:r/>
            <w:r>
              <w:rPr>
                <w:sz w:val="18"/>
              </w:rPr>
              <w:t>The denormalised category_path on chunks is stale</w:t>
            </w:r>
          </w:p>
        </w:tc>
        <w:tc>
          <w:tcPr>
            <w:tcW w:type="dxa" w:w="3168"/>
          </w:tcPr>
          <w:p>
            <w:pPr>
              <w:spacing w:after="40"/>
            </w:pPr>
            <w:r/>
            <w:r>
              <w:rPr>
                <w:sz w:val="18"/>
              </w:rPr>
              <w:t>Re-classification paths call update_doc_category(); if you wrote your own, call it too</w:t>
            </w:r>
          </w:p>
        </w:tc>
      </w:tr>
    </w:tbl>
    <w:p>
      <w:pPr>
        <w:spacing w:after="40"/>
      </w:pPr>
    </w:p>
    <w:p>
      <w:r>
        <w:br w:type="page"/>
      </w:r>
    </w:p>
    <w:p>
      <w:pPr>
        <w:pStyle w:val="Heading1"/>
        <w:spacing w:before="0" w:after="100"/>
      </w:pPr>
      <w:r>
        <w:rPr>
          <w:color w:val="143D59"/>
        </w:rPr>
        <w:t>10. Current state: verified versus unverified</w:t>
      </w:r>
    </w:p>
    <w:p>
      <w:r>
        <w:rPr>
          <w:b w:val="0"/>
          <w:i w:val="0"/>
        </w:rPr>
        <w:t>This section exists so nobody mistakes a reviewed codebase for a running system. Both lists are accurate as of the document date.</w:t>
      </w:r>
    </w:p>
    <w:p>
      <w:pPr>
        <w:pStyle w:val="Heading2"/>
        <w:spacing w:before="280" w:after="100"/>
      </w:pPr>
      <w:r>
        <w:rPr>
          <w:color w:val="143D59"/>
        </w:rPr>
        <w:t>10.1 Verified</w:t>
      </w:r>
    </w:p>
    <w:p>
      <w:pPr>
        <w:pStyle w:val="ListBullet"/>
        <w:spacing w:after="60"/>
      </w:pPr>
      <w:r>
        <w:t>All 57 Python files compile cleanly, with no syntax warnings.</w:t>
      </w:r>
    </w:p>
    <w:p>
      <w:pPr>
        <w:pStyle w:val="ListBullet"/>
        <w:spacing w:after="60"/>
      </w:pPr>
      <w:r>
        <w:t>31 unit tests pass over the pure-logic modules: cosine ranking and zero-vector handling, chunk overlap, content hashing, reranker ordering and truncation, SQL-literal escaping, taxonomy path resolution including orphan and cycle cases, LLM tie-break path composition, status mapping, and category-vector cache invalidation.</w:t>
      </w:r>
    </w:p>
    <w:p>
      <w:pPr>
        <w:pStyle w:val="ListBullet"/>
        <w:spacing w:after="60"/>
      </w:pPr>
      <w:r>
        <w:t>The offline dependency set resolves completely from the local wheelhouse: 117 of 117 packages from file:// URLs with the index disabled, plus llama-cpp-python separately.</w:t>
      </w:r>
    </w:p>
    <w:p>
      <w:pPr>
        <w:pStyle w:val="ListBullet"/>
        <w:spacing w:after="60"/>
      </w:pPr>
      <w:r>
        <w:t>The GGUF resolver was exercised against the real downloaded shards; the configured logical filename correctly resolves to shard 1.</w:t>
      </w:r>
    </w:p>
    <w:p>
      <w:pPr>
        <w:pStyle w:val="ListBullet"/>
        <w:spacing w:after="60"/>
      </w:pPr>
      <w:r>
        <w:t>The downloaded Qwen shards were confirmed to be a genuine gguf-split by parsing the file's own metadata (split.no = 0, split.count = 2, 339 tensors across both), rather than assumed.</w:t>
      </w:r>
    </w:p>
    <w:p>
      <w:pPr>
        <w:pStyle w:val="ListBullet"/>
        <w:spacing w:after="60"/>
      </w:pPr>
      <w:r>
        <w:t>All three PowerShell scripts parse without error.</w:t>
      </w:r>
    </w:p>
    <w:p>
      <w:pPr>
        <w:pStyle w:val="ListBullet"/>
        <w:spacing w:after="60"/>
      </w:pPr>
      <w:r>
        <w:t>The bundle is physically present: 118 wheels, the Tesseract installer, and 8.8 GB of weights.</w:t>
      </w:r>
    </w:p>
    <w:p>
      <w:pPr>
        <w:pStyle w:val="Heading2"/>
        <w:spacing w:before="280" w:after="100"/>
      </w:pPr>
      <w:r>
        <w:rPr>
          <w:color w:val="143D59"/>
        </w:rPr>
        <w:t>10.2 Not verified</w:t>
      </w:r>
    </w:p>
    <w:p>
      <w:pPr>
        <w:spacing w:before="140" w:after="160"/>
        <w:ind w:left="173"/>
        <w:shd w:val="clear" w:color="auto" w:fill="FDEAEA"/>
      </w:pPr>
      <w:r>
        <w:rPr>
          <w:b/>
          <w:sz w:val="19"/>
        </w:rPr>
        <w:t xml:space="preserve">The central caveat:  </w:t>
      </w:r>
      <w:r>
        <w:rPr>
          <w:sz w:val="19"/>
        </w:rPr>
        <w:t>there is no virtual environment in this checkout, so the entire machine-learning path — embedding, reranking, the local LLM, OCR, and LanceDB — has never executed even once.</w:t>
      </w:r>
    </w:p>
    <w:p>
      <w:pPr>
        <w:pStyle w:val="ListBullet"/>
        <w:spacing w:after="60"/>
      </w:pPr>
      <w:r>
        <w:t>No document has ever been ingested. The pipeline has not run end to end.</w:t>
      </w:r>
    </w:p>
    <w:p>
      <w:pPr>
        <w:pStyle w:val="ListBullet"/>
        <w:spacing w:after="60"/>
      </w:pPr>
      <w:r>
        <w:t>The OCR deskew correction is reasoned from the OpenCV API contract, not observed working. It needs a real scanned PDF.</w:t>
      </w:r>
    </w:p>
    <w:p>
      <w:pPr>
        <w:pStyle w:val="ListBullet"/>
        <w:spacing w:after="60"/>
      </w:pPr>
      <w:r>
        <w:t>The metadata extraction chain (GROBID → LLM → KeyBERT → translation) has never run.</w:t>
      </w:r>
    </w:p>
    <w:p>
      <w:pPr>
        <w:pStyle w:val="ListBullet"/>
        <w:spacing w:after="60"/>
      </w:pPr>
      <w:r>
        <w:t>The recursive taxonomy build has never run against a real corpus.</w:t>
      </w:r>
    </w:p>
    <w:p>
      <w:pPr>
        <w:pStyle w:val="ListBullet"/>
        <w:spacing w:after="60"/>
      </w:pPr>
      <w:r>
        <w:t>No executable has been produced. main.spec and both hooks are unexecuted.</w:t>
      </w:r>
    </w:p>
    <w:p>
      <w:pPr>
        <w:pStyle w:val="ListBullet"/>
        <w:spacing w:after="60"/>
      </w:pPr>
      <w:r>
        <w:t>LanceDB's update() call signature, used by update_doc_category(), has not been checked against an installed lancedb.</w:t>
      </w:r>
    </w:p>
    <w:p>
      <w:pPr>
        <w:pStyle w:val="ListBullet"/>
        <w:spacing w:after="60"/>
      </w:pPr>
      <w:r>
        <w:t>There is no integration test of any kind, and no measured accuracy on a labelled sample.</w:t>
      </w:r>
    </w:p>
    <w:p>
      <w:pPr>
        <w:pStyle w:val="ListBullet"/>
        <w:spacing w:after="60"/>
      </w:pPr>
      <w:r>
        <w:t>The bundled torch is CPU-only. The -TorchCuda path exists but was not exercised, so GPU acceleration is untested.</w:t>
      </w:r>
    </w:p>
    <w:p>
      <w:r>
        <w:br w:type="page"/>
      </w:r>
    </w:p>
    <w:p>
      <w:pPr>
        <w:pStyle w:val="Heading1"/>
        <w:spacing w:before="0" w:after="100"/>
      </w:pPr>
      <w:r>
        <w:rPr>
          <w:color w:val="143D59"/>
        </w:rPr>
        <w:t>11. Known limitations and next steps</w:t>
      </w:r>
    </w:p>
    <w:p>
      <w:pPr>
        <w:pStyle w:val="Heading2"/>
        <w:spacing w:before="280" w:after="100"/>
      </w:pPr>
      <w:r>
        <w:rPr>
          <w:color w:val="143D59"/>
        </w:rPr>
        <w:t>11.1 Operational gaps</w:t>
      </w:r>
    </w:p>
    <w:tbl>
      <w:tblPr>
        <w:tblStyle w:val="TableGrid"/>
        <w:tblW w:type="auto" w:w="0"/>
        <w:jc w:val="center"/>
        <w:tblLook w:firstColumn="1" w:firstRow="1" w:lastColumn="0" w:lastRow="0" w:noHBand="0" w:noVBand="1" w:val="04A0"/>
      </w:tblPr>
      <w:tblGrid>
        <w:gridCol w:w="3216"/>
        <w:gridCol w:w="3216"/>
        <w:gridCol w:w="3216"/>
      </w:tblGrid>
      <w:tr>
        <w:tc>
          <w:tcPr>
            <w:tcW w:type="dxa" w:w="1584"/>
          </w:tcPr>
          <w:p>
            <w:pPr>
              <w:shd w:val="clear" w:color="auto" w:fill="DCE6F1"/>
            </w:pPr>
            <w:r/>
            <w:r>
              <w:rPr>
                <w:b/>
                <w:sz w:val="19"/>
              </w:rPr>
              <w:t>Area</w:t>
            </w:r>
          </w:p>
        </w:tc>
        <w:tc>
          <w:tcPr>
            <w:tcW w:type="dxa" w:w="3744"/>
          </w:tcPr>
          <w:p>
            <w:pPr>
              <w:shd w:val="clear" w:color="auto" w:fill="DCE6F1"/>
            </w:pPr>
            <w:r/>
            <w:r>
              <w:rPr>
                <w:b/>
                <w:sz w:val="19"/>
              </w:rPr>
              <w:t>Limitation</w:t>
            </w:r>
          </w:p>
        </w:tc>
        <w:tc>
          <w:tcPr>
            <w:tcW w:type="dxa" w:w="3456"/>
          </w:tcPr>
          <w:p>
            <w:pPr>
              <w:shd w:val="clear" w:color="auto" w:fill="DCE6F1"/>
            </w:pPr>
            <w:r/>
            <w:r>
              <w:rPr>
                <w:b/>
                <w:sz w:val="19"/>
              </w:rPr>
              <w:t>Why it matters</w:t>
            </w:r>
          </w:p>
        </w:tc>
      </w:tr>
      <w:tr>
        <w:tc>
          <w:tcPr>
            <w:tcW w:type="dxa" w:w="1584"/>
          </w:tcPr>
          <w:p>
            <w:pPr>
              <w:spacing w:after="40"/>
            </w:pPr>
            <w:r/>
            <w:r>
              <w:rPr>
                <w:sz w:val="18"/>
              </w:rPr>
              <w:t>Resumability</w:t>
            </w:r>
          </w:p>
        </w:tc>
        <w:tc>
          <w:tcPr>
            <w:tcW w:type="dxa" w:w="3744"/>
          </w:tcPr>
          <w:p>
            <w:pPr>
              <w:spacing w:after="40"/>
            </w:pPr>
            <w:r/>
            <w:r>
              <w:rPr>
                <w:sz w:val="18"/>
              </w:rPr>
              <w:t>A bulk run that dies at 9 million documents starts over — there is no checkpoint or resume</w:t>
            </w:r>
          </w:p>
        </w:tc>
        <w:tc>
          <w:tcPr>
            <w:tcW w:type="dxa" w:w="3456"/>
          </w:tcPr>
          <w:p>
            <w:pPr>
              <w:spacing w:after="40"/>
            </w:pPr>
            <w:r/>
            <w:r>
              <w:rPr>
                <w:sz w:val="18"/>
              </w:rPr>
              <w:t>The single largest operational risk at the stated scale</w:t>
            </w:r>
          </w:p>
        </w:tc>
      </w:tr>
      <w:tr>
        <w:tc>
          <w:tcPr>
            <w:tcW w:type="dxa" w:w="1584"/>
          </w:tcPr>
          <w:p>
            <w:pPr>
              <w:spacing w:after="40"/>
            </w:pPr>
            <w:r/>
            <w:r>
              <w:rPr>
                <w:sz w:val="18"/>
              </w:rPr>
              <w:t>Logging</w:t>
            </w:r>
          </w:p>
        </w:tc>
        <w:tc>
          <w:tcPr>
            <w:tcW w:type="dxa" w:w="3744"/>
          </w:tcPr>
          <w:p>
            <w:pPr>
              <w:spacing w:after="40"/>
            </w:pPr>
            <w:r/>
            <w:r>
              <w:rPr>
                <w:sz w:val="18"/>
              </w:rPr>
              <w:t>Everything is print(); there is no logging framework or log file</w:t>
            </w:r>
          </w:p>
        </w:tc>
        <w:tc>
          <w:tcPr>
            <w:tcW w:type="dxa" w:w="3456"/>
          </w:tcPr>
          <w:p>
            <w:pPr>
              <w:spacing w:after="40"/>
            </w:pPr>
            <w:r/>
            <w:r>
              <w:rPr>
                <w:sz w:val="18"/>
              </w:rPr>
              <w:t>A long unattended run leaves no durable diagnostic record</w:t>
            </w:r>
          </w:p>
        </w:tc>
      </w:tr>
      <w:tr>
        <w:tc>
          <w:tcPr>
            <w:tcW w:type="dxa" w:w="1584"/>
          </w:tcPr>
          <w:p>
            <w:pPr>
              <w:spacing w:after="40"/>
            </w:pPr>
            <w:r/>
            <w:r>
              <w:rPr>
                <w:sz w:val="18"/>
              </w:rPr>
              <w:t>Schema migrations</w:t>
            </w:r>
          </w:p>
        </w:tc>
        <w:tc>
          <w:tcPr>
            <w:tcW w:type="dxa" w:w="3744"/>
          </w:tcPr>
          <w:p>
            <w:pPr>
              <w:spacing w:after="40"/>
            </w:pPr>
            <w:r/>
            <w:r>
              <w:rPr>
                <w:sz w:val="18"/>
              </w:rPr>
              <w:t>No migration mechanism. Changing the schema against an existing app.db requires manual ALTER statements</w:t>
            </w:r>
          </w:p>
        </w:tc>
        <w:tc>
          <w:tcPr>
            <w:tcW w:type="dxa" w:w="3456"/>
          </w:tcPr>
          <w:p>
            <w:pPr>
              <w:spacing w:after="40"/>
            </w:pPr>
            <w:r/>
            <w:r>
              <w:rPr>
                <w:sz w:val="18"/>
              </w:rPr>
              <w:t>The chunk_vectors schema already changed once during development</w:t>
            </w:r>
          </w:p>
        </w:tc>
      </w:tr>
      <w:tr>
        <w:tc>
          <w:tcPr>
            <w:tcW w:type="dxa" w:w="1584"/>
          </w:tcPr>
          <w:p>
            <w:pPr>
              <w:spacing w:after="40"/>
            </w:pPr>
            <w:r/>
            <w:r>
              <w:rPr>
                <w:sz w:val="18"/>
              </w:rPr>
              <w:t>Write atomicity</w:t>
            </w:r>
          </w:p>
        </w:tc>
        <w:tc>
          <w:tcPr>
            <w:tcW w:type="dxa" w:w="3744"/>
          </w:tcPr>
          <w:p>
            <w:pPr>
              <w:spacing w:after="40"/>
            </w:pPr>
            <w:r/>
            <w:r>
              <w:rPr>
                <w:sz w:val="18"/>
              </w:rPr>
              <w:t>LanceDB upserts are delete-then-add, which is not atomic</w:t>
            </w:r>
          </w:p>
        </w:tc>
        <w:tc>
          <w:tcPr>
            <w:tcW w:type="dxa" w:w="3456"/>
          </w:tcPr>
          <w:p>
            <w:pPr>
              <w:spacing w:after="40"/>
            </w:pPr>
            <w:r/>
            <w:r>
              <w:rPr>
                <w:sz w:val="18"/>
              </w:rPr>
              <w:t>A crash between the two loses that document's chunks</w:t>
            </w:r>
          </w:p>
        </w:tc>
      </w:tr>
      <w:tr>
        <w:tc>
          <w:tcPr>
            <w:tcW w:type="dxa" w:w="1584"/>
          </w:tcPr>
          <w:p>
            <w:pPr>
              <w:spacing w:after="40"/>
            </w:pPr>
            <w:r/>
            <w:r>
              <w:rPr>
                <w:sz w:val="18"/>
              </w:rPr>
              <w:t>Indexes</w:t>
            </w:r>
          </w:p>
        </w:tc>
        <w:tc>
          <w:tcPr>
            <w:tcW w:type="dxa" w:w="3744"/>
          </w:tcPr>
          <w:p>
            <w:pPr>
              <w:spacing w:after="40"/>
            </w:pPr>
            <w:r/>
            <w:r>
              <w:rPr>
                <w:sz w:val="18"/>
              </w:rPr>
              <w:t>documents.status and review_queue.resolved are unindexed</w:t>
            </w:r>
          </w:p>
        </w:tc>
        <w:tc>
          <w:tcPr>
            <w:tcW w:type="dxa" w:w="3456"/>
          </w:tcPr>
          <w:p>
            <w:pPr>
              <w:spacing w:after="40"/>
            </w:pPr>
            <w:r/>
            <w:r>
              <w:rPr>
                <w:sz w:val="18"/>
              </w:rPr>
              <w:t>The review queue scans the table; fine at thousands of rows, not at millions</w:t>
            </w:r>
          </w:p>
        </w:tc>
      </w:tr>
      <w:tr>
        <w:tc>
          <w:tcPr>
            <w:tcW w:type="dxa" w:w="1584"/>
          </w:tcPr>
          <w:p>
            <w:pPr>
              <w:spacing w:after="40"/>
            </w:pPr>
            <w:r/>
            <w:r>
              <w:rPr>
                <w:sz w:val="18"/>
              </w:rPr>
              <w:t>Concurrency</w:t>
            </w:r>
          </w:p>
        </w:tc>
        <w:tc>
          <w:tcPr>
            <w:tcW w:type="dxa" w:w="3744"/>
          </w:tcPr>
          <w:p>
            <w:pPr>
              <w:spacing w:after="40"/>
            </w:pPr>
            <w:r/>
            <w:r>
              <w:rPr>
                <w:sz w:val="18"/>
              </w:rPr>
              <w:t>process_folder is sequential and single-threaded</w:t>
            </w:r>
          </w:p>
        </w:tc>
        <w:tc>
          <w:tcPr>
            <w:tcW w:type="dxa" w:w="3456"/>
          </w:tcPr>
          <w:p>
            <w:pPr>
              <w:spacing w:after="40"/>
            </w:pPr>
            <w:r/>
            <w:r>
              <w:rPr>
                <w:sz w:val="18"/>
              </w:rPr>
              <w:t>The monthly path leaves the GPU idle during CPU-bound parsing</w:t>
            </w:r>
          </w:p>
        </w:tc>
      </w:tr>
    </w:tbl>
    <w:p>
      <w:pPr>
        <w:spacing w:after="40"/>
      </w:pPr>
    </w:p>
    <w:p>
      <w:pPr>
        <w:pStyle w:val="Heading2"/>
        <w:spacing w:before="280" w:after="100"/>
      </w:pPr>
      <w:r>
        <w:rPr>
          <w:color w:val="143D59"/>
        </w:rPr>
        <w:t>11.2 Modelling and quality gaps</w:t>
      </w:r>
    </w:p>
    <w:p>
      <w:pPr>
        <w:pStyle w:val="ListBullet"/>
        <w:spacing w:after="60"/>
      </w:pPr>
      <w:r>
        <w:t>Chunking is word-based rather than tokenizer-based, so for CJK text without whitespace boundaries it degrades to roughly character-based splitting. Functional, but a language-aware splitter would be better for a predominantly Chinese corpus.</w:t>
      </w:r>
    </w:p>
    <w:p>
      <w:pPr>
        <w:pStyle w:val="ListBullet"/>
        <w:spacing w:after="60"/>
      </w:pPr>
      <w:r>
        <w:t>The taxonomy is fixed after construction, with no drift detection. As the corpus evolves the categories will fit it progressively less well, and nothing surfaces that.</w:t>
      </w:r>
    </w:p>
    <w:p>
      <w:pPr>
        <w:pStyle w:val="ListBullet"/>
        <w:spacing w:after="60"/>
      </w:pPr>
      <w:r>
        <w:t>EMBEDDING_DIM is hard-coded to 1024 and must match the embedding model exactly; swapping models means editing schema.py and rebuilding every vector.</w:t>
      </w:r>
    </w:p>
    <w:p>
      <w:pPr>
        <w:pStyle w:val="ListBullet"/>
        <w:spacing w:after="60"/>
      </w:pPr>
      <w:r>
        <w:t>reports/doc_summary.py is complete but unreachable from the UI: generating a summary needs the document's full text, which is only persisted as chunks, so wiring it up means reassembling text from chunk_vectors first.</w:t>
      </w:r>
    </w:p>
    <w:p>
      <w:pPr>
        <w:pStyle w:val="ListBullet"/>
        <w:spacing w:after="60"/>
      </w:pPr>
      <w:r>
        <w:t>The Search view lists doc_id rather than filename or title, which makes results hard to read at a glance.</w:t>
      </w:r>
    </w:p>
    <w:p>
      <w:pPr>
        <w:pStyle w:val="ListBullet"/>
        <w:spacing w:after="60"/>
      </w:pPr>
      <w:r>
        <w:t>There are no pinned dependency versions in requirements.txt. The wheelhouse and its manifest act as a de-facto lock, but a fresh online install can drift.</w:t>
      </w:r>
    </w:p>
    <w:p>
      <w:pPr>
        <w:pStyle w:val="Heading2"/>
        <w:spacing w:before="280" w:after="100"/>
      </w:pPr>
      <w:r>
        <w:rPr>
          <w:color w:val="143D59"/>
        </w:rPr>
        <w:t>11.3 Recommended order of work</w:t>
      </w:r>
    </w:p>
    <w:p>
      <w:pPr>
        <w:pStyle w:val="ListNumber"/>
        <w:spacing w:after="60"/>
      </w:pPr>
      <w:r>
        <w:t>Install Python 3.12 and run the offline installer, then scripts/setup_check.py. This is the single highest-value action available: it exercises every model load and will surface more in one run than any amount of further code reading.</w:t>
      </w:r>
    </w:p>
    <w:p>
      <w:pPr>
        <w:pStyle w:val="ListNumber"/>
        <w:spacing w:after="60"/>
      </w:pPr>
      <w:r>
        <w:t>Ingest a small, deliberately varied folder — a text-layer PDF, a scanned PDF, a DOCX with tables, and a non-English document — and inspect the resulting rows in app.db.</w:t>
      </w:r>
    </w:p>
    <w:p>
      <w:pPr>
        <w:pStyle w:val="ListNumber"/>
        <w:spacing w:after="60"/>
      </w:pPr>
      <w:r>
        <w:t>Run build.ps1 with -Console -KeepWork and work through whatever imports are missing.</w:t>
      </w:r>
    </w:p>
    <w:p>
      <w:pPr>
        <w:pStyle w:val="ListNumber"/>
        <w:spacing w:after="60"/>
      </w:pPr>
      <w:r>
        <w:t>Add an integration test that drives process_document() against small fixture files with the embedding model stubbed, so the pipeline's wiring is covered without a GPU.</w:t>
      </w:r>
    </w:p>
    <w:p>
      <w:pPr>
        <w:pStyle w:val="ListNumber"/>
        <w:spacing w:after="60"/>
      </w:pPr>
      <w:r>
        <w:t>Add checkpointing to bulk_init_classify.py before attempting any run large enough to matter.</w:t>
      </w:r>
    </w:p>
    <w:p>
      <w:pPr>
        <w:pStyle w:val="ListNumber"/>
        <w:spacing w:after="60"/>
      </w:pPr>
      <w:r>
        <w:t>Replace print() with the logging module and give the scheduled scripts a log file.</w:t>
      </w:r>
    </w:p>
    <w:p>
      <w:r>
        <w:br w:type="page"/>
      </w:r>
    </w:p>
    <w:p>
      <w:pPr>
        <w:pStyle w:val="Heading1"/>
        <w:spacing w:before="0" w:after="100"/>
      </w:pPr>
      <w:r>
        <w:rPr>
          <w:color w:val="143D59"/>
        </w:rPr>
        <w:t>12. Appendix: module map</w:t>
      </w:r>
    </w:p>
    <w:tbl>
      <w:tblPr>
        <w:tblStyle w:val="TableGrid"/>
        <w:tblW w:type="auto" w:w="0"/>
        <w:jc w:val="center"/>
        <w:tblLook w:firstColumn="1" w:firstRow="1" w:lastColumn="0" w:lastRow="0" w:noHBand="0" w:noVBand="1" w:val="04A0"/>
      </w:tblPr>
      <w:tblGrid>
        <w:gridCol w:w="4824"/>
        <w:gridCol w:w="4824"/>
      </w:tblGrid>
      <w:tr>
        <w:tc>
          <w:tcPr>
            <w:tcW w:type="dxa" w:w="2808"/>
          </w:tcPr>
          <w:p>
            <w:pPr>
              <w:shd w:val="clear" w:color="auto" w:fill="DCE6F1"/>
            </w:pPr>
            <w:r/>
            <w:r>
              <w:rPr>
                <w:b/>
                <w:sz w:val="19"/>
              </w:rPr>
              <w:t>Module</w:t>
            </w:r>
          </w:p>
        </w:tc>
        <w:tc>
          <w:tcPr>
            <w:tcW w:type="dxa" w:w="5976"/>
          </w:tcPr>
          <w:p>
            <w:pPr>
              <w:shd w:val="clear" w:color="auto" w:fill="DCE6F1"/>
            </w:pPr>
            <w:r/>
            <w:r>
              <w:rPr>
                <w:b/>
                <w:sz w:val="19"/>
              </w:rPr>
              <w:t>Responsibility</w:t>
            </w:r>
          </w:p>
        </w:tc>
      </w:tr>
      <w:tr>
        <w:tc>
          <w:tcPr>
            <w:tcW w:type="dxa" w:w="2808"/>
          </w:tcPr>
          <w:p>
            <w:pPr>
              <w:spacing w:after="40"/>
            </w:pPr>
            <w:r/>
            <w:r>
              <w:rPr>
                <w:rFonts w:ascii="Consolas" w:hAnsi="Consolas"/>
                <w:sz w:val="17"/>
              </w:rPr>
              <w:t>main.py</w:t>
            </w:r>
          </w:p>
        </w:tc>
        <w:tc>
          <w:tcPr>
            <w:tcW w:type="dxa" w:w="5976"/>
          </w:tcPr>
          <w:p>
            <w:pPr>
              <w:spacing w:after="40"/>
            </w:pPr>
            <w:r/>
            <w:r>
              <w:rPr>
                <w:sz w:val="18"/>
              </w:rPr>
              <w:t>Entry point; the script PyInstaller packages</w:t>
            </w:r>
          </w:p>
        </w:tc>
      </w:tr>
      <w:tr>
        <w:tc>
          <w:tcPr>
            <w:tcW w:type="dxa" w:w="2808"/>
          </w:tcPr>
          <w:p>
            <w:pPr>
              <w:spacing w:after="40"/>
            </w:pPr>
            <w:r/>
            <w:r>
              <w:rPr>
                <w:rFonts w:ascii="Consolas" w:hAnsi="Consolas"/>
                <w:sz w:val="17"/>
              </w:rPr>
              <w:t>config.py</w:t>
            </w:r>
          </w:p>
        </w:tc>
        <w:tc>
          <w:tcPr>
            <w:tcW w:type="dxa" w:w="5976"/>
          </w:tcPr>
          <w:p>
            <w:pPr>
              <w:spacing w:after="40"/>
            </w:pPr>
            <w:r/>
            <w:r>
              <w:rPr>
                <w:sz w:val="18"/>
              </w:rPr>
              <w:t>Loads config.yaml once; resolves relative paths and handles sys.frozen</w:t>
            </w:r>
          </w:p>
        </w:tc>
      </w:tr>
      <w:tr>
        <w:tc>
          <w:tcPr>
            <w:tcW w:type="dxa" w:w="2808"/>
          </w:tcPr>
          <w:p>
            <w:pPr>
              <w:spacing w:after="40"/>
            </w:pPr>
            <w:r/>
            <w:r>
              <w:rPr>
                <w:rFonts w:ascii="Consolas" w:hAnsi="Consolas"/>
                <w:sz w:val="17"/>
              </w:rPr>
              <w:t>pipeline.py</w:t>
            </w:r>
          </w:p>
        </w:tc>
        <w:tc>
          <w:tcPr>
            <w:tcW w:type="dxa" w:w="5976"/>
          </w:tcPr>
          <w:p>
            <w:pPr>
              <w:spacing w:after="40"/>
            </w:pPr>
            <w:r/>
            <w:r>
              <w:rPr>
                <w:sz w:val="18"/>
              </w:rPr>
              <w:t>The single function wiring one document end to end</w:t>
            </w:r>
          </w:p>
        </w:tc>
      </w:tr>
      <w:tr>
        <w:tc>
          <w:tcPr>
            <w:tcW w:type="dxa" w:w="2808"/>
          </w:tcPr>
          <w:p>
            <w:pPr>
              <w:spacing w:after="40"/>
            </w:pPr>
            <w:r/>
            <w:r>
              <w:rPr>
                <w:rFonts w:ascii="Consolas" w:hAnsi="Consolas"/>
                <w:sz w:val="17"/>
              </w:rPr>
              <w:t>ingestion/parsers.py</w:t>
            </w:r>
          </w:p>
        </w:tc>
        <w:tc>
          <w:tcPr>
            <w:tcW w:type="dxa" w:w="5976"/>
          </w:tcPr>
          <w:p>
            <w:pPr>
              <w:spacing w:after="40"/>
            </w:pPr>
            <w:r/>
            <w:r>
              <w:rPr>
                <w:sz w:val="18"/>
              </w:rPr>
              <w:t>Format dispatch: PDF, DOCX, PPTX, HTML, TXT, MD</w:t>
            </w:r>
          </w:p>
        </w:tc>
      </w:tr>
      <w:tr>
        <w:tc>
          <w:tcPr>
            <w:tcW w:type="dxa" w:w="2808"/>
          </w:tcPr>
          <w:p>
            <w:pPr>
              <w:spacing w:after="40"/>
            </w:pPr>
            <w:r/>
            <w:r>
              <w:rPr>
                <w:rFonts w:ascii="Consolas" w:hAnsi="Consolas"/>
                <w:sz w:val="17"/>
              </w:rPr>
              <w:t>ingestion/ocr.py</w:t>
            </w:r>
          </w:p>
        </w:tc>
        <w:tc>
          <w:tcPr>
            <w:tcW w:type="dxa" w:w="5976"/>
          </w:tcPr>
          <w:p>
            <w:pPr>
              <w:spacing w:after="40"/>
            </w:pPr>
            <w:r/>
            <w:r>
              <w:rPr>
                <w:sz w:val="18"/>
              </w:rPr>
              <w:t>Tesseract with EasyOCR fallback; deskew, denoise, binarise</w:t>
            </w:r>
          </w:p>
        </w:tc>
      </w:tr>
      <w:tr>
        <w:tc>
          <w:tcPr>
            <w:tcW w:type="dxa" w:w="2808"/>
          </w:tcPr>
          <w:p>
            <w:pPr>
              <w:spacing w:after="40"/>
            </w:pPr>
            <w:r/>
            <w:r>
              <w:rPr>
                <w:rFonts w:ascii="Consolas" w:hAnsi="Consolas"/>
                <w:sz w:val="17"/>
              </w:rPr>
              <w:t>ingestion/language.py</w:t>
            </w:r>
          </w:p>
        </w:tc>
        <w:tc>
          <w:tcPr>
            <w:tcW w:type="dxa" w:w="5976"/>
          </w:tcPr>
          <w:p>
            <w:pPr>
              <w:spacing w:after="40"/>
            </w:pPr>
            <w:r/>
            <w:r>
              <w:rPr>
                <w:sz w:val="18"/>
              </w:rPr>
              <w:t>fastText language identification, per document and per chunk</w:t>
            </w:r>
          </w:p>
        </w:tc>
      </w:tr>
      <w:tr>
        <w:tc>
          <w:tcPr>
            <w:tcW w:type="dxa" w:w="2808"/>
          </w:tcPr>
          <w:p>
            <w:pPr>
              <w:spacing w:after="40"/>
            </w:pPr>
            <w:r/>
            <w:r>
              <w:rPr>
                <w:rFonts w:ascii="Consolas" w:hAnsi="Consolas"/>
                <w:sz w:val="17"/>
              </w:rPr>
              <w:t>ingestion/chunking.py</w:t>
            </w:r>
          </w:p>
        </w:tc>
        <w:tc>
          <w:tcPr>
            <w:tcW w:type="dxa" w:w="5976"/>
          </w:tcPr>
          <w:p>
            <w:pPr>
              <w:spacing w:after="40"/>
            </w:pPr>
            <w:r/>
            <w:r>
              <w:rPr>
                <w:sz w:val="18"/>
              </w:rPr>
              <w:t>Sliding-window chunking; the pooling threshold</w:t>
            </w:r>
          </w:p>
        </w:tc>
      </w:tr>
      <w:tr>
        <w:tc>
          <w:tcPr>
            <w:tcW w:type="dxa" w:w="2808"/>
          </w:tcPr>
          <w:p>
            <w:pPr>
              <w:spacing w:after="40"/>
            </w:pPr>
            <w:r/>
            <w:r>
              <w:rPr>
                <w:rFonts w:ascii="Consolas" w:hAnsi="Consolas"/>
                <w:sz w:val="17"/>
              </w:rPr>
              <w:t>ingestion/dedup.py</w:t>
            </w:r>
          </w:p>
        </w:tc>
        <w:tc>
          <w:tcPr>
            <w:tcW w:type="dxa" w:w="5976"/>
          </w:tcPr>
          <w:p>
            <w:pPr>
              <w:spacing w:after="40"/>
            </w:pPr>
            <w:r/>
            <w:r>
              <w:rPr>
                <w:sz w:val="18"/>
              </w:rPr>
              <w:t>Content hashing over normalised text</w:t>
            </w:r>
          </w:p>
        </w:tc>
      </w:tr>
      <w:tr>
        <w:tc>
          <w:tcPr>
            <w:tcW w:type="dxa" w:w="2808"/>
          </w:tcPr>
          <w:p>
            <w:pPr>
              <w:spacing w:after="40"/>
            </w:pPr>
            <w:r/>
            <w:r>
              <w:rPr>
                <w:rFonts w:ascii="Consolas" w:hAnsi="Consolas"/>
                <w:sz w:val="17"/>
              </w:rPr>
              <w:t>embeddings/embedder.py</w:t>
            </w:r>
          </w:p>
        </w:tc>
        <w:tc>
          <w:tcPr>
            <w:tcW w:type="dxa" w:w="5976"/>
          </w:tcPr>
          <w:p>
            <w:pPr>
              <w:spacing w:after="40"/>
            </w:pPr>
            <w:r/>
            <w:r>
              <w:rPr>
                <w:sz w:val="18"/>
              </w:rPr>
              <w:t>The single BGE-M3 entry point for all embedding</w:t>
            </w:r>
          </w:p>
        </w:tc>
      </w:tr>
      <w:tr>
        <w:tc>
          <w:tcPr>
            <w:tcW w:type="dxa" w:w="2808"/>
          </w:tcPr>
          <w:p>
            <w:pPr>
              <w:spacing w:after="40"/>
            </w:pPr>
            <w:r/>
            <w:r>
              <w:rPr>
                <w:rFonts w:ascii="Consolas" w:hAnsi="Consolas"/>
                <w:sz w:val="17"/>
              </w:rPr>
              <w:t>embeddings/pooling.py</w:t>
            </w:r>
          </w:p>
        </w:tc>
        <w:tc>
          <w:tcPr>
            <w:tcW w:type="dxa" w:w="5976"/>
          </w:tcPr>
          <w:p>
            <w:pPr>
              <w:spacing w:after="40"/>
            </w:pPr>
            <w:r/>
            <w:r>
              <w:rPr>
                <w:sz w:val="18"/>
              </w:rPr>
              <w:t>Mean and weighted pooling of chunk vectors</w:t>
            </w:r>
          </w:p>
        </w:tc>
      </w:tr>
      <w:tr>
        <w:tc>
          <w:tcPr>
            <w:tcW w:type="dxa" w:w="2808"/>
          </w:tcPr>
          <w:p>
            <w:pPr>
              <w:spacing w:after="40"/>
            </w:pPr>
            <w:r/>
            <w:r>
              <w:rPr>
                <w:rFonts w:ascii="Consolas" w:hAnsi="Consolas"/>
                <w:sz w:val="17"/>
              </w:rPr>
              <w:t>classification/classifier.py</w:t>
            </w:r>
          </w:p>
        </w:tc>
        <w:tc>
          <w:tcPr>
            <w:tcW w:type="dxa" w:w="5976"/>
          </w:tcPr>
          <w:p>
            <w:pPr>
              <w:spacing w:after="40"/>
            </w:pPr>
            <w:r/>
            <w:r>
              <w:rPr>
                <w:sz w:val="18"/>
              </w:rPr>
              <w:t>Top-down taxonomy walk, thresholds, LLM escalation</w:t>
            </w:r>
          </w:p>
        </w:tc>
      </w:tr>
      <w:tr>
        <w:tc>
          <w:tcPr>
            <w:tcW w:type="dxa" w:w="2808"/>
          </w:tcPr>
          <w:p>
            <w:pPr>
              <w:spacing w:after="40"/>
            </w:pPr>
            <w:r/>
            <w:r>
              <w:rPr>
                <w:rFonts w:ascii="Consolas" w:hAnsi="Consolas"/>
                <w:sz w:val="17"/>
              </w:rPr>
              <w:t>classification/llm_tiebreaker.py</w:t>
            </w:r>
          </w:p>
        </w:tc>
        <w:tc>
          <w:tcPr>
            <w:tcW w:type="dxa" w:w="5976"/>
          </w:tcPr>
          <w:p>
            <w:pPr>
              <w:spacing w:after="40"/>
            </w:pPr>
            <w:r/>
            <w:r>
              <w:rPr>
                <w:sz w:val="18"/>
              </w:rPr>
              <w:t>Constrained LLM choice among shortlisted candidates</w:t>
            </w:r>
          </w:p>
        </w:tc>
      </w:tr>
      <w:tr>
        <w:tc>
          <w:tcPr>
            <w:tcW w:type="dxa" w:w="2808"/>
          </w:tcPr>
          <w:p>
            <w:pPr>
              <w:spacing w:after="40"/>
            </w:pPr>
            <w:r/>
            <w:r>
              <w:rPr>
                <w:rFonts w:ascii="Consolas" w:hAnsi="Consolas"/>
                <w:sz w:val="17"/>
              </w:rPr>
              <w:t>classification/review_queue.py</w:t>
            </w:r>
          </w:p>
        </w:tc>
        <w:tc>
          <w:tcPr>
            <w:tcW w:type="dxa" w:w="5976"/>
          </w:tcPr>
          <w:p>
            <w:pPr>
              <w:spacing w:after="40"/>
            </w:pPr>
            <w:r/>
            <w:r>
              <w:rPr>
                <w:sz w:val="18"/>
              </w:rPr>
              <w:t>Human-review queue operations</w:t>
            </w:r>
          </w:p>
        </w:tc>
      </w:tr>
      <w:tr>
        <w:tc>
          <w:tcPr>
            <w:tcW w:type="dxa" w:w="2808"/>
          </w:tcPr>
          <w:p>
            <w:pPr>
              <w:spacing w:after="40"/>
            </w:pPr>
            <w:r/>
            <w:r>
              <w:rPr>
                <w:rFonts w:ascii="Consolas" w:hAnsi="Consolas"/>
                <w:sz w:val="17"/>
              </w:rPr>
              <w:t>search/query.py</w:t>
            </w:r>
          </w:p>
        </w:tc>
        <w:tc>
          <w:tcPr>
            <w:tcW w:type="dxa" w:w="5976"/>
          </w:tcPr>
          <w:p>
            <w:pPr>
              <w:spacing w:after="40"/>
            </w:pPr>
            <w:r/>
            <w:r>
              <w:rPr>
                <w:sz w:val="18"/>
              </w:rPr>
              <w:t>Query embedding — deliberately the same call documents use</w:t>
            </w:r>
          </w:p>
        </w:tc>
      </w:tr>
      <w:tr>
        <w:tc>
          <w:tcPr>
            <w:tcW w:type="dxa" w:w="2808"/>
          </w:tcPr>
          <w:p>
            <w:pPr>
              <w:spacing w:after="40"/>
            </w:pPr>
            <w:r/>
            <w:r>
              <w:rPr>
                <w:rFonts w:ascii="Consolas" w:hAnsi="Consolas"/>
                <w:sz w:val="17"/>
              </w:rPr>
              <w:t>search/ann_search.py</w:t>
            </w:r>
          </w:p>
        </w:tc>
        <w:tc>
          <w:tcPr>
            <w:tcW w:type="dxa" w:w="5976"/>
          </w:tcPr>
          <w:p>
            <w:pPr>
              <w:spacing w:after="40"/>
            </w:pPr>
            <w:r/>
            <w:r>
              <w:rPr>
                <w:sz w:val="18"/>
              </w:rPr>
              <w:t>Stage 1: wide ANN retrieval with pushed-down filters</w:t>
            </w:r>
          </w:p>
        </w:tc>
      </w:tr>
      <w:tr>
        <w:tc>
          <w:tcPr>
            <w:tcW w:type="dxa" w:w="2808"/>
          </w:tcPr>
          <w:p>
            <w:pPr>
              <w:spacing w:after="40"/>
            </w:pPr>
            <w:r/>
            <w:r>
              <w:rPr>
                <w:rFonts w:ascii="Consolas" w:hAnsi="Consolas"/>
                <w:sz w:val="17"/>
              </w:rPr>
              <w:t>search/reranker.py</w:t>
            </w:r>
          </w:p>
        </w:tc>
        <w:tc>
          <w:tcPr>
            <w:tcW w:type="dxa" w:w="5976"/>
          </w:tcPr>
          <w:p>
            <w:pPr>
              <w:spacing w:after="40"/>
            </w:pPr>
            <w:r/>
            <w:r>
              <w:rPr>
                <w:sz w:val="18"/>
              </w:rPr>
              <w:t>Stage 2: cross-encoder reranking; end-to-end search()</w:t>
            </w:r>
          </w:p>
        </w:tc>
      </w:tr>
      <w:tr>
        <w:tc>
          <w:tcPr>
            <w:tcW w:type="dxa" w:w="2808"/>
          </w:tcPr>
          <w:p>
            <w:pPr>
              <w:spacing w:after="40"/>
            </w:pPr>
            <w:r/>
            <w:r>
              <w:rPr>
                <w:rFonts w:ascii="Consolas" w:hAnsi="Consolas"/>
                <w:sz w:val="17"/>
              </w:rPr>
              <w:t>taxonomy/cluster.py</w:t>
            </w:r>
          </w:p>
        </w:tc>
        <w:tc>
          <w:tcPr>
            <w:tcW w:type="dxa" w:w="5976"/>
          </w:tcPr>
          <w:p>
            <w:pPr>
              <w:spacing w:after="40"/>
            </w:pPr>
            <w:r/>
            <w:r>
              <w:rPr>
                <w:sz w:val="18"/>
              </w:rPr>
              <w:t>Recursive clustering and centroid computation</w:t>
            </w:r>
          </w:p>
        </w:tc>
      </w:tr>
      <w:tr>
        <w:tc>
          <w:tcPr>
            <w:tcW w:type="dxa" w:w="2808"/>
          </w:tcPr>
          <w:p>
            <w:pPr>
              <w:spacing w:after="40"/>
            </w:pPr>
            <w:r/>
            <w:r>
              <w:rPr>
                <w:rFonts w:ascii="Consolas" w:hAnsi="Consolas"/>
                <w:sz w:val="17"/>
              </w:rPr>
              <w:t>taxonomy/label.py</w:t>
            </w:r>
          </w:p>
        </w:tc>
        <w:tc>
          <w:tcPr>
            <w:tcW w:type="dxa" w:w="5976"/>
          </w:tcPr>
          <w:p>
            <w:pPr>
              <w:spacing w:after="40"/>
            </w:pPr>
            <w:r/>
            <w:r>
              <w:rPr>
                <w:sz w:val="18"/>
              </w:rPr>
              <w:t>Cluster keyword extraction and LLM label proposal</w:t>
            </w:r>
          </w:p>
        </w:tc>
      </w:tr>
      <w:tr>
        <w:tc>
          <w:tcPr>
            <w:tcW w:type="dxa" w:w="2808"/>
          </w:tcPr>
          <w:p>
            <w:pPr>
              <w:spacing w:after="40"/>
            </w:pPr>
            <w:r/>
            <w:r>
              <w:rPr>
                <w:rFonts w:ascii="Consolas" w:hAnsi="Consolas"/>
                <w:sz w:val="17"/>
              </w:rPr>
              <w:t>taxonomy/taxonomy_store.py</w:t>
            </w:r>
          </w:p>
        </w:tc>
        <w:tc>
          <w:tcPr>
            <w:tcW w:type="dxa" w:w="5976"/>
          </w:tcPr>
          <w:p>
            <w:pPr>
              <w:spacing w:after="40"/>
            </w:pPr>
            <w:r/>
            <w:r>
              <w:rPr>
                <w:sz w:val="18"/>
              </w:rPr>
              <w:t>Category creation, tree reads, full-path resolution</w:t>
            </w:r>
          </w:p>
        </w:tc>
      </w:tr>
      <w:tr>
        <w:tc>
          <w:tcPr>
            <w:tcW w:type="dxa" w:w="2808"/>
          </w:tcPr>
          <w:p>
            <w:pPr>
              <w:spacing w:after="40"/>
            </w:pPr>
            <w:r/>
            <w:r>
              <w:rPr>
                <w:rFonts w:ascii="Consolas" w:hAnsi="Consolas"/>
                <w:sz w:val="17"/>
              </w:rPr>
              <w:t>storage/schema.py</w:t>
            </w:r>
          </w:p>
        </w:tc>
        <w:tc>
          <w:tcPr>
            <w:tcW w:type="dxa" w:w="5976"/>
          </w:tcPr>
          <w:p>
            <w:pPr>
              <w:spacing w:after="40"/>
            </w:pPr>
            <w:r/>
            <w:r>
              <w:rPr>
                <w:sz w:val="18"/>
              </w:rPr>
              <w:t>SQLite DDL, pyarrow schemas, the status vocabulary</w:t>
            </w:r>
          </w:p>
        </w:tc>
      </w:tr>
      <w:tr>
        <w:tc>
          <w:tcPr>
            <w:tcW w:type="dxa" w:w="2808"/>
          </w:tcPr>
          <w:p>
            <w:pPr>
              <w:spacing w:after="40"/>
            </w:pPr>
            <w:r/>
            <w:r>
              <w:rPr>
                <w:rFonts w:ascii="Consolas" w:hAnsi="Consolas"/>
                <w:sz w:val="17"/>
              </w:rPr>
              <w:t>storage/sqlite_store.py</w:t>
            </w:r>
          </w:p>
        </w:tc>
        <w:tc>
          <w:tcPr>
            <w:tcW w:type="dxa" w:w="5976"/>
          </w:tcPr>
          <w:p>
            <w:pPr>
              <w:spacing w:after="40"/>
            </w:pPr>
            <w:r/>
            <w:r>
              <w:rPr>
                <w:sz w:val="18"/>
              </w:rPr>
              <w:t>Short-lived-connection access layer over app.db</w:t>
            </w:r>
          </w:p>
        </w:tc>
      </w:tr>
      <w:tr>
        <w:tc>
          <w:tcPr>
            <w:tcW w:type="dxa" w:w="2808"/>
          </w:tcPr>
          <w:p>
            <w:pPr>
              <w:spacing w:after="40"/>
            </w:pPr>
            <w:r/>
            <w:r>
              <w:rPr>
                <w:rFonts w:ascii="Consolas" w:hAnsi="Consolas"/>
                <w:sz w:val="17"/>
              </w:rPr>
              <w:t>storage/lancedb_store.py</w:t>
            </w:r>
          </w:p>
        </w:tc>
        <w:tc>
          <w:tcPr>
            <w:tcW w:type="dxa" w:w="5976"/>
          </w:tcPr>
          <w:p>
            <w:pPr>
              <w:spacing w:after="40"/>
            </w:pPr>
            <w:r/>
            <w:r>
              <w:rPr>
                <w:sz w:val="18"/>
              </w:rPr>
              <w:t>The three vector tables; category-path synchronisation</w:t>
            </w:r>
          </w:p>
        </w:tc>
      </w:tr>
      <w:tr>
        <w:tc>
          <w:tcPr>
            <w:tcW w:type="dxa" w:w="2808"/>
          </w:tcPr>
          <w:p>
            <w:pPr>
              <w:spacing w:after="40"/>
            </w:pPr>
            <w:r/>
            <w:r>
              <w:rPr>
                <w:rFonts w:ascii="Consolas" w:hAnsi="Consolas"/>
                <w:sz w:val="17"/>
              </w:rPr>
              <w:t>storage/filters.py</w:t>
            </w:r>
          </w:p>
        </w:tc>
        <w:tc>
          <w:tcPr>
            <w:tcW w:type="dxa" w:w="5976"/>
          </w:tcPr>
          <w:p>
            <w:pPr>
              <w:spacing w:after="40"/>
            </w:pPr>
            <w:r/>
            <w:r>
              <w:rPr>
                <w:sz w:val="18"/>
              </w:rPr>
              <w:t>SQL-literal quoting for LanceDB filter strings</w:t>
            </w:r>
          </w:p>
        </w:tc>
      </w:tr>
      <w:tr>
        <w:tc>
          <w:tcPr>
            <w:tcW w:type="dxa" w:w="2808"/>
          </w:tcPr>
          <w:p>
            <w:pPr>
              <w:spacing w:after="40"/>
            </w:pPr>
            <w:r/>
            <w:r>
              <w:rPr>
                <w:rFonts w:ascii="Consolas" w:hAnsi="Consolas"/>
                <w:sz w:val="17"/>
              </w:rPr>
              <w:t>llm/local_llm.py</w:t>
            </w:r>
          </w:p>
        </w:tc>
        <w:tc>
          <w:tcPr>
            <w:tcW w:type="dxa" w:w="5976"/>
          </w:tcPr>
          <w:p>
            <w:pPr>
              <w:spacing w:after="40"/>
            </w:pPr>
            <w:r/>
            <w:r>
              <w:rPr>
                <w:sz w:val="18"/>
              </w:rPr>
              <w:t>llama.cpp wrapper; JSON generation with retry; GGUF resolution</w:t>
            </w:r>
          </w:p>
        </w:tc>
      </w:tr>
      <w:tr>
        <w:tc>
          <w:tcPr>
            <w:tcW w:type="dxa" w:w="2808"/>
          </w:tcPr>
          <w:p>
            <w:pPr>
              <w:spacing w:after="40"/>
            </w:pPr>
            <w:r/>
            <w:r>
              <w:rPr>
                <w:rFonts w:ascii="Consolas" w:hAnsi="Consolas"/>
                <w:sz w:val="17"/>
              </w:rPr>
              <w:t>metadata/extract.py</w:t>
            </w:r>
          </w:p>
        </w:tc>
        <w:tc>
          <w:tcPr>
            <w:tcW w:type="dxa" w:w="5976"/>
          </w:tcPr>
          <w:p>
            <w:pPr>
              <w:spacing w:after="40"/>
            </w:pPr>
            <w:r/>
            <w:r>
              <w:rPr>
                <w:sz w:val="18"/>
              </w:rPr>
              <w:t>Orchestrates GROBID → LLM → KeyBERT → translation</w:t>
            </w:r>
          </w:p>
        </w:tc>
      </w:tr>
      <w:tr>
        <w:tc>
          <w:tcPr>
            <w:tcW w:type="dxa" w:w="2808"/>
          </w:tcPr>
          <w:p>
            <w:pPr>
              <w:spacing w:after="40"/>
            </w:pPr>
            <w:r/>
            <w:r>
              <w:rPr>
                <w:rFonts w:ascii="Consolas" w:hAnsi="Consolas"/>
                <w:sz w:val="17"/>
              </w:rPr>
              <w:t>metadata/grobid_client.py</w:t>
            </w:r>
          </w:p>
        </w:tc>
        <w:tc>
          <w:tcPr>
            <w:tcW w:type="dxa" w:w="5976"/>
          </w:tcPr>
          <w:p>
            <w:pPr>
              <w:spacing w:after="40"/>
            </w:pPr>
            <w:r/>
            <w:r>
              <w:rPr>
                <w:sz w:val="18"/>
              </w:rPr>
              <w:t>Local GROBID client and TEI parsing</w:t>
            </w:r>
          </w:p>
        </w:tc>
      </w:tr>
      <w:tr>
        <w:tc>
          <w:tcPr>
            <w:tcW w:type="dxa" w:w="2808"/>
          </w:tcPr>
          <w:p>
            <w:pPr>
              <w:spacing w:after="40"/>
            </w:pPr>
            <w:r/>
            <w:r>
              <w:rPr>
                <w:rFonts w:ascii="Consolas" w:hAnsi="Consolas"/>
                <w:sz w:val="17"/>
              </w:rPr>
              <w:t>metadata/keyword_extract.py</w:t>
            </w:r>
          </w:p>
        </w:tc>
        <w:tc>
          <w:tcPr>
            <w:tcW w:type="dxa" w:w="5976"/>
          </w:tcPr>
          <w:p>
            <w:pPr>
              <w:spacing w:after="40"/>
            </w:pPr>
            <w:r/>
            <w:r>
              <w:rPr>
                <w:sz w:val="18"/>
              </w:rPr>
              <w:t>KeyBERT keywords reusing the loaded BGE-M3</w:t>
            </w:r>
          </w:p>
        </w:tc>
      </w:tr>
      <w:tr>
        <w:tc>
          <w:tcPr>
            <w:tcW w:type="dxa" w:w="2808"/>
          </w:tcPr>
          <w:p>
            <w:pPr>
              <w:spacing w:after="40"/>
            </w:pPr>
            <w:r/>
            <w:r>
              <w:rPr>
                <w:rFonts w:ascii="Consolas" w:hAnsi="Consolas"/>
                <w:sz w:val="17"/>
              </w:rPr>
              <w:t>metadata/translate.py</w:t>
            </w:r>
          </w:p>
        </w:tc>
        <w:tc>
          <w:tcPr>
            <w:tcW w:type="dxa" w:w="5976"/>
          </w:tcPr>
          <w:p>
            <w:pPr>
              <w:spacing w:after="40"/>
            </w:pPr>
            <w:r/>
            <w:r>
              <w:rPr>
                <w:sz w:val="18"/>
              </w:rPr>
              <w:t>English mirror fields; pinyin romanisation of names</w:t>
            </w:r>
          </w:p>
        </w:tc>
      </w:tr>
      <w:tr>
        <w:tc>
          <w:tcPr>
            <w:tcW w:type="dxa" w:w="2808"/>
          </w:tcPr>
          <w:p>
            <w:pPr>
              <w:spacing w:after="40"/>
            </w:pPr>
            <w:r/>
            <w:r>
              <w:rPr>
                <w:rFonts w:ascii="Consolas" w:hAnsi="Consolas"/>
                <w:sz w:val="17"/>
              </w:rPr>
              <w:t>reports/monthly_report.py</w:t>
            </w:r>
          </w:p>
        </w:tc>
        <w:tc>
          <w:tcPr>
            <w:tcW w:type="dxa" w:w="5976"/>
          </w:tcPr>
          <w:p>
            <w:pPr>
              <w:spacing w:after="40"/>
            </w:pPr>
            <w:r/>
            <w:r>
              <w:rPr>
                <w:sz w:val="18"/>
              </w:rPr>
              <w:t>Per-category summaries then one overall digest</w:t>
            </w:r>
          </w:p>
        </w:tc>
      </w:tr>
      <w:tr>
        <w:tc>
          <w:tcPr>
            <w:tcW w:type="dxa" w:w="2808"/>
          </w:tcPr>
          <w:p>
            <w:pPr>
              <w:spacing w:after="40"/>
            </w:pPr>
            <w:r/>
            <w:r>
              <w:rPr>
                <w:rFonts w:ascii="Consolas" w:hAnsi="Consolas"/>
                <w:sz w:val="17"/>
              </w:rPr>
              <w:t>reports/doc_summary.py</w:t>
            </w:r>
          </w:p>
        </w:tc>
        <w:tc>
          <w:tcPr>
            <w:tcW w:type="dxa" w:w="5976"/>
          </w:tcPr>
          <w:p>
            <w:pPr>
              <w:spacing w:after="40"/>
            </w:pPr>
            <w:r/>
            <w:r>
              <w:rPr>
                <w:sz w:val="18"/>
              </w:rPr>
              <w:t>Cached single-document summary (not yet wired to the UI)</w:t>
            </w:r>
          </w:p>
        </w:tc>
      </w:tr>
      <w:tr>
        <w:tc>
          <w:tcPr>
            <w:tcW w:type="dxa" w:w="2808"/>
          </w:tcPr>
          <w:p>
            <w:pPr>
              <w:spacing w:after="40"/>
            </w:pPr>
            <w:r/>
            <w:r>
              <w:rPr>
                <w:rFonts w:ascii="Consolas" w:hAnsi="Consolas"/>
                <w:sz w:val="17"/>
              </w:rPr>
              <w:t>ui/main_window.py</w:t>
            </w:r>
          </w:p>
        </w:tc>
        <w:tc>
          <w:tcPr>
            <w:tcW w:type="dxa" w:w="5976"/>
          </w:tcPr>
          <w:p>
            <w:pPr>
              <w:spacing w:after="40"/>
            </w:pPr>
            <w:r/>
            <w:r>
              <w:rPr>
                <w:sz w:val="18"/>
              </w:rPr>
              <w:t>Sidebar navigation and the stacked views</w:t>
            </w:r>
          </w:p>
        </w:tc>
      </w:tr>
      <w:tr>
        <w:tc>
          <w:tcPr>
            <w:tcW w:type="dxa" w:w="2808"/>
          </w:tcPr>
          <w:p>
            <w:pPr>
              <w:spacing w:after="40"/>
            </w:pPr>
            <w:r/>
            <w:r>
              <w:rPr>
                <w:rFonts w:ascii="Consolas" w:hAnsi="Consolas"/>
                <w:sz w:val="17"/>
              </w:rPr>
              <w:t>ui/views/</w:t>
            </w:r>
          </w:p>
        </w:tc>
        <w:tc>
          <w:tcPr>
            <w:tcW w:type="dxa" w:w="5976"/>
          </w:tcPr>
          <w:p>
            <w:pPr>
              <w:spacing w:after="40"/>
            </w:pPr>
            <w:r/>
            <w:r>
              <w:rPr>
                <w:sz w:val="18"/>
              </w:rPr>
              <w:t>Ingest, Search, Taxonomy and Reports views</w:t>
            </w:r>
          </w:p>
        </w:tc>
      </w:tr>
    </w:tbl>
    <w:p>
      <w:pPr>
        <w:spacing w:after="40"/>
      </w:pPr>
    </w:p>
    <w:p/>
    <w:p>
      <w:pPr>
        <w:jc w:val="center"/>
      </w:pPr>
      <w:r>
        <w:rPr>
          <w:i/>
          <w:sz w:val="18"/>
        </w:rPr>
        <w:t>End of guide — see README.md for the same material in brief, and build/README_BUILD.md for packaging detail.</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