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6 October 2026  |  Research tool, not financial advice</w:t>
      </w:r>
    </w:p>
    <w:p>
      <w:pPr>
        <w:pStyle w:val="Heading1"/>
      </w:pPr>
      <w:r>
        <w:t xml:space="preserve">1. Executive Summary</w:t>
      </w:r>
    </w:p>
    <w:p>
      <w:pPr>
        <w:spacing w:after="120"/>
      </w:pPr>
      <w:r>
        <w:t xml:space="preserve">This document sets out every rule applied by the ASX Value Screener, a research tool for shares listed on the Australian Securities Exchange (ASX),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ASX-listed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capital gains tax (CGT) timing.</w:t>
      </w:r>
    </w:p>
    <w:p>
      <w:pPr>
        <w:pStyle w:val="ListParagraph"/>
        <w:numPr>
          <w:ilvl w:val="0"/>
          <w:numId w:val="2"/>
        </w:numPr>
        <w:spacing w:after="60"/>
      </w:pPr>
      <w:r>
        <w:rPr>
          <w:b/>
          <w:bCs/>
        </w:rPr>
        <w:t xml:space="preserve">Shows the results in a browser</w:t>
      </w:r>
      <w:r>
        <w:t xml:space="preserve"> on your PC or phone: a filterable screener and a page per company with a score wheel built from 30 named checks.</w:t>
      </w:r>
    </w:p>
    <w:p>
      <w:pPr>
        <w:spacing w:after="120"/>
      </w:pPr>
      <w:r>
        <w:t xml:space="preserve">Every rule is deliberately simple and explainable. The outputs are research prompts to direct attention, not buy or sell instructions.</w:t>
      </w:r>
    </w:p>
    <w:p>
      <w:pPr>
        <w:spacing w:after="120"/>
      </w:pPr>
      <w:r>
        <w:t xml:space="preserve">Acronyms are spelled out at first use and listed, with other key terms, in Appendix A: Glossary.</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model or a dividend discount model (DDM),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return on equity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 (yes) or N (no)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real estate investment trusts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seven steps in order: apply any database schema updates, ingest prices and financials, collect ETF prices and distributions and, once a month, the ASX's ETF report (section 11.7), recalculate every valuation, record that night's signals for the track record, score earlier signals whose 1, 3, 6 or 12 months have passed (section 11.4),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reports only, one per financial year (FY).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FY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Ordinary dividends per share for each financial year: the twelve months of ex-dividend dates ending four months after the balance date, capturing the interim paid during the year and the final paid after it. If those four months have not passed yet, the twelve months to today are used.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Abnormal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payment more than twice the company's typical annual dividend (the median twelve-month total of its other payments within three years) is excluded from every dividend figure and stored separately. Needs at least two comparable payments. The web interface shows any excluded amount.</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earnings per share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Currency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statements published in another currency (US dollars for most large miners, New Zealand dollars for NZ listings) are converted into the share price's currency at the exchange rate on each report's balance date. Dividends are already in the share price's currency and are not converted. If no exchange rate is available, that company's statements are not updated for the day rather than stored in the wrong currency.</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(FCF)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price-to-earnings ratio (P/E) of 15 and a price-to-book ratio (P/B) of 1.5. Blank when EPS or book value is zero or negative. A price below it means the share meets both of Graham's limits at once. It is not used in the four value tests or the suggested action; it is one of the six Value checks in the score wheel (section 11.2). Because it ignores growth, it understates companies with few physical assets, such as software businesses.</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(FCF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(EV) ÷ earnings before interest and tax (EBIT), where EV = market capitalisation + total debt − cash</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multiple that is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(ROIC),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 Uses ordinary dividends only (see section 3).</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(yes) or N (no)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closing price, market capitalisation,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2"/>
      </w:pPr>
      <w:r>
        <w:t xml:space="preserve">Short-selling caution (not a red flag)</w:t>
      </w:r>
    </w:p>
    <w:p>
      <w:pPr>
        <w:spacing w:after="120"/>
      </w:pPr>
      <w:r>
        <w:t xml:space="preserve">Heavily shorted shares are volatile, so Sift adds a caution to the reason but never changes the action: a BUY stays a BUY. It uses ASIC's daily short positions (about four business days behind) and the two measures professional short-interest services report: short interest (shares sold short / shares on issue) and days to cover (shares sold short / average daily volume over the 20 trading days to the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4144"/>
        <w:gridCol w:w="4145"/>
      </w:tblGrid>
      <w:tr>
        <w:trPr>
          <w:tblHeader/>
        </w:trPr>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Level</w:t>
            </w:r>
          </w:p>
        </w:tc>
        <w:tc>
          <w:tcPr>
            <w:tcW w:type="dxa" w:w="4144"/>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14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HIGH</w:t>
            </w:r>
          </w:p>
        </w:tc>
        <w:tc>
          <w:tcPr>
            <w:tcW w:type="dxa" w:w="4144"/>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short_percent at or above 10%, or at or above 5% with days_to_cover at or above 10</w:t>
            </w:r>
          </w:p>
        </w:tc>
        <w:tc>
          <w:tcPr>
            <w:tcW w:type="dxa" w:w="414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caution: heavily shorted (X% of shares sold short, Y days to cover): expect sharp price swings; keep any position small</w:t>
            </w:r>
          </w:p>
        </w:tc>
      </w:tr>
      <w:tr>
        <w:trPr>
          <w:cantSplit/>
        </w:trPr>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ELEVATED</w:t>
            </w:r>
          </w:p>
        </w:tc>
        <w:tc>
          <w:tcPr>
            <w:tcW w:type="dxa" w:w="4144"/>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short_percent at or above 5%, or at or above 2% with days_to_cover at or above 5 or short_change up 2 points or more in a month</w:t>
            </w:r>
          </w:p>
        </w:tc>
        <w:tc>
          <w:tcPr>
            <w:tcW w:type="dxa" w:w="414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caution: shorted (X% of shares sold short, Y days to cover): expect bigger price swings than usual</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ACCUMULATE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with no red flags: the same bar as BUY for a share you do not own, so consider adding.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Otherwise: no red flags, but fails one or more value tests (named in the reason), so not a candidate to add to.</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 The note never appears on ACCUMULATE or HOLD, since neither suggests selling.</w:t>
      </w:r>
    </w:p>
    <w:p>
      <w:pPr>
        <w:pStyle w:val="Heading2"/>
      </w:pPr>
      <w:r>
        <w:t xml:space="preserve">10.3 Report order</w:t>
      </w:r>
    </w:p>
    <w:p>
      <w:pPr>
        <w:spacing w:after="120"/>
      </w:pPr>
      <w:r>
        <w:t xml:space="preserve">The action report groups companies as SELL, REVIEW, ACCUMULATE, HOLD, BUY, INVESTIGATE, WATCH and AVOID, sorted by margin of safety within each group. IGNORE is counted only.</w:t>
      </w:r>
    </w:p>
    <w:p>
      <w:pPr>
        <w:pStyle w:val="Heading1"/>
      </w:pPr>
      <w:r>
        <w:t xml:space="preserve">11. Web Interface (Sift)</w:t>
      </w:r>
    </w:p>
    <w:p>
      <w:pPr>
        <w:spacing w:after="120"/>
      </w:pPr>
      <w:r>
        <w:t xml:space="preserve">Sift is the browser interface to the screener. It shows the same results as the command-line tools, plus the displays below.</w:t>
      </w:r>
    </w:p>
    <w:p>
      <w:pPr>
        <w:pStyle w:val="Heading2"/>
      </w:pPr>
      <w:r>
        <w:t xml:space="preserve">11.1 Valuation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Status</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Undervalued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20% (passes the margin of safety value test).</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Fair value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 from 0% to 20%.</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below 0%: the price is above estimated value.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estimate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valuation model could run, so there is no margin of safety.</w:t>
            </w:r>
          </w:p>
        </w:tc>
      </w:tr>
    </w:tbl>
    <w:p>
      <w:pPr>
        <w:spacing w:after="160" w:before="60"/>
      </w:pPr>
      <w:r>
        <w:rPr>
          <w:i/>
          <w:iCs/>
          <w:color w:val="555555"/>
          <w:sz w:val="18"/>
          <w:szCs w:val="18"/>
        </w:rPr>
        <w:t xml:space="preserve">Implied upside, shown on each company page, is (estimated value - price) / price. It differs from margin of safety, which divides by estimated value: a 40% margin of safety is a 67% implied upside.</w:t>
      </w:r>
    </w:p>
    <w:p>
      <w:pPr>
        <w:pStyle w:val="Heading2"/>
      </w:pPr>
      <w:r>
        <w:t xml:space="preserve">11.2 Score wheel</w:t>
      </w:r>
    </w:p>
    <w:p>
      <w:pPr>
        <w:spacing w:after="120"/>
      </w:pPr>
      <w:r>
        <w:t xml:space="preserve">The web interface's company page summarises each company on a five-spoke score wheel, similar in style to Simply Wall St. Each spoke counts how many of six yes/no checks the company passes, so its score runs from 0 to 6 and every point traces to a named rule.</w:t>
      </w:r>
    </w:p>
    <w:p>
      <w:pPr>
        <w:pStyle w:val="ListParagraph"/>
        <w:numPr>
          <w:ilvl w:val="0"/>
          <w:numId w:val="2"/>
        </w:numPr>
        <w:spacing w:after="60"/>
      </w:pPr>
      <w:r>
        <w:t xml:space="preserve">A check with missing data shows as no data and never counts as a pass.</w:t>
      </w:r>
    </w:p>
    <w:p>
      <w:pPr>
        <w:pStyle w:val="ListParagraph"/>
        <w:numPr>
          <w:ilvl w:val="0"/>
          <w:numId w:val="2"/>
        </w:numPr>
        <w:spacing w:after="60"/>
      </w:pPr>
      <w:r>
        <w:t xml:space="preserve">Thresholds reuse the screener's own wherever one exists, so the wheel cannot contradict the value tests or markers.</w:t>
      </w:r>
    </w:p>
    <w:p>
      <w:pPr>
        <w:pStyle w:val="ListParagraph"/>
        <w:numPr>
          <w:ilvl w:val="0"/>
          <w:numId w:val="2"/>
        </w:numPr>
        <w:spacing w:after="60"/>
      </w:pPr>
      <w:r>
        <w:t xml:space="preserve">The wheel describes a company; it does not decide anything. The suggested action still comes only from the rules in section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000"/>
      </w:tblGrid>
      <w:tr>
        <w:trPr>
          <w:tblHeader/>
        </w:trPr>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Spoke</w:t>
            </w:r>
          </w:p>
        </w:tc>
        <w:tc>
          <w:tcPr>
            <w:tcW w:type="dxa" w:w="80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The six checks (one point each)</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0%; above 20%; above 40%. P/E between 0 and 15. P/B between 0 and 1.5. Price below the Graham Number.</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Performance</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12%; above 20%. ROIC above 10%. fundamentals_trend not DECLINING. earnings_quality STRONG or ADEQUATE; STRONG.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Health</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 to equity below 0.8; below 0.4. Cash at least equal to total debt. Positive shareholders' equity. Positive free cash flow. Positive net profit.</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Pays a dividend. Grossed-up yield above 4.5%; above 6%. Payout ratio 100% or less. dividend_trend STEADY or GROWING; GROWING.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UPTREND. Not making new 52-week lows. In the upper half of the 52-week range. margin_of_safety_trend above zero; momentum_ok = Y. fundamentals_trend IMPROVING.</w:t>
            </w:r>
          </w:p>
        </w:tc>
      </w:tr>
    </w:tbl>
    <w:p>
      <w:pPr>
        <w:spacing w:after="160" w:before="60"/>
      </w:pPr>
      <w:r>
        <w:rPr>
          <w:i/>
          <w:iCs/>
          <w:color w:val="555555"/>
          <w:sz w:val="18"/>
          <w:szCs w:val="18"/>
        </w:rPr>
        <w:t xml:space="preserve">A semicolon separates two thresholds on the same measure, for example ROE above 12% and ROE above 20% are two separate checks.</w:t>
      </w:r>
    </w:p>
    <w:p>
      <w:pPr>
        <w:pStyle w:val="Heading2"/>
      </w:pPr>
      <w:r>
        <w:t xml:space="preserve">11.3 Dashboard</w:t>
      </w:r>
    </w:p>
    <w:p>
      <w:pPr>
        <w:spacing w:after="120"/>
      </w:pPr>
      <w:r>
        <w:t xml:space="preserve">Sift opens on a dashboard that applies the following rules. It reads the same results as the screener; it adds no new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Panel</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 date</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of the latest valuations. Shown as out of date when it is older than the previous weekday's close (so Friday's data stays current over the weekend; a public holiday also shows as out of date). Also flagged when the last nightly run crashed or did not finish. Individual companies that could not be updated are reported but not flagged, as a few occur most nights.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Value is units held multiplied by the latest close. Today's change compares the two latest closes. Unrealised gain is value less cost base, before tax.</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Needs attention</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Held shares with a SELL or REVIEW action, parcels that reach the CGT discount within 90 days, held shares missing from the nightly ticker file, and watchlist entries whose trigger is met (section 11.5).</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changed</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Companies whose suggested action moved between the latest two nights of recorded signals, ranked BUY and ACCUMULATE, then INVESTIGATE, then WATCH and HOLD, then REVIEW and IGNORE, then AVOID and SELL. A move within the same rank, or one caused by buying or selling the shares, is not listed. Companies on a watchlist are listed first, then better moves first.</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Top opportunities</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Up to six shares you do not hold: BUY first, then INVESTIGATE, each ordered by score wheel total and then margin of safety.</w:t>
            </w:r>
          </w:p>
        </w:tc>
      </w:tr>
    </w:tbl>
    <w:p>
      <w:pPr>
        <w:spacing w:after="160" w:before="60"/>
      </w:pPr>
      <w:r>
        <w:rPr>
          <w:i/>
          <w:iCs/>
          <w:color w:val="555555"/>
          <w:sz w:val="18"/>
          <w:szCs w:val="18"/>
        </w:rPr>
        <w:t xml:space="preserve">The menu bar's Markets links open the ASX, the ASX exchange traded fund (ETF) directory, the New York Stock Exchange (NYSE) and Nasdaq websites.</w:t>
      </w:r>
    </w:p>
    <w:p>
      <w:pPr>
        <w:pStyle w:val="Heading2"/>
      </w:pPr>
      <w:r>
        <w:t xml:space="preserve">11.4 Track record recording</w:t>
      </w:r>
    </w:p>
    <w:p>
      <w:pPr>
        <w:spacing w:after="120"/>
      </w:pPr>
      <w:r>
        <w:t xml:space="preserve">To test whether the suggestions work, every night Sift records what it said about each screened company: its signal. The record is the basis for measuring accuracy, and follows these rules.</w:t>
      </w:r>
    </w:p>
    <w:p>
      <w:pPr>
        <w:pStyle w:val="ListParagraph"/>
        <w:numPr>
          <w:ilvl w:val="0"/>
          <w:numId w:val="2"/>
        </w:numPr>
        <w:spacing w:after="60"/>
      </w:pPr>
      <w:r>
        <w:rPr>
          <w:b/>
          <w:bCs/>
        </w:rPr>
        <w:t xml:space="preserve">Never edited.</w:t>
      </w:r>
      <w:r>
        <w:t xml:space="preserve"> A night once recorded is kept exactly as it was, so later rule changes cannot rewrite what was said at the time.</w:t>
      </w:r>
    </w:p>
    <w:p>
      <w:pPr>
        <w:pStyle w:val="ListParagraph"/>
        <w:numPr>
          <w:ilvl w:val="0"/>
          <w:numId w:val="2"/>
        </w:numPr>
        <w:spacing w:after="60"/>
      </w:pPr>
      <w:r>
        <w:rPr>
          <w:b/>
          <w:bCs/>
        </w:rPr>
        <w:t xml:space="preserve">Dated by the valuation.</w:t>
      </w:r>
      <w:r>
        <w:t xml:space="preserve"> Each signal carries the closing price and date its valuation used.</w:t>
      </w:r>
    </w:p>
    <w:p>
      <w:pPr>
        <w:pStyle w:val="ListParagraph"/>
        <w:numPr>
          <w:ilvl w:val="0"/>
          <w:numId w:val="2"/>
        </w:numPr>
        <w:spacing w:after="60"/>
      </w:pPr>
      <w:r>
        <w:rPr>
          <w:b/>
          <w:bCs/>
        </w:rPr>
        <w:t xml:space="preserve">Out-of-date valuations are skipped.</w:t>
      </w:r>
      <w:r>
        <w:t xml:space="preserve"> If a company's valuation failed that night, no signal is recorded for it rather than pairing an old estimate with a new price.</w:t>
      </w:r>
    </w:p>
    <w:p>
      <w:pPr>
        <w:pStyle w:val="ListParagraph"/>
        <w:numPr>
          <w:ilvl w:val="0"/>
          <w:numId w:val="2"/>
        </w:numPr>
        <w:spacing w:after="60"/>
      </w:pPr>
      <w:r>
        <w:rPr>
          <w:b/>
          <w:bCs/>
        </w:rPr>
        <w:t xml:space="preserve">Rules version.</w:t>
      </w:r>
      <w:r>
        <w:t xml:space="preserve"> Each signal records the date the screening rules last changed, so each version of the rules is judged on its own results.</w:t>
      </w:r>
    </w:p>
    <w:p>
      <w:pPr>
        <w:pStyle w:val="ListParagraph"/>
        <w:numPr>
          <w:ilvl w:val="0"/>
          <w:numId w:val="2"/>
        </w:numPr>
        <w:spacing w:after="60"/>
      </w:pPr>
      <w:r>
        <w:rPr>
          <w:b/>
          <w:bCs/>
        </w:rPr>
        <w:t xml:space="preserve">Forward only.</w:t>
      </w:r>
      <w:r>
        <w:t xml:space="preserve"> Results are measured from the first night recorded; past signals are not reconstructed, because today's data would flatter them.</w:t>
      </w:r>
    </w:p>
    <w:p>
      <w:pPr>
        <w:spacing w:after="120"/>
      </w:pPr>
      <w:r>
        <w:t xml:space="preserve">Signals are then scored as follows.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Signals scored</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company's first signal of each month, so a company that stays BUY all month counts once. Nights when a company's action changed are scored too, but kept out of the monthly results.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Periods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3, 6 and 12 months after the signal, once prices reach that date.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 at the end of the period + every dividend paid in it, one-offs included − price at the signal) ÷ price at the signal.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Benchmark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total return, over the same period, of every company screened on the night of the signal.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Excess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 minus the benchmark, in percentage points. A BUY, ACCUMULATE or INVESTIGATE call is right when this is above zero; an AVOID or SELL call is right when it is below zero.</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Delisted companies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 with no price within 10 days of the period's end is scored at its last price, so failures stay in the record.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Confidence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Too early with fewer than 30 signals; moderate from 30 to 100; solid above 100.</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Order check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 should beat WATCH, and WATCH should beat AVOID, on average excess return. Judged only once each has 30 signals. If not, the rules need review.</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Missed opportunity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BUY or INVESTIGATE call on a share you did not hold and did not buy within 30 days, which beat the average by more than 10 points.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Money saved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 AVOID call on a share you did not hold, or a SELL call on one you did, which trailed the average by more than 10 points.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actionable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signals of an action that has beaten the average at 3 months with at least moderate confidence, while the share is still more than 20% below estimated value. Until an action is proven, BUY signals are shown on the rules' own terms.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Retention</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Daily signals and their results are kept for 14 whole months. A summary per month, action, period and rules version is kept permanently.</w:t>
            </w:r>
          </w:p>
        </w:tc>
      </w:tr>
    </w:tbl>
    <w:p>
      <w:pPr>
        <w:pStyle w:val="Heading2"/>
      </w:pPr>
      <w:r>
        <w:t xml:space="preserve">11.5 Watchlists</w:t>
      </w:r>
    </w:p>
    <w:p>
      <w:pPr>
        <w:spacing w:after="120"/>
      </w:pPr>
      <w:r>
        <w:t xml:space="preserve">Watchlists are named lists of companies and ETFs to follow without owning them. Only companies Sift values, and ETFs it follows, can be added. Each entry can carry a note and triggers.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67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Met while</w:t>
            </w:r>
          </w:p>
        </w:tc>
      </w:tr>
      <w:tr>
        <w:trPr>
          <w:cantSplit/>
        </w:trPr>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X%</w:t>
            </w:r>
          </w:p>
        </w:tc>
        <w:tc>
          <w:tcPr>
            <w:tcW w:type="dxa" w:w="67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company's current margin of safety is strictly above X. X may be negative.</w:t>
            </w:r>
          </w:p>
        </w:tc>
      </w:tr>
      <w:tr>
        <w:trPr>
          <w:cantSplit/>
        </w:trPr>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at or below $Y</w:t>
            </w:r>
          </w:p>
        </w:tc>
        <w:tc>
          <w:tcPr>
            <w:tcW w:type="dxa" w:w="67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latest closing price is at or below Y. Y must be above zero.</w:t>
            </w:r>
          </w:p>
        </w:tc>
      </w:tr>
      <w:tr>
        <w:trPr>
          <w:cantSplit/>
        </w:trPr>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Yield above X% (ETFs only)</w:t>
            </w:r>
          </w:p>
        </w:tc>
        <w:tc>
          <w:tcPr>
            <w:tcW w:type="dxa" w:w="67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ETF's 12-month distribution yield is strictly above X. Margin of safety triggers are for shares only.</w:t>
            </w:r>
          </w:p>
        </w:tc>
      </w:tr>
    </w:tbl>
    <w:p>
      <w:pPr>
        <w:pStyle w:val="ListParagraph"/>
        <w:numPr>
          <w:ilvl w:val="0"/>
          <w:numId w:val="2"/>
        </w:numPr>
        <w:spacing w:after="60"/>
      </w:pPr>
      <w:r>
        <w:t xml:space="preserve">A trigger is a live condition, not an alert: it shows while it is true and disappears when it stops being true.</w:t>
      </w:r>
    </w:p>
    <w:p>
      <w:pPr>
        <w:pStyle w:val="ListParagraph"/>
        <w:numPr>
          <w:ilvl w:val="0"/>
          <w:numId w:val="2"/>
        </w:numPr>
        <w:spacing w:after="60"/>
      </w:pPr>
      <w:r>
        <w:t xml:space="preserve">A company with no current valuation or price meets neither trigger.</w:t>
      </w:r>
    </w:p>
    <w:p>
      <w:pPr>
        <w:pStyle w:val="ListParagraph"/>
        <w:numPr>
          <w:ilvl w:val="0"/>
          <w:numId w:val="2"/>
        </w:numPr>
        <w:spacing w:after="60"/>
      </w:pPr>
      <w:r>
        <w:t xml:space="preserve">Watchlists are separate from the nightly ticker file, which decides which companies are valued at all.</w:t>
      </w:r>
    </w:p>
    <w:p>
      <w:pPr>
        <w:pStyle w:val="Heading2"/>
      </w:pPr>
      <w:r>
        <w:t xml:space="preserve">11.6 Admin console and what-if scenarios</w:t>
      </w:r>
    </w:p>
    <w:p>
      <w:pPr>
        <w:spacing w:after="120"/>
      </w:pPr>
      <w:r>
        <w:t xml:space="preserve">Every threshold and assumption in this document is held in one place in the code (29 settings in four groups: valuation models, value tests, markers and actions, and the score wheel). The admin console shows each with its live value, allowed range, formula and where it is used, linked to its Help entry.</w:t>
      </w:r>
    </w:p>
    <w:p>
      <w:pPr>
        <w:pStyle w:val="ListParagraph"/>
        <w:numPr>
          <w:ilvl w:val="0"/>
          <w:numId w:val="2"/>
        </w:numPr>
        <w:spacing w:after="60"/>
      </w:pPr>
      <w:r>
        <w:rPr>
          <w:b/>
          <w:bCs/>
        </w:rPr>
        <w:t xml:space="preserve">Show workings.</w:t>
      </w:r>
      <w:r>
        <w:t xml:space="preserve"> Each company page can show every figure step by step, from the cash flow or dividend base through the projection and discounting to estimated value, margin of safety, each test and each marker, with a sensitivity grid of estimated value across discount and growth rates.</w:t>
      </w:r>
    </w:p>
    <w:p>
      <w:pPr>
        <w:pStyle w:val="ListParagraph"/>
        <w:numPr>
          <w:ilvl w:val="0"/>
          <w:numId w:val="2"/>
        </w:numPr>
        <w:spacing w:after="60"/>
      </w:pPr>
      <w:r>
        <w:rPr>
          <w:b/>
          <w:bCs/>
        </w:rPr>
        <w:t xml:space="preserve">What-if scenarios.</w:t>
      </w:r>
      <w:r>
        <w:t xml:space="preserve"> A scenario changes one or more settings and is run against today's data alongside the live settings, showing which companies' actions, valuation status or estimated value would change.</w:t>
      </w:r>
    </w:p>
    <w:p>
      <w:pPr>
        <w:pStyle w:val="ListParagraph"/>
        <w:numPr>
          <w:ilvl w:val="0"/>
          <w:numId w:val="2"/>
        </w:numPr>
        <w:spacing w:after="60"/>
      </w:pPr>
      <w:r>
        <w:rPr>
          <w:b/>
          <w:bCs/>
        </w:rPr>
        <w:t xml:space="preserve">Guard rails.</w:t>
      </w:r>
      <w:r>
        <w:t xml:space="preserve"> A scenario is refused if the discount rate is not above terminal growth, if ADEQUATE earnings quality is set above STRONG, or if a score wheel threshold is not stricter than its value test.</w:t>
      </w:r>
    </w:p>
    <w:p>
      <w:pPr>
        <w:pStyle w:val="ListParagraph"/>
        <w:numPr>
          <w:ilvl w:val="0"/>
          <w:numId w:val="2"/>
        </w:numPr>
        <w:spacing w:after="60"/>
      </w:pPr>
      <w:r>
        <w:rPr>
          <w:b/>
          <w:bCs/>
        </w:rPr>
        <w:t xml:space="preserve">Nothing live changes.</w:t>
      </w:r>
      <w:r>
        <w:t xml:space="preserve"> Scenarios are for exploring only. The nightly job, screener, actions and track record always use the live settings in this document; the margin of safety trend in a scenario stays at its live value.</w:t>
      </w:r>
    </w:p>
    <w:p>
      <w:pPr>
        <w:pStyle w:val="Heading2"/>
      </w:pPr>
      <w:r>
        <w:t xml:space="preserve">11.7 Exchange traded funds (ETFs)</w:t>
      </w:r>
    </w:p>
    <w:p>
      <w:pPr>
        <w:spacing w:after="120"/>
      </w:pPr>
      <w:r>
        <w:t xml:space="preserve">Every exchange traded product listed on the ASX is collected, but ETFs are not valued, tested, scored or tracked as companies: a fund has no cash flow or dividend policy of its own to value. They are judged on cost, size, distributions and performance.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 list and fund facts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From the ASX Investment Products report, monthly. Each night until last month's report is loaded, Sift looks in data/asx_reports and then on the ASX website. ETFs the newest report no longer lists are marked inactive; their history is kept. LICs and LITs are excluded.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Report columns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Matched by their headings (issuer, fee, fund size, flows, spread, yield, performance), not by position. The category is the section heading above each fund (for example Equity - Australia). Fractions written as plain numbers (0.0737 for 7.37%) are converted. Benchmark index rows, LICs, A-REITs and infrastructure funds are left out. Every column is also kept as written.</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 returns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report's 1-month and 1, 3 and 5-year returns come from Bloomberg with dividends reinvested gross, including franking credits. Each ETF's page shows them beside Sift's own cash-only returns.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Prices and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Yahoo Finance, nightly. The full history the first time an ETF is seen, then the last month. Closes are the prices actually traded (split-adjusted only); a split refetches the full history once.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One unit bought at the close on the start date, each distribution reinvested at the close on its ex-date (or the next close), valued at the latest close. 1, 3 and 6 months and 1 year as is; 3, 5 and 10 years and since first price (when over a year) as a yearly rate.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Missing periods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figure unless there is a close within 10 days of the period's start and end, so a fund younger than the period shows nothing.</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Trailing yield</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 distributions with ex-dates in the last 12 months, divided by the latest close. All distributions count, including year-end distributions of gains.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Check against the ASX</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Each month Sift's 1-year return at the report's month end is set beside the report's figure. A gap of more than 2 points is listed in the nightly log and noted on the ETF's page.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Category average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For each period, the plain average of the returns of the ETFs in the same ASX category that have a figure for it.</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Reference fund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largest other ETF by fund size in the same category, unless another is chosen on the ETF's page. Growth of $10,000 starts both funds on the same date.</w:t>
            </w:r>
          </w:p>
        </w:tc>
      </w:tr>
    </w:tbl>
    <w:p>
      <w:pPr>
        <w:pStyle w:val="Heading2"/>
      </w:pPr>
      <w:r>
        <w:t xml:space="preserve">11.8 Listed investment companies and trusts (LICs)</w:t>
      </w:r>
    </w:p>
    <w:p>
      <w:pPr>
        <w:spacing w:after="120"/>
      </w:pPr>
      <w:r>
        <w:t xml:space="preserve">LICs and LITs are listed funds with a fixed number of shares, so the share price can sit above or below the value of what they hold. Sift treats them as a third group, apart from shares and ETFs, judged on the share price against net tangible assets (NTA).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Source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LIC sheet of the ASX Investment Products report, monthly: type (LIC, LIT), category, fee, performance fee, market cap, pre-tax NTA and its date, the premium or discount at that date, yield and returns. Benchmark index rows are left out.</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reclassified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code already valued as a share that appears on the LIC sheet becomes an LIC: it leaves the share screener, suggested actions, scores and the track record.</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Premium or discount</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share price divided by the last reported NTA, less one. Until prices are stored, the report's own figure at the NTA date. Positive is a premium, negative a discount.</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Prices, dividends, returns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As for ETFs (section 11.7), fetched by the same nightly step; dividends are cash, before franking.</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Watchlist triggers</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at or below $Y; 12-month yield above X%; discount to NTA of at least X% (met while the premium is at or below minus X).</w:t>
            </w:r>
          </w:p>
        </w:tc>
      </w:tr>
    </w:tbl>
    <w:p>
      <w:pPr>
        <w:pStyle w:val="ListParagraph"/>
        <w:numPr>
          <w:ilvl w:val="0"/>
          <w:numId w:val="2"/>
        </w:numPr>
        <w:spacing w:after="60"/>
      </w:pPr>
      <w:r>
        <w:rPr>
          <w:b/>
          <w:bCs/>
        </w:rPr>
        <w:t xml:space="preserve">Presented apart from shares.</w:t>
      </w:r>
      <w:r>
        <w:t xml:space="preserve"> ETFs have their own screener and page per ETF, and their own section on the dashboard, in each portfolio (with its own subtotal) and in each watchlist. They never appear in the share screener, suggested actions, scores or the track record.</w:t>
      </w:r>
    </w:p>
    <w:p>
      <w:pPr>
        <w:pStyle w:val="Heading1"/>
      </w:pPr>
      <w:r>
        <w:t xml:space="preserve">12. Holdings and CGT Rules</w:t>
      </w:r>
    </w:p>
    <w:p>
      <w:pPr>
        <w:spacing w:after="120"/>
      </w:pPr>
      <w:r>
        <w:t xml:space="preserve">Holdings are recorded parcel by parcel, in the browser or at the command line, and each parcel belongs to a portfolio. The tax arithmetic follows the mechanical parts of the Australian Taxation Office (ATO) rules, with the capital gains tax (CGT) discount set by who owns the portfolio.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dividend reinvestment plan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named group of parcels with one owner. Every parcel belongs to exactly one portfolio, and a sale only draws on that portfolio's parcels. Parcels recorded before portfolios existed were moved into "My portfolio" (individual).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Set by the portfolio's tax type: individual 50%, trust 50%, self-managed super fund (SMSF) 33⅓%, company nil. Company parcels never wait for a discount date.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Archive and delete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portfolio can be archived once every parcel in it is sold; it then accepts no trades but keeps its sales in the CGT report. It can be deleted only while it has no sales, because sale records are kept for five years after each sale.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Corrections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Delete removes an open parcel entered by mistake. Undo reverses a sale: a portion split from a parcel that is still open goes back into it, restoring the original cost base.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losses offset non-discountable gains first, then discountable gains. The portfolio's discount applies to what remains of the discountable gains. Leftover losses are reported as unused. Each portfolio is reported separately.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First in, first out (FIFO): oldest parcel first; min-tax (lowest taxable gain per unit first, with losses first and discount-eligible gains reduced by the portfolio's discount); or a specific parcel.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Losses carried forward from earlier years, dividend income and franking credits, cost base adjustments for corporate actions, and moving parcels between portfolios (record an off-market transfer as a sale in one and a buy in the other).</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13.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listed investment companies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Currency movements.</w:t>
      </w:r>
      <w:r>
        <w:t xml:space="preserve"> Statements in other currencies are converted at each year's own exchange rate, so revenue growth is measured in Australian dollars and includes currency movements.</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p>
      <w:pPr>
        <w:pStyle w:val="ListParagraph"/>
        <w:numPr>
          <w:ilvl w:val="0"/>
          <w:numId w:val="2"/>
        </w:numPr>
        <w:spacing w:after="60"/>
      </w:pPr>
      <w:r>
        <w:rPr>
          <w:b/>
          <w:bCs/>
        </w:rPr>
        <w:t xml:space="preserve">Track record benchmark.</w:t>
      </w:r>
      <w:r>
        <w:t xml:space="preserve"> Signals are judged against the plain average of the screened companies, not a market index, so small companies count as much as large ones. Brokerage, tax and the timing of trades within a day are ignored, and results can only be measured forward from the first night recorded.</w:t>
      </w:r>
    </w:p>
    <w:p>
      <w:pPr>
        <w:pStyle w:val="ListParagraph"/>
        <w:numPr>
          <w:ilvl w:val="0"/>
          <w:numId w:val="2"/>
        </w:numPr>
        <w:spacing w:after="60"/>
      </w:pPr>
      <w:r>
        <w:rPr>
          <w:b/>
          <w:bCs/>
        </w:rPr>
        <w:t xml:space="preserve">Watchlist triggers.</w:t>
      </w:r>
      <w:r>
        <w:t xml:space="preserve"> A trigger is a live condition shown while it is true; nothing is sent, and a trigger met and lost between two visits is not recorded.</w:t>
      </w:r>
    </w:p>
    <w:p>
      <w:pPr>
        <w:pStyle w:val="ListParagraph"/>
        <w:numPr>
          <w:ilvl w:val="0"/>
          <w:numId w:val="2"/>
        </w:numPr>
        <w:spacing w:after="60"/>
      </w:pPr>
      <w:r>
        <w:rPr>
          <w:b/>
          <w:bCs/>
        </w:rPr>
        <w:t xml:space="preserve">Portfolios.</w:t>
      </w:r>
      <w:r>
        <w:t xml:space="preserve"> Parcels cannot be moved between portfolios: an off-market transfer is recorded as a sale in one and a buy in the other. Changing a portfolio's tax type re-rates the sales already recorded in it.</w:t>
      </w:r>
    </w:p>
    <w:p>
      <w:pPr>
        <w:pStyle w:val="Heading1"/>
        <w:pageBreakBefore/>
      </w:pPr>
      <w:r>
        <w:t xml:space="preserve">Appendix A: Glossary</w:t>
      </w:r>
    </w:p>
    <w:p>
      <w:pPr>
        <w:pStyle w:val="Heading2"/>
      </w:pPr>
      <w:r>
        <w:t xml:space="preserve">A.1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5591"/>
      </w:tblGrid>
      <w:tr>
        <w:trPr>
          <w:tblHeader/>
        </w:trPr>
        <w:tc>
          <w:tcPr>
            <w:tcW w:type="dxa" w:w="115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Acronym</w:t>
            </w:r>
          </w:p>
        </w:tc>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Full term</w:t>
            </w:r>
          </w:p>
        </w:tc>
        <w:tc>
          <w:tcPr>
            <w:tcW w:type="dxa" w:w="55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Meaning in this document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Australian Securities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Australia's main stock exchange. The companies screened are listed here.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ATO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Australian Taxation Office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Sets the capital gains tax rules applied to your holdings.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gains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Tax on the gain made when an asset, such as a share parcel, is sold.</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Discounted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that converts expected future free cash flows into today's dollars.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DDM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discount model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Valuation that converts expected future dividends into today's dollars. Used for financials and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DRP</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reinvestment plan</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dividend reinvestment plan (DRP) uses your cash dividend to buy new shares in the same company instead of paying it to your bank account, usually with no brokerage and sometimes at a small discount.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EBIT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 before interest and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profit before financing costs and tax.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EPS</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 per share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divided by shares on issue.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Exchange traded fund</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fund that trades on a stock exchange like a share, usually tracking an index.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plus debt minus cash: the value of the whole business.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cash flow less capital expenditure: the cash available to shareholders.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FIFO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First in, first out</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 that disposes of the oldest parcel first.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Funds under management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total value of the fund's investments, from the ASX report. Larger funds tend to trade more easily and are less likely to close.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company's annual reporting period. For tax purposes, 1 July to 30 June.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Listed investment company</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 ASX-listed company whose business is investing in other shares.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MER</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Management expense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fund's yearly cost as a percent of what you have invested, taken out of the fund's assets, so it's already reflected in the unit price and returns.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fails the test.</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NTA</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tangible assets</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an LIC's investments are worth per share, less its liabilities, as the company reports it each month. Pre-tax NTA is before tax on gains not yet realised.</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NYSE</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York Stock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largest stock exchange in the United States.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Price-to-book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price divided by book value per share.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Price-to-earnings ratio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price divided by EPS.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REIT</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Real estate investment trust</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listed trust that owns income-producing property.</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as a percentage of shareholders' equity.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as a percentage of debt plus equity, less cash.</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SMSF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Self-managed super fund</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superannuation fund run by its own members. Gets a 33⅓% CGT discount on assets held over 12 months.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Yes</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company passes the test.</w:t>
            </w:r>
          </w:p>
        </w:tc>
      </w:tr>
    </w:tbl>
    <w:p>
      <w:pPr>
        <w:spacing w:after="120"/>
      </w:pPr>
    </w:p>
    <w:p>
      <w:pPr>
        <w:pStyle w:val="Heading2"/>
      </w:pPr>
      <w:r>
        <w:t xml:space="preserve">A.2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Term</w:t>
            </w:r>
          </w:p>
        </w:tc>
        <w:tc>
          <w:tcPr>
            <w:tcW w:type="dxa" w:w="713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Definition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52-week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lowest to highest closing price over the past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200-day moving average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of the last 200 daily closing prices. A common gauge of the longer-term price trend.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Abnormal distribution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one-off payment more than twice the usual annual dividend, such as a capital return or a very large special dividend. Excluded from all dividend figures (see section 3).</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Accumulate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Add to a share you already hold. Suggested only when the share still meets the same standard as a new BUY.</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Analyst ratings</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many broker analysts rate a share strong buy, buy, hold, sell or strong sell, month by month, as collected by Yahoo Finance.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Appendix 3Y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director buying or selling their own company's shares, which ASX requires them to report within five business days on an Appendix 3Y, "Change of Director's Interest Notice".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Book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shareholders' equity from the balance sheet. Per share: equity divided by shares on issue.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sale value of a parcel less selling brokerage.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return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Money paid back to shareholders out of the company's capital rather than its profits, sometimes by cancelling a portion of shares. Not a dividend, though data feeds sometimes record it as one.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CGT discount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50% reduction in a capital gain for individuals and trusts on shares held for more than 12 months.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Coattail investing</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Coattail investing simply means letting the "smart money" do the heavy lifting, then copying their moves.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purchase value of a parcel plus buying brokerage.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rate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annual return required to justify the investment, used to convert future cash into today's dollars. 9% in this tool.</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to NTA</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far an LIC's share price sits above (premium) or below (discount) its net tangible assets per share. A discount means buying its investments for less than they're worth.</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Ex-dividend date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from which a buyer of the share no longer receives the next dividend. Used to assign each payment to a financial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Franking credit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credit for company tax already paid on a dividend, which Australian resident shareholders can offset against their own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Grossed-up yield</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yield including the value of franking credits.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Growth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fast a valuation model assumes cash flow (DCF) or dividends (DDM) grow each year for the first five years, before the terminal value takes over.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Implied upside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much the share price would need to rise to reach estimated value: (estimated value - price) / price.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estimated value of a share based on the cash it is expected to generate, independent of the market price.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far the share price sits below intrinsic value. A buffer against errors in the estimate.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 (into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widening margin of safety: the share is getting cheaper relative to its estimated value.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single acquisition of shares, tracked separately for tax.</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share of earnings paid out as dividends.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simple difference between two percentages. Moving from 20% to 25% is a rise of 5 percentage points.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target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share price analysts expect in about 12 months: the lowest, average, median and highest of their targets, as collected by Yahoo Finance.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Red flag</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condition that downgrades an otherwise attractive result (see section 9).</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Reporting currency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currency a company publishes its financial statements in, which can differ from the currency its shares trade in on the ASX.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Scenario</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named set of changed settings, run against today's data to see what would change, without changing anything live.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Score wheel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five-spoke chart in the web interface; each spoke counts how many of six yes/no checks a company passes (see section 11.2).</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registry</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that keeps a listed company's register of shareholders on its behalf: it records who owns the shares, pays dividends, runs the dividend reinvestment plan and sends holding statements.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total number of a company's shares held by investors.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Short selling</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Selling borrowed shares in the hope of buying them back cheaper later. A short seller profits if the price falls.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Signal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Sift said about a company on a given night: its suggested action, valuation status, estimated value and score, recorded for the track record (see section 11.4).</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Substantial holder</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 investor with 5% or more of a company's votes. They must tell ASX when they cross 5% (form 603, "Becoming a substantial holder"), when their stake moves by 1% or more (form 604, "Change in substantial holding") and when they fall below 5% (form 605, "Ceasing to be a substantial holder").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Terminal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value of all cash flows beyond the explicit forecast period, assuming steady growth thereafter.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gain over a period counting both the price change and every distribution, reinvested on its ex-date. Over a year, shown as a yearly rate.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Trailing yield</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distributions per unit with ex-dates in the last 12 months, as a percent of the latest unit price. Franking credits aren't included.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 trap</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share that looks cheap because its business is deteriorating, not because the market has mispriced it.</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Volume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number of a company's shares that changed hands on the day.</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2026-10-10T05:52:55.813Z</dcterms:created>
  <dcterms:modified xsi:type="dcterms:W3CDTF">2026-10-10T05:52:55.813Z</dcterms:modified>
</cp:coreProperties>
</file>

<file path=docProps/custom.xml><?xml version="1.0" encoding="utf-8"?>
<Properties xmlns="http://schemas.openxmlformats.org/officeDocument/2006/custom-properties" xmlns:vt="http://schemas.openxmlformats.org/officeDocument/2006/docPropsVTypes"/>
</file>