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2"/>
      </w:pPr>
      <w:r>
        <w:t xml:space="preserve">Short-selling caution (not a red flag)</w:t>
      </w:r>
    </w:p>
    <w:p>
      <w:pPr>
        <w:spacing w:after="120"/>
      </w:pPr>
      <w:r>
        <w:t xml:space="preserve">Heavily shorted shares are volatile, so Sift adds a caution to the reason but never changes the action: a BUY stays a BUY. It uses ASIC's daily short positions (about four business days behind) and the two measures professional short-interest services report: short interest (shares sold short / shares on issue) and days to cover (shares sold short / average daily volume over the 20 trading days to the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144"/>
        <w:gridCol w:w="4145"/>
      </w:tblGrid>
      <w:tr>
        <w:trPr>
          <w:tblHeader/>
        </w:trPr>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Level</w:t>
            </w:r>
          </w:p>
        </w:tc>
        <w:tc>
          <w:tcPr>
            <w:tcW w:type="dxa" w:w="414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14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HIGH</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short_percent at or above 10%, or at or above 5% with days_to_cover at or above 10</w:t>
            </w:r>
          </w:p>
        </w:tc>
        <w:tc>
          <w:tcPr>
            <w:tcW w:type="dxa" w:w="414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caution: heavily shorted (X% of shares sold short, Y days to cover): expect sharp price swings; keep any position small</w:t>
            </w:r>
          </w:p>
        </w:tc>
      </w:tr>
      <w:tr>
        <w:trPr>
          <w:cantSplit/>
        </w:trPr>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ELEVATED</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short_percent at or above 5%, or at or above 2% with days_to_cover at or above 5 or short_change up 2 points or more in a month</w:t>
            </w:r>
          </w:p>
        </w:tc>
        <w:tc>
          <w:tcPr>
            <w:tcW w:type="dxa" w:w="414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caution: shorted (X% of shares sold short, Y days to cover): expect bigger price swings than usual</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and ETFs to follow without owning them. Only companies Sift values, and ETFs it follows, can be added. Each entry can carry a note and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Yield above X% (ETFs only)</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ETF's 12-month distribution yield is strictly above X. Margin of safety triggers are for shares only.</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fee, fund size, flows, spread, yield, performance), not by position. The category is the section heading above each fund (for example Equity - Australia). Fractions written as plain numbers (0.0737 for 7.37%) are converted. Benchmark index rows, LICs, A-REITs and infrastructure funds are left out.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 returns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report's 1-month and 1, 3 and 5-year returns come from Bloomberg with dividends reinvested gross, including franking credits. Each ETF's page shows them beside Sift's own cash-only returns.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 and noted on the ETF's page.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Category average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period, the plain average of the returns of the ETFs in the same ASX category that have a figure for it.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Reference fund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other ETF by fund size in the same category, unless another is chosen on the ETF's page. Growth of $10,000 starts both funds on the same date.</w:t>
            </w:r>
          </w:p>
        </w:tc>
      </w:tr>
    </w:tbl>
    <w:p>
      <w:pPr>
        <w:pStyle w:val="Heading2"/>
      </w:pPr>
      <w:r>
        <w:t xml:space="preserve">11.8 Listed investment companies and trusts (LICs)</w:t>
      </w:r>
    </w:p>
    <w:p>
      <w:pPr>
        <w:spacing w:after="120"/>
      </w:pPr>
      <w:r>
        <w:t xml:space="preserve">LICs and LITs are listed funds with a fixed number of shares, so the share price can sit above or below the value of what they hold. Sift treats them as a third group, apart from shares and ETFs, judged on the share price against net tangible assets (NTA).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Source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LIC sheet of the ASX Investment Products report, monthly: type (LIC, LIT), category, fee, performance fee, market cap, pre-tax NTA and its date, the premium or discount at that date, yield and returns. Benchmark index rows are left out.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reclassified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code already valued as a share that appears on the LIC sheet becomes an LIC: it leaves the share screener, suggested actions, scores and the track record.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Premium or discount</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share price divided by the last reported NTA, less one. Until prices are stored, the report's own figure at the NTA date. Positive is a premium, negative a discount.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dividends, returns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As for ETFs (section 11.7), fetched by the same nightly step; dividends are cash, before franking.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Watchlist triggers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at or below $Y; 12-month yield above X%; discount to NTA of at least X% (met while the premium is at or below minus X).</w:t>
            </w:r>
          </w:p>
        </w:tc>
      </w:tr>
    </w:tbl>
    <w:p>
      <w:pPr>
        <w:pStyle w:val="ListParagraph"/>
        <w:numPr>
          <w:ilvl w:val="0"/>
          <w:numId w:val="2"/>
        </w:numPr>
        <w:spacing w:after="60"/>
      </w:pPr>
      <w:r>
        <w:rPr>
          <w:b/>
          <w:bCs/>
        </w:rPr>
        <w:t xml:space="preserve">Presented apart from shares.</w:t>
      </w:r>
      <w:r>
        <w:t xml:space="preserve"> ETFs have their own screener and page per ETF, and their own section on the dashboard, in each portfolio (with its own subtotal) and in each watchlist. They never appear in the share screener, suggested actions, scores or the track record.</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Statistics</w:t>
      </w:r>
    </w:p>
    <w:p>
      <w:pPr>
        <w:spacing w:after="120"/>
      </w:pPr>
      <w:r>
        <w:t xml:space="preserve">Three statistics put Sift's results into plain words. None of them changes an action, so none changes the rules version. They are recalculated each night (the Statistics step, after Track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734"/>
        <w:gridCol w:w="4144"/>
        <w:gridCol w:w="2122"/>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Statistic</w:t>
            </w:r>
          </w:p>
        </w:tc>
        <w:tc>
          <w:tcPr>
            <w:tcW w:type="dxa" w:w="173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Where</w:t>
            </w:r>
          </w:p>
        </w:tc>
        <w:tc>
          <w:tcPr>
            <w:tcW w:type="dxa" w:w="414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How it is worked out</w:t>
            </w:r>
          </w:p>
        </w:tc>
        <w:tc>
          <w:tcPr>
            <w:tcW w:type="dxa" w:w="212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Shown as</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each rule working?</w:t>
            </w:r>
          </w:p>
        </w:tc>
        <w:tc>
          <w:tcPr>
            <w:tcW w:type="dxa" w:w="173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Track record (Is Sift accurate?) and the dashboard</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action and period: the average excess return of its monthly calls against the average screened share, and a t-test at 95% (Student, 1908). The standard error is widened by the square root of the period in months, because calls a month apart overlap (Hansen and Hodrick, 1980). Judged from stats_min_calls calls (30).</w:t>
            </w:r>
          </w:p>
        </w:tc>
        <w:tc>
          <w:tcPr>
            <w:tcW w:type="dxa" w:w="212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Beating the average, Trailing the average, Too early to tell or Needs more calls; the chance it is luck as odds; a bar of the likely true edge</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Chance of reaching a price</w:t>
            </w:r>
          </w:p>
        </w:tc>
        <w:tc>
          <w:tcPr>
            <w:tcW w:type="dxa" w:w="173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Company page, under Price against estimated value</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Volatility = standard deviation of daily log returns over stats_years years (3) x sqrt(252). Chance of touching level L from price P within a year, no trend assumed: 2 x (1 - N(ln(L / P) / volatility)) (the reflection principle). Already reached when L &lt;= P.</w:t>
            </w:r>
          </w:p>
        </w:tc>
        <w:tc>
          <w:tcPr>
            <w:tcW w:type="dxa" w:w="212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Ten dots and words: Very unlikely, Unlikely, Possible, About even, Likely, Very likely (numbers in 10)</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Likely price range</w:t>
            </w:r>
          </w:p>
        </w:tc>
        <w:tc>
          <w:tcPr>
            <w:tcW w:type="dxa" w:w="173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Company page, share price chart</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 x e^(-volatility) to P x e^(+volatility) after 12 months, widening with the square root of time; about two years in three.</w:t>
            </w:r>
          </w:p>
        </w:tc>
        <w:tc>
          <w:tcPr>
            <w:tcW w:type="dxa" w:w="212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shaded range after Today, with a sentence</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Beta (kept for the crash test)</w:t>
            </w:r>
          </w:p>
        </w:tc>
        <w:tc>
          <w:tcPr>
            <w:tcW w:type="dxa" w:w="173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shown yet</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Slope of weekly log returns on an ASX 200 fund's (IOZ, else STW, A200 or VAS) over stats_years years (Sharpe, 1964; weekly as in Scholes and Williams, 1977).</w:t>
            </w:r>
          </w:p>
        </w:tc>
        <w:tc>
          <w:tcPr>
            <w:tcW w:type="dxa" w:w="212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AI tools and the graph export</w:t>
            </w:r>
          </w:p>
        </w:tc>
      </w:tr>
    </w:tbl>
    <w:p>
      <w:pPr>
        <w:spacing w:after="120"/>
      </w:pPr>
    </w:p>
    <w:p>
      <w:pPr>
        <w:pStyle w:val="Heading2"/>
      </w:pPr>
      <w:r>
        <w:t xml:space="preserve">13.1 Settings and fixed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047"/>
        <w:gridCol w:w="3471"/>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w:t>
            </w:r>
          </w:p>
        </w:tc>
        <w:tc>
          <w:tcPr>
            <w:tcW w:type="dxa" w:w="347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Adjustable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stats_min_calls</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30 calls before an action is judged</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 (Admin, Model and rules, Statistics)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stats_years</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 years of price history (at least one needed)</w:t>
            </w:r>
          </w:p>
        </w:tc>
        <w:tc>
          <w:tcPr>
            <w:tcW w:type="dxa" w:w="347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95% (19 times in 20)</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 fixed so a result can't be tuned until a rule passes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Overlap allowance</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Error x sqrt(months)</w:t>
            </w:r>
          </w:p>
        </w:tc>
        <w:tc>
          <w:tcPr>
            <w:tcW w:type="dxa" w:w="347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Benchmark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average screened share, total return</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 the track record's own</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model</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Random walk in the log price, no trend</w:t>
            </w:r>
          </w:p>
        </w:tc>
        <w:tc>
          <w:tcPr>
            <w:tcW w:type="dxa" w:w="347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Words for chances</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Six fixed words, numbers in 10</w:t>
            </w:r>
          </w:p>
        </w:tc>
        <w:tc>
          <w:tcPr>
            <w:tcW w:type="dxa" w:w="347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r>
    </w:tbl>
    <w:p>
      <w:pPr>
        <w:spacing w:after="160" w:before="60"/>
      </w:pPr>
      <w:r>
        <w:rPr>
          <w:i/>
          <w:iCs/>
          <w:color w:val="555555"/>
          <w:sz w:val="18"/>
          <w:szCs w:val="18"/>
        </w:rPr>
        <w:t xml:space="preserve">Ranges and chances describe how prices have moved. They know nothing about news, results or value, and real prices have fatter tails than the model (Mandelbrot, 1963). Full references: Help, The theory behind Sift's statistics, and the developer article Statistics.</w:t>
      </w:r>
    </w:p>
    <w:p>
      <w:pPr>
        <w:pStyle w:val="Heading1"/>
      </w:pPr>
      <w:r>
        <w:t xml:space="preserve">14.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dividend reinvestment plan (DRP) uses your cash dividend to buy new shares in the same company instead of paying it to your bank account, usually with no brokerage and sometimes at a small discount.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Funds under management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value of the fund's investments, from the ASX report. Larger funds tend to trade more easily and are less likely to close.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MER</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Management expense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fund's yearly cost as a percent of what you have invested, taken out of the fund's assets, so it's already reflected in the unit price and returns.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NTA</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tangible assets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an LIC's investments are worth per share, less its liabilities, as the company reports it each month. Pre-tax NTA is before tax on gains not yet realised.</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Analyst ratings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many broker analysts rate a share strong buy, buy, hold, sell or strong sell, month by month, as collected by Yahoo Finance.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Appendix 3Y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director buying or selling their own company's shares, which ASX requires them to report within five business days on an Appendix 3Y, "Change of Director's Interest Notice".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Chance of reaching a price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often a share whose price moves like this one's touches a level at least once within 12 months.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Coattail investing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Coattail investing simply means letting the "smart money" do the heavy lifting, then copying their moves.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to NTA</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an LIC's share price sits above (premium) or below (discount) its net tangible assets per share. A discount means buying its investments for less than they're worth.</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Likely price range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Where a share's price would end in a typical year, two years in three, given how much it usually moves.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target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price analysts expect in about 12 months: the lowest, average, median and highest of their targets, as collected by Yahoo Finance.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Rule reliability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Whether an action's calls beat (or trailed) the average screened share by more than luck would explain.</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registry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that keeps a listed company's register of shareholders on its behalf: it records who owns the shares, pays dividends, runs the dividend reinvestment plan and sends holding statements.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Short selling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Selling borrowed shares in the hope of buying them back cheaper later. A short seller profits if the price falls.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Statistics: theory and references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established methods behind Sift's rule verdicts, chances and likely ranges, with the work each comes from.</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Substantial holder</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investor with 5% or more of a company's votes. They must tell ASX when they cross 5% (form 603, "Becoming a substantial holder"), when their stake moves by 1% or more (form 604, "Change in substantial holding") and when they fall below 5% (form 605, "Ceasing to be a substantial holder").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gain over a period counting both the price change and every distribution, reinvested on its ex-date. Over a year, shown as a yearly rate.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Trailing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distributions per unit with ex-dates in the last 12 months, as a percent of the latest unit price. Franking credits aren't included.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Volatility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Volatility is how much a share's price usually moves in a year; beta is how much it tends to move when the market moves.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Volume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number of a company's shares that changed hands on the day.</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2026-10-10T10:39:31.316Z</dcterms:created>
  <dcterms:modified xsi:type="dcterms:W3CDTF">2026-10-10T10:39:31.322Z</dcterms:modified>
</cp:coreProperties>
</file>

<file path=docProps/custom.xml><?xml version="1.0" encoding="utf-8"?>
<Properties xmlns="http://schemas.openxmlformats.org/officeDocument/2006/custom-properties" xmlns:vt="http://schemas.openxmlformats.org/officeDocument/2006/docPropsVTypes"/>
</file>