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and ETFs to follow without owning them. Only companies Sift values, and ETFs it follows, can be added. Each entry can carry a note and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Yield above X% (ETFs only)</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ETF's 12-month distribution yield is strictly above X. Margin of safety triggers are for shares only.</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fee, fund size, flows, spread, yield, performance), not by position. The category is the section heading above each fund (for example Equity - Australia). Fractions written as plain numbers (0.0737 for 7.37%) are converted. Benchmark index rows, LICs, A-REITs and infrastructure funds are left out.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 returns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report's 1-month and 1, 3 and 5-year returns come from Bloomberg with dividends reinvested gross, including franking credits. Each ETF's page shows them beside Sift's own cash-only returns.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 and noted on the ETF's page.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Category average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period, the plain average of the returns of the ETFs in the same ASX category that have a figure for it.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Reference fund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other ETF by fund size in the same category, unless another is chosen on the ETF's page. Growth of $10,000 starts both funds on the same date.</w:t>
            </w:r>
          </w:p>
        </w:tc>
      </w:tr>
    </w:tbl>
    <w:p>
      <w:pPr>
        <w:pStyle w:val="Heading2"/>
      </w:pPr>
      <w:r>
        <w:t xml:space="preserve">11.8 Listed investment companies and trusts (LICs)</w:t>
      </w:r>
    </w:p>
    <w:p>
      <w:pPr>
        <w:spacing w:after="120"/>
      </w:pPr>
      <w:r>
        <w:t xml:space="preserve">LICs and LITs are listed funds with a fixed number of shares, so the share price can sit above or below the value of what they hold. Sift treats them as a third group, apart from shares and ETFs, judged on the share price against net tangible assets (NTA).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Source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LIC sheet of the ASX Investment Products report, monthly: type (LIC, LIT), category, fee, performance fee, market cap, pre-tax NTA and its date, the premium or discount at that date, yield and returns. Benchmark index rows are left out.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reclassified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code already valued as a share that appears on the LIC sheet becomes an LIC: it leaves the share screener, suggested actions, scores and the track record.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Premium or discount</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share price divided by the last reported NTA, less one. Until prices are stored, the report's own figure at the NTA date. Positive is a premium, negative a discount.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dividends, returns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As for ETFs (section 11.7), fetched by the same nightly step; dividends are cash, before franking.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Watchlist triggers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at or below $Y; 12-month yield above X%; discount to NTA of at least X% (met while the premium is at or below minus X).</w:t>
            </w:r>
          </w:p>
        </w:tc>
      </w:tr>
    </w:tbl>
    <w:p>
      <w:pPr>
        <w:pStyle w:val="ListParagraph"/>
        <w:numPr>
          <w:ilvl w:val="0"/>
          <w:numId w:val="2"/>
        </w:numPr>
        <w:spacing w:after="60"/>
      </w:pPr>
      <w:r>
        <w:rPr>
          <w:b/>
          <w:bCs/>
        </w:rPr>
        <w:t xml:space="preserve">Presented apart from shares.</w:t>
      </w:r>
      <w:r>
        <w:t xml:space="preserve"> ETFs have their own screener and page per ETF, and their own section on the dashboard, in each portfolio (with its own subtotal) and in each watchlist. They never appear in the share screener, suggested actions, scores or the track record.</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Funds under management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value of the fund's investments, from the ASX report. Larger funds tend to trade more easily and are less likely to close.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MER</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Management expense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fund's yearly cost as a percent of what you have invested, taken out of the fund's assets, so it's already reflected in the unit price and returns.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NTA</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tangible assets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an LIC's investments are worth per share, less its liabilities, as the company reports it each month. Pre-tax NTA is before tax on gains not yet realised.</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to NTA</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an LIC's share price sits above (premium) or below (discount) its net tangible assets per share. A discount means buying its investments for less than they're worth.</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return</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gain over a period counting both the price change and every distribution, reinvested on its ex-date. Over a year, shown as a yearly rate.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per unit with ex-dates in the last 12 months, as a percent of the latest unit price. Franking credits aren't included.</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2026-10-06T08:40:19.664Z</dcterms:created>
  <dcterms:modified xsi:type="dcterms:W3CDTF">2026-10-06T08:40:19.664Z</dcterms:modified>
</cp:coreProperties>
</file>

<file path=docProps/custom.xml><?xml version="1.0" encoding="utf-8"?>
<Properties xmlns="http://schemas.openxmlformats.org/officeDocument/2006/custom-properties" xmlns:vt="http://schemas.openxmlformats.org/officeDocument/2006/docPropsVTypes"/>
</file>