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ASX Value Screener</w:t>
      </w:r>
    </w:p>
    <w:p>
      <w:pPr>
        <w:spacing w:after="120"/>
      </w:pPr>
      <w:r>
        <w:rPr>
          <w:color w:val="404040"/>
          <w:sz w:val="30"/>
          <w:szCs w:val="30"/>
        </w:rPr>
        <w:t xml:space="preserve">Rules and Methodology Reference</w:t>
      </w:r>
    </w:p>
    <w:p>
      <w:pPr>
        <w:pBdr>
          <w:bottom w:val="single" w:color="1F3864" w:sz="8" w:space="6"/>
        </w:pBdr>
        <w:spacing w:after="240"/>
      </w:pPr>
      <w:r>
        <w:rPr>
          <w:color w:val="666666"/>
          <w:sz w:val="18"/>
          <w:szCs w:val="18"/>
        </w:rPr>
        <w:t xml:space="preserve">As at 5 October 2026  |  Research tool, not financial advice</w:t>
      </w:r>
    </w:p>
    <w:p>
      <w:pPr>
        <w:pStyle w:val="Heading1"/>
      </w:pPr>
      <w:r>
        <w:t xml:space="preserve">1. Executive Summary</w:t>
      </w:r>
    </w:p>
    <w:p>
      <w:pPr>
        <w:spacing w:after="120"/>
      </w:pPr>
      <w:r>
        <w:t xml:space="preserve">This document sets out every rule applied by the ASX Value Screener, a research tool for shares listed on the Australian Securities Exchange (ASX), from raw market data through to the suggested action for each company, so that any output can be traced back to a defined test and threshold.</w:t>
      </w:r>
    </w:p>
    <w:p>
      <w:pPr>
        <w:spacing w:after="120"/>
      </w:pPr>
      <w:r>
        <w:t xml:space="preserve">In short, the application:</w:t>
      </w:r>
    </w:p>
    <w:p>
      <w:pPr>
        <w:pStyle w:val="ListParagraph"/>
        <w:numPr>
          <w:ilvl w:val="0"/>
          <w:numId w:val="2"/>
        </w:numPr>
        <w:spacing w:after="60"/>
      </w:pPr>
      <w:r>
        <w:rPr>
          <w:b/>
          <w:bCs/>
        </w:rPr>
        <w:t xml:space="preserve">Values</w:t>
      </w:r>
      <w:r>
        <w:t xml:space="preserve"> around 500 ASX-listed companies every trading day using two-stage cash flow models, choosing the model to suit the sector.</w:t>
      </w:r>
    </w:p>
    <w:p>
      <w:pPr>
        <w:pStyle w:val="ListParagraph"/>
        <w:numPr>
          <w:ilvl w:val="0"/>
          <w:numId w:val="2"/>
        </w:numPr>
        <w:spacing w:after="60"/>
      </w:pPr>
      <w:r>
        <w:rPr>
          <w:b/>
          <w:bCs/>
        </w:rPr>
        <w:t xml:space="preserve">Tests</w:t>
      </w:r>
      <w:r>
        <w:t xml:space="preserve"> each company against four classic Graham/Buffett value criteria, showing a pass or fail for every company rather than filtering any out.</w:t>
      </w:r>
    </w:p>
    <w:p>
      <w:pPr>
        <w:pStyle w:val="ListParagraph"/>
        <w:numPr>
          <w:ilvl w:val="0"/>
          <w:numId w:val="2"/>
        </w:numPr>
        <w:spacing w:after="60"/>
      </w:pPr>
      <w:r>
        <w:rPr>
          <w:b/>
          <w:bCs/>
        </w:rPr>
        <w:t xml:space="preserve">Checks quality and direction</w:t>
      </w:r>
      <w:r>
        <w:t xml:space="preserve"> with trend fields and four decision markers, to separate genuine mispricing from value traps.</w:t>
      </w:r>
    </w:p>
    <w:p>
      <w:pPr>
        <w:pStyle w:val="ListParagraph"/>
        <w:numPr>
          <w:ilvl w:val="0"/>
          <w:numId w:val="2"/>
        </w:numPr>
        <w:spacing w:after="60"/>
      </w:pPr>
      <w:r>
        <w:rPr>
          <w:b/>
          <w:bCs/>
        </w:rPr>
        <w:t xml:space="preserve">Recommends a next step</w:t>
      </w:r>
      <w:r>
        <w:t xml:space="preserve"> for each company, with the reason, and assesses shares you hold separately, including capital gains tax (CGT) timing.</w:t>
      </w:r>
    </w:p>
    <w:p>
      <w:pPr>
        <w:pStyle w:val="ListParagraph"/>
        <w:numPr>
          <w:ilvl w:val="0"/>
          <w:numId w:val="2"/>
        </w:numPr>
        <w:spacing w:after="60"/>
      </w:pPr>
      <w:r>
        <w:rPr>
          <w:b/>
          <w:bCs/>
        </w:rPr>
        <w:t xml:space="preserve">Shows the results in a browser</w:t>
      </w:r>
      <w:r>
        <w:t xml:space="preserve"> on your PC or phone: a filterable screener and a page per company with a score wheel built from 30 named checks.</w:t>
      </w:r>
    </w:p>
    <w:p>
      <w:pPr>
        <w:spacing w:after="120"/>
      </w:pPr>
      <w:r>
        <w:t xml:space="preserve">Every rule is deliberately simple and explainable. The outputs are research prompts to direct attention, not buy or sell instructions.</w:t>
      </w:r>
    </w:p>
    <w:p>
      <w:pPr>
        <w:spacing w:after="120"/>
      </w:pPr>
      <w:r>
        <w:t xml:space="preserve">Acronyms are spelled out at first use and listed, with other key terms, in Appendix A: Glossary.</w:t>
      </w:r>
    </w:p>
    <w:p>
      <w:pPr>
        <w:pStyle w:val="Heading1"/>
      </w:pPr>
      <w:r>
        <w:t xml:space="preserve">2. Summary Methodology</w:t>
      </w:r>
    </w:p>
    <w:p>
      <w:pPr>
        <w:pStyle w:val="Heading2"/>
      </w:pPr>
      <w:r>
        <w:t xml:space="preserve">2.1 How a result is produced</w:t>
      </w:r>
    </w:p>
    <w:p>
      <w:pPr>
        <w:spacing w:after="120"/>
      </w:pPr>
      <w:r>
        <w:t xml:space="preserve">Each nightly run moves every company through seven stages. Each stage only uses the outputs of the stages before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5011"/>
        <w:gridCol w:w="3375"/>
      </w:tblGrid>
      <w:tr>
        <w:trPr>
          <w:tblHeader/>
        </w:trPr>
        <w:tc>
          <w:tcPr>
            <w:tcW w:type="dxa" w:w="1252"/>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Stage</w:t>
            </w:r>
          </w:p>
        </w:tc>
        <w:tc>
          <w:tcPr>
            <w:tcW w:type="dxa" w:w="5011"/>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What happens</w:t>
            </w:r>
          </w:p>
        </w:tc>
        <w:tc>
          <w:tcPr>
            <w:tcW w:type="dxa" w:w="3375"/>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Fields produced</w:t>
            </w:r>
          </w:p>
        </w:tc>
      </w:tr>
      <w:tr>
        <w:trPr>
          <w:cantSplit/>
        </w:trPr>
        <w:tc>
          <w:tcPr>
            <w:tcW w:type="dxa" w:w="125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1. Ingest</w:t>
            </w:r>
          </w:p>
        </w:tc>
        <w:tc>
          <w:tcPr>
            <w:tcW w:type="dxa" w:w="50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Daily closing prices and annual financial statements are pulled from Yahoo Finance, along with each company's country of domicile.</w:t>
            </w:r>
          </w:p>
        </w:tc>
        <w:tc>
          <w:tcPr>
            <w:tcW w:type="dxa" w:w="337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Prices, financial reports, company profile</w:t>
            </w:r>
          </w:p>
        </w:tc>
      </w:tr>
      <w:tr>
        <w:trPr>
          <w:cantSplit/>
        </w:trPr>
        <w:tc>
          <w:tcPr>
            <w:tcW w:type="dxa" w:w="125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2. Value</w:t>
            </w:r>
          </w:p>
        </w:tc>
        <w:tc>
          <w:tcPr>
            <w:tcW w:type="dxa" w:w="501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Intrinsic value per share is estimated with a discounted cash flow (DCF) model or a dividend discount model (DDM), depending on sector, and compared with the share price.</w:t>
            </w:r>
          </w:p>
        </w:tc>
        <w:tc>
          <w:tcPr>
            <w:tcW w:type="dxa" w:w="337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dcf_intrinsic_value, valuation_method, margin_of_safety_percent, graham_number</w:t>
            </w:r>
          </w:p>
        </w:tc>
      </w:tr>
      <w:tr>
        <w:trPr>
          <w:cantSplit/>
        </w:trPr>
        <w:tc>
          <w:tcPr>
            <w:tcW w:type="dxa" w:w="125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3. Measure</w:t>
            </w:r>
          </w:p>
        </w:tc>
        <w:tc>
          <w:tcPr>
            <w:tcW w:type="dxa" w:w="50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Profitability, leverage, valuation multiples and dividend yield are calculated from the latest annual report.</w:t>
            </w:r>
          </w:p>
        </w:tc>
        <w:tc>
          <w:tcPr>
            <w:tcW w:type="dxa" w:w="337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pe_ratio, pb_ratio, price_to_fcf, ev_to_ebit, roe, roic, debt_to_equity, yields, payout_ratio</w:t>
            </w:r>
          </w:p>
        </w:tc>
      </w:tr>
      <w:tr>
        <w:trPr>
          <w:cantSplit/>
        </w:trPr>
        <w:tc>
          <w:tcPr>
            <w:tcW w:type="dxa" w:w="125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4. Trend</w:t>
            </w:r>
          </w:p>
        </w:tc>
        <w:tc>
          <w:tcPr>
            <w:tcW w:type="dxa" w:w="501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Change in margin of safety over 30 days, and the direction of return on equity (ROE) and revenue over three years.</w:t>
            </w:r>
          </w:p>
        </w:tc>
        <w:tc>
          <w:tcPr>
            <w:tcW w:type="dxa" w:w="337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margin_of_safety_trend, fundamentals_trend</w:t>
            </w:r>
          </w:p>
        </w:tc>
      </w:tr>
      <w:tr>
        <w:trPr>
          <w:cantSplit/>
        </w:trPr>
        <w:tc>
          <w:tcPr>
            <w:tcW w:type="dxa" w:w="125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5. Quality</w:t>
            </w:r>
          </w:p>
        </w:tc>
        <w:tc>
          <w:tcPr>
            <w:tcW w:type="dxa" w:w="50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Four decision markers test cash backing of profit, price direction, dividend reliability and data completeness.</w:t>
            </w:r>
          </w:p>
        </w:tc>
        <w:tc>
          <w:tcPr>
            <w:tcW w:type="dxa" w:w="337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earnings_quality, price_signal, dividend_trend, data_confidence</w:t>
            </w:r>
          </w:p>
        </w:tc>
      </w:tr>
      <w:tr>
        <w:trPr>
          <w:cantSplit/>
        </w:trPr>
        <w:tc>
          <w:tcPr>
            <w:tcW w:type="dxa" w:w="125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6. Screen</w:t>
            </w:r>
          </w:p>
        </w:tc>
        <w:tc>
          <w:tcPr>
            <w:tcW w:type="dxa" w:w="501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Four pass/fail value tests, a momentum indicator, a value-trap indicator and six red flags.</w:t>
            </w:r>
          </w:p>
        </w:tc>
        <w:tc>
          <w:tcPr>
            <w:tcW w:type="dxa" w:w="337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mos_ok, roe_ok, de_ok, yield_ok, overall, momentum_ok, trap_risk</w:t>
            </w:r>
          </w:p>
        </w:tc>
      </w:tr>
      <w:tr>
        <w:trPr>
          <w:cantSplit/>
        </w:trPr>
        <w:tc>
          <w:tcPr>
            <w:tcW w:type="dxa" w:w="125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7. Act</w:t>
            </w:r>
          </w:p>
        </w:tc>
        <w:tc>
          <w:tcPr>
            <w:tcW w:type="dxa" w:w="50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rule-based action and plain-English reason. Shares you hold are assessed with a separate rule set that includes CGT timing.</w:t>
            </w:r>
          </w:p>
        </w:tc>
        <w:tc>
          <w:tcPr>
            <w:tcW w:type="dxa" w:w="337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action, reason</w:t>
            </w:r>
          </w:p>
        </w:tc>
      </w:tr>
    </w:tbl>
    <w:p>
      <w:pPr>
        <w:spacing w:after="120"/>
      </w:pPr>
    </w:p>
    <w:p>
      <w:pPr>
        <w:pStyle w:val="Heading2"/>
      </w:pPr>
      <w:r>
        <w:t xml:space="preserve">2.2 Design principles</w:t>
      </w:r>
    </w:p>
    <w:p>
      <w:pPr>
        <w:pStyle w:val="ListParagraph"/>
        <w:numPr>
          <w:ilvl w:val="0"/>
          <w:numId w:val="2"/>
        </w:numPr>
        <w:spacing w:after="60"/>
      </w:pPr>
      <w:r>
        <w:rPr>
          <w:b/>
          <w:bCs/>
        </w:rPr>
        <w:t xml:space="preserve">Show everything, hide nothing.</w:t>
      </w:r>
      <w:r>
        <w:t xml:space="preserve"> Every company appears with a Y (yes) or N (no) result per test, so you can see how close a company is to passing.</w:t>
      </w:r>
    </w:p>
    <w:p>
      <w:pPr>
        <w:pStyle w:val="ListParagraph"/>
        <w:numPr>
          <w:ilvl w:val="0"/>
          <w:numId w:val="2"/>
        </w:numPr>
        <w:spacing w:after="60"/>
      </w:pPr>
      <w:r>
        <w:rPr>
          <w:b/>
          <w:bCs/>
        </w:rPr>
        <w:t xml:space="preserve">Missing data never passes.</w:t>
      </w:r>
      <w:r>
        <w:t xml:space="preserve"> A blank value fails the test it feeds, so gaps cannot produce a false positive.</w:t>
      </w:r>
    </w:p>
    <w:p>
      <w:pPr>
        <w:pStyle w:val="ListParagraph"/>
        <w:numPr>
          <w:ilvl w:val="0"/>
          <w:numId w:val="2"/>
        </w:numPr>
        <w:spacing w:after="60"/>
      </w:pPr>
      <w:r>
        <w:rPr>
          <w:b/>
          <w:bCs/>
        </w:rPr>
        <w:t xml:space="preserve">Right model for the sector.</w:t>
      </w:r>
      <w:r>
        <w:t xml:space="preserve"> Banks, insurers and real estate investment trusts (REITs) are valued on dividends, because their free cash flow reflects balance-sheet movements rather than business performance.</w:t>
      </w:r>
    </w:p>
    <w:p>
      <w:pPr>
        <w:pStyle w:val="ListParagraph"/>
        <w:numPr>
          <w:ilvl w:val="0"/>
          <w:numId w:val="2"/>
        </w:numPr>
        <w:spacing w:after="60"/>
      </w:pPr>
      <w:r>
        <w:rPr>
          <w:b/>
          <w:bCs/>
        </w:rPr>
        <w:t xml:space="preserve">Blank is better than misleading.</w:t>
      </w:r>
      <w:r>
        <w:t xml:space="preserve"> Implausible results (for example a margin of safety beyond plus or minus 5,000%) are stored as blank rather than shown.</w:t>
      </w:r>
    </w:p>
    <w:p>
      <w:pPr>
        <w:pStyle w:val="ListParagraph"/>
        <w:numPr>
          <w:ilvl w:val="0"/>
          <w:numId w:val="2"/>
        </w:numPr>
        <w:spacing w:after="60"/>
      </w:pPr>
      <w:r>
        <w:rPr>
          <w:b/>
          <w:bCs/>
        </w:rPr>
        <w:t xml:space="preserve">Cheap is not enough.</w:t>
      </w:r>
      <w:r>
        <w:t xml:space="preserve"> A low price is always checked against the direction and quality of the underlying business before it can earn a BUY.</w:t>
      </w:r>
    </w:p>
    <w:p>
      <w:pPr>
        <w:pStyle w:val="ListParagraph"/>
        <w:numPr>
          <w:ilvl w:val="0"/>
          <w:numId w:val="2"/>
        </w:numPr>
        <w:spacing w:after="60"/>
      </w:pPr>
      <w:r>
        <w:rPr>
          <w:b/>
          <w:bCs/>
        </w:rPr>
        <w:t xml:space="preserve">Every action explains itself.</w:t>
      </w:r>
      <w:r>
        <w:t xml:space="preserve"> Fixed, published thresholds and a stated reason for every suggestion, rather than an opaque score.</w:t>
      </w:r>
    </w:p>
    <w:p>
      <w:pPr>
        <w:pStyle w:val="Heading2"/>
      </w:pPr>
      <w:r>
        <w:t xml:space="preserve">2.3 Daily operating cycle</w:t>
      </w:r>
    </w:p>
    <w:p>
      <w:pPr>
        <w:spacing w:after="120"/>
      </w:pPr>
      <w:r>
        <w:t xml:space="preserve">The scheduled job runs after ASX close (6:00 pm) and performs five steps in order: apply any database schema updates, ingest prices and financials, recalculate every valuation, record that night's signals for the track record (section 11.4), and produce the action report. Each step runs even if an earlier one has problems. Output is written to a timestamped log in the logs folder and kept for 30 days.</w:t>
      </w:r>
    </w:p>
    <w:p>
      <w:pPr>
        <w:pStyle w:val="Heading1"/>
      </w:pPr>
      <w:r>
        <w:t xml:space="preserve">3. Data Inputs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Item</w:t>
            </w:r>
          </w:p>
        </w:tc>
        <w:tc>
          <w:tcPr>
            <w:tcW w:type="dxa" w:w="722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Rule</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w:t>
            </w:r>
          </w:p>
        </w:tc>
        <w:tc>
          <w:tcPr>
            <w:tcW w:type="dxa" w:w="722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Latest daily closing price from Yahoo Finance.</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Financial statements</w:t>
            </w:r>
          </w:p>
        </w:tc>
        <w:tc>
          <w:tcPr>
            <w:tcW w:type="dxa" w:w="722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Annual reports only, one per financial year (FY). The latest FY report drives every ratio.</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Averaging window</w:t>
            </w:r>
          </w:p>
        </w:tc>
        <w:tc>
          <w:tcPr>
            <w:tcW w:type="dxa" w:w="722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three most recent FY reports, used for the valuation base, cash conversion and fundamentals trend. Years with missing values are skipped.</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 history</w:t>
            </w:r>
          </w:p>
        </w:tc>
        <w:tc>
          <w:tcPr>
            <w:tcW w:type="dxa" w:w="722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Up to the five most recent FY reports.</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Dividend per FY</w:t>
            </w:r>
          </w:p>
        </w:tc>
        <w:tc>
          <w:tcPr>
            <w:tcW w:type="dxa" w:w="722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Ordinary dividends per share for each financial year: the twelve months of ex-dividend dates ending four months after the balance date, capturing the interim paid during the year and the final paid after it. If those four months have not passed yet, the twelve months to today are used.</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Abnormal distributions</w:t>
            </w:r>
          </w:p>
        </w:tc>
        <w:tc>
          <w:tcPr>
            <w:tcW w:type="dxa" w:w="722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 single payment more than twice the company's typical annual dividend (the median twelve-month total of its other payments within three years) is excluded from every dividend figure and stored separately. Needs at least two comparable payments. The web interface shows any excluded amount.</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 history</w:t>
            </w:r>
          </w:p>
        </w:tc>
        <w:tc>
          <w:tcPr>
            <w:tcW w:type="dxa" w:w="722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Closing prices from the last 365 calendar days, used for the price markers.</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Shares on issue</w:t>
            </w:r>
          </w:p>
        </w:tc>
        <w:tc>
          <w:tcPr>
            <w:tcW w:type="dxa" w:w="722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Market capitalisation divided by closing price. If unavailable: net profit divided by earnings per share (EPS).</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Franking</w:t>
            </w:r>
          </w:p>
        </w:tc>
        <w:tc>
          <w:tcPr>
            <w:tcW w:type="dxa" w:w="722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0% for companies whose Yahoo-reported country is not Australia. Otherwise 100% (fully franked), unless corrected by hand. Manual corrections survive later data refreshes.</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Corporate tax rate</w:t>
            </w:r>
          </w:p>
        </w:tc>
        <w:tc>
          <w:tcPr>
            <w:tcW w:type="dxa" w:w="722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30%, used to gross up franked dividends.</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Currency</w:t>
            </w:r>
          </w:p>
        </w:tc>
        <w:tc>
          <w:tcPr>
            <w:tcW w:type="dxa" w:w="722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Financial statements published in another currency (US dollars for most large miners, New Zealand dollars for NZ listings) are converted into the share price's currency at the exchange rate on each report's balance date. Dividends are already in the share price's currency and are not converted. If no exchange rate is available, that company's statements are not updated for the day rather than stored in the wrong currency.</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Storage safeguard</w:t>
            </w:r>
          </w:p>
        </w:tc>
        <w:tc>
          <w:tcPr>
            <w:tcW w:type="dxa" w:w="722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Any value too large for its database column is stored as blank, with a warning in the log.</w:t>
            </w:r>
          </w:p>
        </w:tc>
      </w:tr>
    </w:tbl>
    <w:p>
      <w:pPr>
        <w:pStyle w:val="Heading1"/>
      </w:pPr>
      <w:r>
        <w:t xml:space="preserve">4. Intrinsic Value and Margin of Safety</w:t>
      </w:r>
    </w:p>
    <w:p>
      <w:pPr>
        <w:pStyle w:val="Heading2"/>
      </w:pPr>
      <w:r>
        <w:t xml:space="preserve">4.1 Model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602"/>
        <w:gridCol w:w="4627"/>
      </w:tblGrid>
      <w:tr>
        <w:trPr>
          <w:tblHeader/>
        </w:trPr>
        <w:tc>
          <w:tcPr>
            <w:tcW w:type="dxa" w:w="240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Sector (per Yahoo)</w:t>
            </w:r>
          </w:p>
        </w:tc>
        <w:tc>
          <w:tcPr>
            <w:tcW w:type="dxa" w:w="2602"/>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Model</w:t>
            </w:r>
          </w:p>
        </w:tc>
        <w:tc>
          <w:tcPr>
            <w:tcW w:type="dxa" w:w="462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Why</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Financial Services, Real Estate</w:t>
            </w:r>
          </w:p>
        </w:tc>
        <w:tc>
          <w:tcPr>
            <w:tcW w:type="dxa" w:w="260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Two-stage dividend discount model (DDM)</w:t>
            </w:r>
          </w:p>
        </w:tc>
        <w:tc>
          <w:tcPr>
            <w:tcW w:type="dxa" w:w="46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Free cash flow for banks, insurers and REITs is driven by loan books, policy reserves and property revaluations, so it is not a meaningful valuation base. Dividends are.</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All other sectors</w:t>
            </w:r>
          </w:p>
        </w:tc>
        <w:tc>
          <w:tcPr>
            <w:tcW w:type="dxa" w:w="260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Two-stage discounted cash flow (DCF)</w:t>
            </w:r>
          </w:p>
        </w:tc>
        <w:tc>
          <w:tcPr>
            <w:tcW w:type="dxa" w:w="46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Free cash flow is the cash genuinely available to shareholders.</w:t>
            </w:r>
          </w:p>
        </w:tc>
      </w:tr>
    </w:tbl>
    <w:p>
      <w:pPr>
        <w:spacing w:after="160" w:before="60"/>
      </w:pPr>
      <w:r>
        <w:rPr>
          <w:i/>
          <w:iCs/>
          <w:color w:val="555555"/>
          <w:sz w:val="18"/>
          <w:szCs w:val="18"/>
        </w:rPr>
        <w:t xml:space="preserve">valuation_method records DCF or DDM. It is blank when neither model could run (for example, negative average free cash flow or no dividends).</w:t>
      </w:r>
    </w:p>
    <w:p>
      <w:pPr>
        <w:pStyle w:val="Heading2"/>
      </w:pPr>
      <w:r>
        <w:t xml:space="preserve">4.2 Two-stage DCF</w:t>
      </w:r>
    </w:p>
    <w:p>
      <w:pPr>
        <w:pStyle w:val="ListParagraph"/>
        <w:numPr>
          <w:ilvl w:val="0"/>
          <w:numId w:val="2"/>
        </w:numPr>
        <w:spacing w:after="60"/>
      </w:pPr>
      <w:r>
        <w:rPr>
          <w:b/>
          <w:bCs/>
        </w:rPr>
        <w:t xml:space="preserve">Base:</w:t>
      </w:r>
      <w:r>
        <w:t xml:space="preserve"> average free cash flow (FCF) over the last three FY reports. Must be greater than zero, otherwise no value is produced.</w:t>
      </w:r>
    </w:p>
    <w:p>
      <w:pPr>
        <w:pStyle w:val="ListParagraph"/>
        <w:numPr>
          <w:ilvl w:val="0"/>
          <w:numId w:val="2"/>
        </w:numPr>
        <w:spacing w:after="60"/>
      </w:pPr>
      <w:r>
        <w:rPr>
          <w:b/>
          <w:bCs/>
        </w:rPr>
        <w:t xml:space="preserve">Stage 1:</w:t>
      </w:r>
      <w:r>
        <w:t xml:space="preserve"> the base is grown at the stage 1 growth rate for five years, and each year is discounted back at the discount rate.</w:t>
      </w:r>
    </w:p>
    <w:p>
      <w:pPr>
        <w:pStyle w:val="ListParagraph"/>
        <w:numPr>
          <w:ilvl w:val="0"/>
          <w:numId w:val="2"/>
        </w:numPr>
        <w:spacing w:after="60"/>
      </w:pPr>
      <w:r>
        <w:rPr>
          <w:b/>
          <w:bCs/>
        </w:rPr>
        <w:t xml:space="preserve">Terminal value:</w:t>
      </w:r>
      <w:r>
        <w:t xml:space="preserve"> year-five cash flow × (1 + terminal growth) ÷ (discount rate − terminal growth), discounted back five years.</w:t>
      </w:r>
    </w:p>
    <w:p>
      <w:pPr>
        <w:pStyle w:val="ListParagraph"/>
        <w:numPr>
          <w:ilvl w:val="0"/>
          <w:numId w:val="2"/>
        </w:numPr>
        <w:spacing w:after="60"/>
      </w:pPr>
      <w:r>
        <w:rPr>
          <w:b/>
          <w:bCs/>
        </w:rPr>
        <w:t xml:space="preserve">Equity value:</w:t>
      </w:r>
      <w:r>
        <w:t xml:space="preserve"> present value of stage 1 + present value of terminal value + cash − total debt.</w:t>
      </w:r>
    </w:p>
    <w:p>
      <w:pPr>
        <w:pStyle w:val="ListParagraph"/>
        <w:numPr>
          <w:ilvl w:val="0"/>
          <w:numId w:val="2"/>
        </w:numPr>
        <w:spacing w:after="60"/>
      </w:pPr>
      <w:r>
        <w:rPr>
          <w:b/>
          <w:bCs/>
        </w:rPr>
        <w:t xml:space="preserve">Intrinsic value per share:</w:t>
      </w:r>
      <w:r>
        <w:t xml:space="preserve"> equity value ÷ shares on issue.</w:t>
      </w:r>
    </w:p>
    <w:p>
      <w:pPr>
        <w:pStyle w:val="Heading2"/>
      </w:pPr>
      <w:r>
        <w:t xml:space="preserve">4.3 Two-stage DDM</w:t>
      </w:r>
    </w:p>
    <w:p>
      <w:pPr>
        <w:pStyle w:val="ListParagraph"/>
        <w:numPr>
          <w:ilvl w:val="0"/>
          <w:numId w:val="2"/>
        </w:numPr>
        <w:spacing w:after="60"/>
      </w:pPr>
      <w:r>
        <w:rPr>
          <w:b/>
          <w:bCs/>
        </w:rPr>
        <w:t xml:space="preserve">Base:</w:t>
      </w:r>
      <w:r>
        <w:t xml:space="preserve"> average dividend per share over the last three FY reports. Must be greater than zero.</w:t>
      </w:r>
    </w:p>
    <w:p>
      <w:pPr>
        <w:pStyle w:val="ListParagraph"/>
        <w:numPr>
          <w:ilvl w:val="0"/>
          <w:numId w:val="2"/>
        </w:numPr>
        <w:spacing w:after="60"/>
      </w:pPr>
      <w:r>
        <w:t xml:space="preserve">Same two-stage structure as the DCF, applied per share. No cash or debt adjustment, because dividends are already the shareholders' share of value.</w:t>
      </w:r>
    </w:p>
    <w:p>
      <w:pPr>
        <w:pStyle w:val="Heading2"/>
      </w:pPr>
      <w:r>
        <w:t xml:space="preserve">4.4 Model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349"/>
        <w:gridCol w:w="1349"/>
        <w:gridCol w:w="4242"/>
      </w:tblGrid>
      <w:tr>
        <w:trPr>
          <w:tblHeader/>
        </w:trPr>
        <w:tc>
          <w:tcPr>
            <w:tcW w:type="dxa" w:w="2698"/>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Parameter</w:t>
            </w:r>
          </w:p>
        </w:tc>
        <w:tc>
          <w:tcPr>
            <w:tcW w:type="dxa" w:w="134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DCF</w:t>
            </w:r>
          </w:p>
        </w:tc>
        <w:tc>
          <w:tcPr>
            <w:tcW w:type="dxa" w:w="134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DDM</w:t>
            </w:r>
          </w:p>
        </w:tc>
        <w:tc>
          <w:tcPr>
            <w:tcW w:type="dxa" w:w="4242"/>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Override</w:t>
            </w:r>
          </w:p>
        </w:tc>
      </w:tr>
      <w:tr>
        <w:trPr>
          <w:cantSplit/>
        </w:trPr>
        <w:tc>
          <w:tcPr>
            <w:tcW w:type="dxa" w:w="269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Stage 1 growth rate</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8%</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5%</w:t>
            </w:r>
          </w:p>
        </w:tc>
        <w:tc>
          <w:tcPr>
            <w:tcW w:type="dxa" w:w="424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--growth-rate (applies to whichever model runs)</w:t>
            </w:r>
          </w:p>
        </w:tc>
      </w:tr>
      <w:tr>
        <w:trPr>
          <w:cantSplit/>
        </w:trPr>
        <w:tc>
          <w:tcPr>
            <w:tcW w:type="dxa" w:w="269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Stage 1 length</w:t>
            </w:r>
          </w:p>
        </w:tc>
        <w:tc>
          <w:tcPr>
            <w:tcW w:type="dxa" w:w="134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5 years</w:t>
            </w:r>
          </w:p>
        </w:tc>
        <w:tc>
          <w:tcPr>
            <w:tcW w:type="dxa" w:w="134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5 years</w:t>
            </w:r>
          </w:p>
        </w:tc>
        <w:tc>
          <w:tcPr>
            <w:tcW w:type="dxa" w:w="424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--stage1-years</w:t>
            </w:r>
          </w:p>
        </w:tc>
      </w:tr>
      <w:tr>
        <w:trPr>
          <w:cantSplit/>
        </w:trPr>
        <w:tc>
          <w:tcPr>
            <w:tcW w:type="dxa" w:w="269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Terminal growth rate</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2.5%</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2.5%</w:t>
            </w:r>
          </w:p>
        </w:tc>
        <w:tc>
          <w:tcPr>
            <w:tcW w:type="dxa" w:w="424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--terminal-growth-rate</w:t>
            </w:r>
          </w:p>
        </w:tc>
      </w:tr>
      <w:tr>
        <w:trPr>
          <w:cantSplit/>
        </w:trPr>
        <w:tc>
          <w:tcPr>
            <w:tcW w:type="dxa" w:w="269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Discount rate</w:t>
            </w:r>
          </w:p>
        </w:tc>
        <w:tc>
          <w:tcPr>
            <w:tcW w:type="dxa" w:w="134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9%</w:t>
            </w:r>
          </w:p>
        </w:tc>
        <w:tc>
          <w:tcPr>
            <w:tcW w:type="dxa" w:w="134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9%</w:t>
            </w:r>
          </w:p>
        </w:tc>
        <w:tc>
          <w:tcPr>
            <w:tcW w:type="dxa" w:w="424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--discount-rate</w:t>
            </w:r>
          </w:p>
        </w:tc>
      </w:tr>
      <w:tr>
        <w:trPr>
          <w:cantSplit/>
        </w:trPr>
        <w:tc>
          <w:tcPr>
            <w:tcW w:type="dxa" w:w="269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Averaging window</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3 years</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3 years</w:t>
            </w:r>
          </w:p>
        </w:tc>
        <w:tc>
          <w:tcPr>
            <w:tcW w:type="dxa" w:w="424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--fcf-average-years</w:t>
            </w:r>
          </w:p>
        </w:tc>
      </w:tr>
    </w:tbl>
    <w:p>
      <w:pPr>
        <w:spacing w:after="160" w:before="60"/>
      </w:pPr>
      <w:r>
        <w:rPr>
          <w:i/>
          <w:iCs/>
          <w:color w:val="555555"/>
          <w:sz w:val="18"/>
          <w:szCs w:val="18"/>
        </w:rPr>
        <w:t xml:space="preserve">Dividend growth defaults lower than cash flow growth because dividends are typically steadier. The discount rate must exceed the terminal growth rate.</w:t>
      </w:r>
    </w:p>
    <w:p>
      <w:pPr>
        <w:pStyle w:val="Heading2"/>
      </w:pPr>
      <w:r>
        <w:t xml:space="preserve">4.5 Margin of safety</w:t>
      </w:r>
    </w:p>
    <w:p>
      <w:pPr>
        <w:spacing w:after="120"/>
      </w:pPr>
      <w:r>
        <w:rPr>
          <w:b/>
          <w:bCs/>
        </w:rPr>
        <w:t xml:space="preserve">margin_of_safety_percent = (intrinsic value − price) ÷ intrinsic value × 100</w:t>
      </w:r>
    </w:p>
    <w:p>
      <w:pPr>
        <w:pStyle w:val="ListParagraph"/>
        <w:numPr>
          <w:ilvl w:val="0"/>
          <w:numId w:val="2"/>
        </w:numPr>
        <w:spacing w:after="60"/>
      </w:pPr>
      <w:r>
        <w:t xml:space="preserve">Positive means the share trades below its estimated value; negative means above.</w:t>
      </w:r>
    </w:p>
    <w:p>
      <w:pPr>
        <w:pStyle w:val="ListParagraph"/>
        <w:numPr>
          <w:ilvl w:val="0"/>
          <w:numId w:val="2"/>
        </w:numPr>
        <w:spacing w:after="60"/>
      </w:pPr>
      <w:r>
        <w:t xml:space="preserve">Blank when intrinsic value is missing, zero or negative, or when the result falls outside plus or minus 5,000% (a sign the model broke down, usually from a poor share count estimate).</w:t>
      </w:r>
    </w:p>
    <w:p>
      <w:pPr>
        <w:pStyle w:val="Heading2"/>
      </w:pPr>
      <w:r>
        <w:t xml:space="preserve">4.6 Graham Number</w:t>
      </w:r>
    </w:p>
    <w:p>
      <w:pPr>
        <w:spacing w:after="120"/>
      </w:pPr>
      <w:r>
        <w:rPr>
          <w:b/>
          <w:bCs/>
        </w:rPr>
        <w:t xml:space="preserve">graham_number = √(22.5 × EPS × book value per share)</w:t>
      </w:r>
      <w:r>
        <w:t xml:space="preserve">, where 22.5 reflects Graham's ceilings of a price-to-earnings ratio (P/E) of 15 and a price-to-book ratio (P/B) of 1.5. Blank when EPS or book value is zero or negative. A price below it means the share meets both of Graham's limits at once. It is not used in the four value tests or the suggested action; it is one of the six Value checks in the score wheel (section 11.2). Because it ignores growth, it understates companies with few physical assets, such as software businesses.</w:t>
      </w:r>
    </w:p>
    <w:p>
      <w:pPr>
        <w:pStyle w:val="Heading1"/>
      </w:pPr>
      <w:r>
        <w:t xml:space="preserve">5. Financial Ratio Fields</w:t>
      </w:r>
    </w:p>
    <w:p>
      <w:pPr>
        <w:spacing w:after="120"/>
      </w:pPr>
      <w:r>
        <w:t xml:space="preserve">All ratios use the latest FY report and the latest closing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047"/>
        <w:gridCol w:w="3182"/>
      </w:tblGrid>
      <w:tr>
        <w:trPr>
          <w:tblHeader/>
        </w:trPr>
        <w:tc>
          <w:tcPr>
            <w:tcW w:type="dxa" w:w="240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Field</w:t>
            </w:r>
          </w:p>
        </w:tc>
        <w:tc>
          <w:tcPr>
            <w:tcW w:type="dxa" w:w="404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Rule</w:t>
            </w:r>
          </w:p>
        </w:tc>
        <w:tc>
          <w:tcPr>
            <w:tcW w:type="dxa" w:w="3182"/>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Notes</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pe_ratio</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 ÷ EPS</w:t>
            </w:r>
          </w:p>
        </w:tc>
        <w:tc>
          <w:tcPr>
            <w:tcW w:type="dxa" w:w="318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Blank if EPS is zero or missing.</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pb_ratio</w:t>
            </w:r>
          </w:p>
        </w:tc>
        <w:tc>
          <w:tcPr>
            <w:tcW w:type="dxa" w:w="404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Price ÷ book value per share</w:t>
            </w:r>
          </w:p>
        </w:tc>
        <w:tc>
          <w:tcPr>
            <w:tcW w:type="dxa" w:w="318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Book value per share = total equity ÷ shares on issue.</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price_to_fcf</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 ÷ (FCF ÷ shares on issue)</w:t>
            </w:r>
          </w:p>
        </w:tc>
        <w:tc>
          <w:tcPr>
            <w:tcW w:type="dxa" w:w="318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Latest year, not the three-year average.</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ev_to_ebit</w:t>
            </w:r>
          </w:p>
        </w:tc>
        <w:tc>
          <w:tcPr>
            <w:tcW w:type="dxa" w:w="404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Enterprise value (EV) ÷ earnings before interest and tax (EBIT), where EV = market capitalisation + total debt − cash</w:t>
            </w:r>
          </w:p>
        </w:tc>
        <w:tc>
          <w:tcPr>
            <w:tcW w:type="dxa" w:w="318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Valuation multiple that is independent of capital structure.</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roe</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Net profit after tax ÷ total equity × 100</w:t>
            </w:r>
          </w:p>
        </w:tc>
        <w:tc>
          <w:tcPr>
            <w:tcW w:type="dxa" w:w="318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Return on equity, %.</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roic</w:t>
            </w:r>
          </w:p>
        </w:tc>
        <w:tc>
          <w:tcPr>
            <w:tcW w:type="dxa" w:w="404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Net profit after tax ÷ (total debt + total equity − cash) × 100</w:t>
            </w:r>
          </w:p>
        </w:tc>
        <w:tc>
          <w:tcPr>
            <w:tcW w:type="dxa" w:w="318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Return on invested capital (ROIC), %.</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debt_to_equity</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Total debt ÷ total equity</w:t>
            </w:r>
          </w:p>
        </w:tc>
        <w:tc>
          <w:tcPr>
            <w:tcW w:type="dxa" w:w="318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Expressed as a ratio, not a %.</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uncapped_dividend_yield</w:t>
            </w:r>
          </w:p>
        </w:tc>
        <w:tc>
          <w:tcPr>
            <w:tcW w:type="dxa" w:w="404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 per share ÷ price × 100</w:t>
            </w:r>
          </w:p>
        </w:tc>
        <w:tc>
          <w:tcPr>
            <w:tcW w:type="dxa" w:w="318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Cash yield, before franking credits.</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grossed_up_dividend_yield</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Dividend per share × (1 + franking % × 30 ÷ 70) ÷ price × 100</w:t>
            </w:r>
          </w:p>
        </w:tc>
        <w:tc>
          <w:tcPr>
            <w:tcW w:type="dxa" w:w="318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Includes franking credits. Fully franked = cash yield × 1.43; unfranked = cash yield.</w:t>
            </w:r>
          </w:p>
        </w:tc>
      </w:tr>
      <w:tr>
        <w:trPr>
          <w:cantSplit/>
        </w:trPr>
        <w:tc>
          <w:tcPr>
            <w:tcW w:type="dxa" w:w="240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payout_ratio</w:t>
            </w:r>
          </w:p>
        </w:tc>
        <w:tc>
          <w:tcPr>
            <w:tcW w:type="dxa" w:w="404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 per share ÷ EPS × 100</w:t>
            </w:r>
          </w:p>
        </w:tc>
        <w:tc>
          <w:tcPr>
            <w:tcW w:type="dxa" w:w="318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Only when EPS is positive. Blank beyond 5,000%. Above 150% is a red flag (likely one-off dividend). Uses ordinary dividends only (see section 3).</w:t>
            </w:r>
          </w:p>
        </w:tc>
      </w:tr>
      <w:tr>
        <w:trPr>
          <w:cantSplit/>
        </w:trPr>
        <w:tc>
          <w:tcPr>
            <w:tcW w:type="dxa" w:w="240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current_ratio</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Not calculated</w:t>
            </w:r>
          </w:p>
        </w:tc>
        <w:tc>
          <w:tcPr>
            <w:tcW w:type="dxa" w:w="318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source data does not split current assets and liabilities.</w:t>
            </w:r>
          </w:p>
        </w:tc>
      </w:tr>
    </w:tbl>
    <w:p>
      <w:pPr>
        <w:pStyle w:val="Heading1"/>
      </w:pPr>
      <w:r>
        <w:t xml:space="preserve">6. Core Value Tests</w:t>
      </w:r>
    </w:p>
    <w:p>
      <w:pPr>
        <w:spacing w:after="120"/>
      </w:pPr>
      <w:r>
        <w:t xml:space="preserve">These four tests are the heart of the screen. Each produces Y (yes) or N (no) for every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7"/>
        <w:gridCol w:w="1349"/>
        <w:gridCol w:w="2700"/>
      </w:tblGrid>
      <w:tr>
        <w:trPr>
          <w:tblHeader/>
        </w:trPr>
        <w:tc>
          <w:tcPr>
            <w:tcW w:type="dxa" w:w="1542"/>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Indicator</w:t>
            </w:r>
          </w:p>
        </w:tc>
        <w:tc>
          <w:tcPr>
            <w:tcW w:type="dxa" w:w="404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Test</w:t>
            </w:r>
          </w:p>
        </w:tc>
        <w:tc>
          <w:tcPr>
            <w:tcW w:type="dxa" w:w="134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Default</w:t>
            </w:r>
          </w:p>
        </w:tc>
        <w:tc>
          <w:tcPr>
            <w:tcW w:type="dxa" w:w="2700"/>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Override</w:t>
            </w:r>
          </w:p>
        </w:tc>
      </w:tr>
      <w:tr>
        <w:trPr>
          <w:cantSplit/>
        </w:trPr>
        <w:tc>
          <w:tcPr>
            <w:tcW w:type="dxa" w:w="154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mos_ok</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margin_of_safety_percent above threshold</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&gt; 20%</w:t>
            </w:r>
          </w:p>
        </w:tc>
        <w:tc>
          <w:tcPr>
            <w:tcW w:type="dxa" w:w="270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--min-margin-of-safety</w:t>
            </w:r>
          </w:p>
        </w:tc>
      </w:tr>
      <w:tr>
        <w:trPr>
          <w:cantSplit/>
        </w:trPr>
        <w:tc>
          <w:tcPr>
            <w:tcW w:type="dxa" w:w="154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roe_ok</w:t>
            </w:r>
          </w:p>
        </w:tc>
        <w:tc>
          <w:tcPr>
            <w:tcW w:type="dxa" w:w="404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roe above threshold</w:t>
            </w:r>
          </w:p>
        </w:tc>
        <w:tc>
          <w:tcPr>
            <w:tcW w:type="dxa" w:w="134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&gt; 12%</w:t>
            </w:r>
          </w:p>
        </w:tc>
        <w:tc>
          <w:tcPr>
            <w:tcW w:type="dxa" w:w="270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--min-roe</w:t>
            </w:r>
          </w:p>
        </w:tc>
      </w:tr>
      <w:tr>
        <w:trPr>
          <w:cantSplit/>
        </w:trPr>
        <w:tc>
          <w:tcPr>
            <w:tcW w:type="dxa" w:w="154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de_ok</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debt_to_equity below threshold</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&lt; 0.80</w:t>
            </w:r>
          </w:p>
        </w:tc>
        <w:tc>
          <w:tcPr>
            <w:tcW w:type="dxa" w:w="270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--max-debt-equity</w:t>
            </w:r>
          </w:p>
        </w:tc>
      </w:tr>
      <w:tr>
        <w:trPr>
          <w:cantSplit/>
        </w:trPr>
        <w:tc>
          <w:tcPr>
            <w:tcW w:type="dxa" w:w="154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yield_ok</w:t>
            </w:r>
          </w:p>
        </w:tc>
        <w:tc>
          <w:tcPr>
            <w:tcW w:type="dxa" w:w="404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grossed_up_dividend_yield above threshold</w:t>
            </w:r>
          </w:p>
        </w:tc>
        <w:tc>
          <w:tcPr>
            <w:tcW w:type="dxa" w:w="134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&gt; 4.5%</w:t>
            </w:r>
          </w:p>
        </w:tc>
        <w:tc>
          <w:tcPr>
            <w:tcW w:type="dxa" w:w="270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--min-yield</w:t>
            </w:r>
          </w:p>
        </w:tc>
      </w:tr>
      <w:tr>
        <w:trPr>
          <w:cantSplit/>
        </w:trPr>
        <w:tc>
          <w:tcPr>
            <w:tcW w:type="dxa" w:w="154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overall</w:t>
            </w:r>
          </w:p>
        </w:tc>
        <w:tc>
          <w:tcPr>
            <w:tcW w:type="dxa" w:w="404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Y when all four tests are Y</w:t>
            </w:r>
          </w:p>
        </w:tc>
        <w:tc>
          <w:tcPr>
            <w:tcW w:type="dxa" w:w="134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All four</w:t>
            </w:r>
          </w:p>
        </w:tc>
        <w:tc>
          <w:tcPr>
            <w:tcW w:type="dxa" w:w="270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--any-of (any one test)</w:t>
            </w:r>
          </w:p>
        </w:tc>
      </w:tr>
    </w:tbl>
    <w:p>
      <w:pPr>
        <w:spacing w:after="120"/>
      </w:pPr>
    </w:p>
    <w:p>
      <w:pPr>
        <w:pStyle w:val="ListParagraph"/>
        <w:numPr>
          <w:ilvl w:val="0"/>
          <w:numId w:val="2"/>
        </w:numPr>
        <w:spacing w:after="60"/>
      </w:pPr>
      <w:r>
        <w:t xml:space="preserve">Comparisons are strict: a value exactly on the threshold fails.</w:t>
      </w:r>
    </w:p>
    <w:p>
      <w:pPr>
        <w:pStyle w:val="ListParagraph"/>
        <w:numPr>
          <w:ilvl w:val="0"/>
          <w:numId w:val="2"/>
        </w:numPr>
        <w:spacing w:after="60"/>
      </w:pPr>
      <w:r>
        <w:t xml:space="preserve">A blank value is N.</w:t>
      </w:r>
    </w:p>
    <w:p>
      <w:pPr>
        <w:pStyle w:val="ListParagraph"/>
        <w:numPr>
          <w:ilvl w:val="0"/>
          <w:numId w:val="2"/>
        </w:numPr>
        <w:spacing w:after="60"/>
      </w:pPr>
      <w:r>
        <w:t xml:space="preserve">Nothing is filtered by default. --passing-only shows only overall = Y; --sector restricts to one sector.</w:t>
      </w:r>
    </w:p>
    <w:p>
      <w:pPr>
        <w:pStyle w:val="Heading1"/>
      </w:pPr>
      <w:r>
        <w:t xml:space="preserve">7. Trend Fields</w:t>
      </w:r>
    </w:p>
    <w:p>
      <w:pPr>
        <w:spacing w:after="120"/>
      </w:pPr>
      <w:r>
        <w:t xml:space="preserve">Trend fields answer two questions a single snapshot cannot: is the price moving towards value, and is the business improving or deteriorating?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tblHeader/>
        </w:trPr>
        <w:tc>
          <w:tcPr>
            <w:tcW w:type="dxa" w:w="2120"/>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Field</w:t>
            </w:r>
          </w:p>
        </w:tc>
        <w:tc>
          <w:tcPr>
            <w:tcW w:type="dxa" w:w="4626"/>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Rule</w:t>
            </w:r>
          </w:p>
        </w:tc>
        <w:tc>
          <w:tcPr>
            <w:tcW w:type="dxa" w:w="2892"/>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Values and notes</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margin_of_safety_trend</w:t>
            </w:r>
          </w:p>
        </w:tc>
        <w:tc>
          <w:tcPr>
            <w:tcW w:type="dxa" w:w="462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Today's margin of safety minus the margin of safety from the most recent valuation at least 30 days old.</w:t>
            </w:r>
          </w:p>
        </w:tc>
        <w:tc>
          <w:tcPr>
            <w:tcW w:type="dxa" w:w="289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Percentage points. Blank until 30 days of daily history exist. Window set by --trend-days.</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momentum_ok</w:t>
            </w:r>
          </w:p>
        </w:tc>
        <w:tc>
          <w:tcPr>
            <w:tcW w:type="dxa" w:w="462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margin_of_safety_trend above 5 percentage points.</w:t>
            </w:r>
          </w:p>
        </w:tc>
        <w:tc>
          <w:tcPr>
            <w:tcW w:type="dxa" w:w="289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Y/N. Means "getting cheaper". Threshold set by --min-mos-trend.</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fundamentals_trend</w:t>
            </w:r>
          </w:p>
        </w:tc>
        <w:tc>
          <w:tcPr>
            <w:tcW w:type="dxa" w:w="462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Compares the latest and oldest FY reports in the three-year window. DECLINING if ROE fell by more than 2 percentage points or revenue fell by more than 5%. Otherwise IMPROVING if ROE rose by more than 2 points or revenue rose by more than 5%. Otherwise STABLE.</w:t>
            </w:r>
          </w:p>
        </w:tc>
        <w:tc>
          <w:tcPr>
            <w:tcW w:type="dxa" w:w="289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DECLINING takes precedence when ROE and revenue disagree. Blank with fewer than two reports. Independent of price.</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trap_risk</w:t>
            </w:r>
          </w:p>
        </w:tc>
        <w:tc>
          <w:tcPr>
            <w:tcW w:type="dxa" w:w="462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mos_ok = Y and fundamentals_trend = DECLINING.</w:t>
            </w:r>
          </w:p>
        </w:tc>
        <w:tc>
          <w:tcPr>
            <w:tcW w:type="dxa" w:w="289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Y/N. Looks cheap, but the business is heading the wrong way.</w:t>
            </w:r>
          </w:p>
        </w:tc>
      </w:tr>
    </w:tbl>
    <w:p>
      <w:pPr>
        <w:spacing w:after="160" w:before="60"/>
      </w:pPr>
      <w:r>
        <w:rPr>
          <w:i/>
          <w:iCs/>
          <w:color w:val="555555"/>
          <w:sz w:val="18"/>
          <w:szCs w:val="18"/>
        </w:rPr>
        <w:t xml:space="preserve">momentum_ok and trap_risk are informational. They do not affect overall, but both feed the suggested action.</w:t>
      </w:r>
    </w:p>
    <w:p>
      <w:pPr>
        <w:pStyle w:val="Heading1"/>
      </w:pPr>
      <w:r>
        <w:t xml:space="preserve">8. Decision Markers</w:t>
      </w:r>
    </w:p>
    <w:p>
      <w:pPr>
        <w:spacing w:after="120"/>
      </w:pPr>
      <w:r>
        <w:t xml:space="preserve">Each marker tests one aspect of quality that the four value tests cannot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tblHeader/>
        </w:trPr>
        <w:tc>
          <w:tcPr>
            <w:tcW w:type="dxa" w:w="192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Field</w:t>
            </w:r>
          </w:p>
        </w:tc>
        <w:tc>
          <w:tcPr>
            <w:tcW w:type="dxa" w:w="4819"/>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Rule</w:t>
            </w:r>
          </w:p>
        </w:tc>
        <w:tc>
          <w:tcPr>
            <w:tcW w:type="dxa" w:w="2892"/>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Values and notes</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cash_conversion</w:t>
            </w:r>
          </w:p>
        </w:tc>
        <w:tc>
          <w:tcPr>
            <w:tcW w:type="dxa" w:w="481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Total operating cash flow ÷ total net profit × 100, summed across the three-year window.</w:t>
            </w:r>
          </w:p>
        </w:tc>
        <w:tc>
          <w:tcPr>
            <w:tcW w:type="dxa" w:w="289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Blank for loss-makers and for Financial Services and Real Estate (where operating cash flow is not comparable).</w:t>
            </w:r>
          </w:p>
        </w:tc>
      </w:tr>
      <w:tr>
        <w:trPr>
          <w:cantSplit/>
        </w:trPr>
        <w:tc>
          <w:tcPr>
            <w:tcW w:type="dxa" w:w="19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earnings_quality</w:t>
            </w:r>
          </w:p>
        </w:tc>
        <w:tc>
          <w:tcPr>
            <w:tcW w:type="dxa" w:w="481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From cash_conversion: STRONG at 100% or more; ADEQUATE from 80% to under 100%; WEAK below 80%.</w:t>
            </w:r>
          </w:p>
        </w:tc>
        <w:tc>
          <w:tcPr>
            <w:tcW w:type="dxa" w:w="289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Is reported profit turning into cash?</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price_vs_200d</w:t>
            </w:r>
          </w:p>
        </w:tc>
        <w:tc>
          <w:tcPr>
            <w:tcW w:type="dxa" w:w="481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(Latest close ÷ average of the last 200 closes − 1) × 100.</w:t>
            </w:r>
          </w:p>
        </w:tc>
        <w:tc>
          <w:tcPr>
            <w:tcW w:type="dxa" w:w="289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 above or below the 200-day average. Needs 200 closes.</w:t>
            </w:r>
          </w:p>
        </w:tc>
      </w:tr>
      <w:tr>
        <w:trPr>
          <w:cantSplit/>
        </w:trPr>
        <w:tc>
          <w:tcPr>
            <w:tcW w:type="dxa" w:w="19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range_position_52w</w:t>
            </w:r>
          </w:p>
        </w:tc>
        <w:tc>
          <w:tcPr>
            <w:tcW w:type="dxa" w:w="481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(Latest close − 52-week low) ÷ (52-week high − 52-week low) × 100.</w:t>
            </w:r>
          </w:p>
        </w:tc>
        <w:tc>
          <w:tcPr>
            <w:tcW w:type="dxa" w:w="289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0 = at the low, 100 = at the high. Needs 100 closes.</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price_signal</w:t>
            </w:r>
          </w:p>
        </w:tc>
        <w:tc>
          <w:tcPr>
            <w:tcW w:type="dxa" w:w="481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NEW LOWS if below the 200-day average and in the bottom 10% of the 52-week range. DOWNTREND if below the 200-day average. UPTREND otherwise.</w:t>
            </w:r>
          </w:p>
        </w:tc>
        <w:tc>
          <w:tcPr>
            <w:tcW w:type="dxa" w:w="289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Is the price stabilising or still falling? Blank without 200 closes.</w:t>
            </w:r>
          </w:p>
        </w:tc>
      </w:tr>
      <w:tr>
        <w:trPr>
          <w:cantSplit/>
        </w:trPr>
        <w:tc>
          <w:tcPr>
            <w:tcW w:type="dxa" w:w="19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dividend_trend</w:t>
            </w:r>
          </w:p>
        </w:tc>
        <w:tc>
          <w:tcPr>
            <w:tcW w:type="dxa" w:w="4819"/>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Over up to five FY reports: NONE if no dividends paid. CUT if the latest dividend is more than 10% below last year's, or more than 10% below the median of the earlier years. GROWING if the latest is more than 5% above the oldest. Otherwise STEADY.</w:t>
            </w:r>
          </w:p>
        </w:tc>
        <w:tc>
          <w:tcPr>
            <w:tcW w:type="dxa" w:w="2892"/>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Only a cut that still stands counts; a cut since restored does not. Blank with fewer than two years.</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data_confidence</w:t>
            </w:r>
          </w:p>
        </w:tc>
        <w:tc>
          <w:tcPr>
            <w:tcW w:type="dxa" w:w="4819"/>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Share of 11 checks present: closing price, market capitalisation, EPS, net profit, revenue, equity, total debt, operating cash flow, free cash flow, at least 3 FY reports, at least 200 days of prices. HIGH = 10 or 11; MEDIUM = 8 or 9; LOW = 7 or fewer.</w:t>
            </w:r>
          </w:p>
        </w:tc>
        <w:tc>
          <w:tcPr>
            <w:tcW w:type="dxa" w:w="2892"/>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Dividends are excluded: a non-payer is not missing data.</w:t>
            </w:r>
          </w:p>
        </w:tc>
      </w:tr>
    </w:tbl>
    <w:p>
      <w:pPr>
        <w:pStyle w:val="Heading1"/>
      </w:pPr>
      <w:r>
        <w:t xml:space="preserve">9. Red Flags</w:t>
      </w:r>
    </w:p>
    <w:p>
      <w:pPr>
        <w:spacing w:after="120"/>
      </w:pPr>
      <w:r>
        <w:t xml:space="preserve">Red flags are the conditions that downgrade an otherwise attractive company. Any one flag is enough to block a BUY.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8"/>
        <w:gridCol w:w="4820"/>
      </w:tblGrid>
      <w:tr>
        <w:trPr>
          <w:tblHeader/>
        </w:trPr>
        <w:tc>
          <w:tcPr>
            <w:tcW w:type="dxa" w:w="2120"/>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Flag</w:t>
            </w:r>
          </w:p>
        </w:tc>
        <w:tc>
          <w:tcPr>
            <w:tcW w:type="dxa" w:w="2698"/>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Trigger</w:t>
            </w:r>
          </w:p>
        </w:tc>
        <w:tc>
          <w:tcPr>
            <w:tcW w:type="dxa" w:w="4820"/>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Wording in the reason</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Value-trap risk</w:t>
            </w:r>
          </w:p>
        </w:tc>
        <w:tc>
          <w:tcPr>
            <w:tcW w:type="dxa" w:w="269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trap_risk = Y</w:t>
            </w:r>
          </w:p>
        </w:tc>
        <w:tc>
          <w:tcPr>
            <w:tcW w:type="dxa" w:w="48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value-trap risk (cheap but ROE/revenue declining)</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One-off dividend</w:t>
            </w:r>
          </w:p>
        </w:tc>
        <w:tc>
          <w:tcPr>
            <w:tcW w:type="dxa" w:w="269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payout_ratio above 150%</w:t>
            </w:r>
          </w:p>
        </w:tc>
        <w:tc>
          <w:tcPr>
            <w:tcW w:type="dxa" w:w="48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payout ratio X% suggests a one-off dividend</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Weak earnings quality</w:t>
            </w:r>
          </w:p>
        </w:tc>
        <w:tc>
          <w:tcPr>
            <w:tcW w:type="dxa" w:w="269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earnings_quality = WEAK</w:t>
            </w:r>
          </w:p>
        </w:tc>
        <w:tc>
          <w:tcPr>
            <w:tcW w:type="dxa" w:w="48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weak earnings quality (cash flow X% of profit)</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 cut</w:t>
            </w:r>
          </w:p>
        </w:tc>
        <w:tc>
          <w:tcPr>
            <w:tcW w:type="dxa" w:w="269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dividend_trend = CUT</w:t>
            </w:r>
          </w:p>
        </w:tc>
        <w:tc>
          <w:tcPr>
            <w:tcW w:type="dxa" w:w="48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 cut and not yet restored</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Still falling</w:t>
            </w:r>
          </w:p>
        </w:tc>
        <w:tc>
          <w:tcPr>
            <w:tcW w:type="dxa" w:w="269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price_signal = NEW LOWS</w:t>
            </w:r>
          </w:p>
        </w:tc>
        <w:tc>
          <w:tcPr>
            <w:tcW w:type="dxa" w:w="48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 still making new lows</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Data gaps</w:t>
            </w:r>
          </w:p>
        </w:tc>
        <w:tc>
          <w:tcPr>
            <w:tcW w:type="dxa" w:w="269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data_confidence = LOW</w:t>
            </w:r>
          </w:p>
        </w:tc>
        <w:tc>
          <w:tcPr>
            <w:tcW w:type="dxa" w:w="48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low data confidence, verify the inputs</w:t>
            </w:r>
          </w:p>
        </w:tc>
      </w:tr>
    </w:tbl>
    <w:p>
      <w:pPr>
        <w:pStyle w:val="Heading1"/>
      </w:pPr>
      <w:r>
        <w:t xml:space="preserve">10. Suggested Actions</w:t>
      </w:r>
    </w:p>
    <w:p>
      <w:pPr>
        <w:pStyle w:val="Heading2"/>
      </w:pPr>
      <w:r>
        <w:t xml:space="preserve">10.1 Shares you do not hold</w:t>
      </w:r>
    </w:p>
    <w:p>
      <w:pPr>
        <w:spacing w:after="120"/>
      </w:pPr>
      <w:r>
        <w:t xml:space="preserve">Rules are applied in order; the first match decides the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638"/>
        <w:gridCol w:w="7037"/>
      </w:tblGrid>
      <w:tr>
        <w:trPr>
          <w:tblHeader/>
        </w:trPr>
        <w:tc>
          <w:tcPr>
            <w:tcW w:type="dxa" w:w="963"/>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Order</w:t>
            </w:r>
          </w:p>
        </w:tc>
        <w:tc>
          <w:tcPr>
            <w:tcW w:type="dxa" w:w="1638"/>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Action</w:t>
            </w:r>
          </w:p>
        </w:tc>
        <w:tc>
          <w:tcPr>
            <w:tcW w:type="dxa" w:w="703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Condition</w:t>
            </w:r>
          </w:p>
        </w:tc>
      </w:tr>
      <w:tr>
        <w:trPr>
          <w:cantSplit/>
        </w:trPr>
        <w:tc>
          <w:tcPr>
            <w:tcW w:type="dxa" w:w="96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1</w:t>
            </w:r>
          </w:p>
        </w:tc>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AVOID</w:t>
            </w:r>
          </w:p>
        </w:tc>
        <w:tc>
          <w:tcPr>
            <w:tcW w:type="dxa" w:w="703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trap_risk = Y and earnings_quality = WEAK: cheap, declining and profit not backed by cash.</w:t>
            </w:r>
          </w:p>
        </w:tc>
      </w:tr>
      <w:tr>
        <w:trPr>
          <w:cantSplit/>
        </w:trPr>
        <w:tc>
          <w:tcPr>
            <w:tcW w:type="dxa" w:w="96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2</w:t>
            </w:r>
          </w:p>
        </w:tc>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BUY</w:t>
            </w:r>
          </w:p>
        </w:tc>
        <w:tc>
          <w:tcPr>
            <w:tcW w:type="dxa" w:w="703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Passes all four value tests with no red flags. The reason notes "getting cheaper" when momentum_ok = Y.</w:t>
            </w:r>
          </w:p>
        </w:tc>
      </w:tr>
      <w:tr>
        <w:trPr>
          <w:cantSplit/>
        </w:trPr>
        <w:tc>
          <w:tcPr>
            <w:tcW w:type="dxa" w:w="96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3</w:t>
            </w:r>
          </w:p>
        </w:tc>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INVESTIGATE</w:t>
            </w:r>
          </w:p>
        </w:tc>
        <w:tc>
          <w:tcPr>
            <w:tcW w:type="dxa" w:w="703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Passes all four value tests but has one or more red flags.</w:t>
            </w:r>
          </w:p>
        </w:tc>
      </w:tr>
      <w:tr>
        <w:trPr>
          <w:cantSplit/>
        </w:trPr>
        <w:tc>
          <w:tcPr>
            <w:tcW w:type="dxa" w:w="96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4</w:t>
            </w:r>
          </w:p>
        </w:tc>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INVESTIGATE</w:t>
            </w:r>
          </w:p>
        </w:tc>
        <w:tc>
          <w:tcPr>
            <w:tcW w:type="dxa" w:w="703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mos_ok = Y and passes three of the four tests. The reason names the failed test.</w:t>
            </w:r>
          </w:p>
        </w:tc>
      </w:tr>
      <w:tr>
        <w:trPr>
          <w:cantSplit/>
        </w:trPr>
        <w:tc>
          <w:tcPr>
            <w:tcW w:type="dxa" w:w="96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5</w:t>
            </w:r>
          </w:p>
        </w:tc>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WATCH</w:t>
            </w:r>
          </w:p>
        </w:tc>
        <w:tc>
          <w:tcPr>
            <w:tcW w:type="dxa" w:w="703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mos_ok = Y but passes two or fewer tests.</w:t>
            </w:r>
          </w:p>
        </w:tc>
      </w:tr>
      <w:tr>
        <w:trPr>
          <w:cantSplit/>
        </w:trPr>
        <w:tc>
          <w:tcPr>
            <w:tcW w:type="dxa" w:w="96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6</w:t>
            </w:r>
          </w:p>
        </w:tc>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WATCH</w:t>
            </w:r>
          </w:p>
        </w:tc>
        <w:tc>
          <w:tcPr>
            <w:tcW w:type="dxa" w:w="703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momentum_ok = Y: getting cheaper quickly but not yet below estimated value.</w:t>
            </w:r>
          </w:p>
        </w:tc>
      </w:tr>
      <w:tr>
        <w:trPr>
          <w:cantSplit/>
        </w:trPr>
        <w:tc>
          <w:tcPr>
            <w:tcW w:type="dxa" w:w="96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7</w:t>
            </w:r>
          </w:p>
        </w:tc>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WATCH</w:t>
            </w:r>
          </w:p>
        </w:tc>
        <w:tc>
          <w:tcPr>
            <w:tcW w:type="dxa" w:w="703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ROE, debt and yield pass but the price is not yet cheap: wait for a better price.</w:t>
            </w:r>
          </w:p>
        </w:tc>
      </w:tr>
      <w:tr>
        <w:trPr>
          <w:cantSplit/>
        </w:trPr>
        <w:tc>
          <w:tcPr>
            <w:tcW w:type="dxa" w:w="96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8</w:t>
            </w:r>
          </w:p>
        </w:tc>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IGNORE</w:t>
            </w:r>
          </w:p>
        </w:tc>
        <w:tc>
          <w:tcPr>
            <w:tcW w:type="dxa" w:w="703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None of the above: no value signal. Counted, not listed.</w:t>
            </w:r>
          </w:p>
        </w:tc>
      </w:tr>
    </w:tbl>
    <w:p>
      <w:pPr>
        <w:spacing w:after="160" w:before="60"/>
      </w:pPr>
      <w:r>
        <w:rPr>
          <w:i/>
          <w:iCs/>
          <w:color w:val="555555"/>
          <w:sz w:val="18"/>
          <w:szCs w:val="18"/>
        </w:rPr>
        <w:t xml:space="preserve">INVESTIGATE and WATCH reasons list any red flags, so a WATCH never reads healthier than the data supports.</w:t>
      </w:r>
    </w:p>
    <w:p>
      <w:pPr>
        <w:pStyle w:val="Heading2"/>
      </w:pPr>
      <w:r>
        <w:t xml:space="preserve">10.2 Shares you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638"/>
        <w:gridCol w:w="7037"/>
      </w:tblGrid>
      <w:tr>
        <w:trPr>
          <w:tblHeader/>
        </w:trPr>
        <w:tc>
          <w:tcPr>
            <w:tcW w:type="dxa" w:w="963"/>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Order</w:t>
            </w:r>
          </w:p>
        </w:tc>
        <w:tc>
          <w:tcPr>
            <w:tcW w:type="dxa" w:w="1638"/>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Action</w:t>
            </w:r>
          </w:p>
        </w:tc>
        <w:tc>
          <w:tcPr>
            <w:tcW w:type="dxa" w:w="703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Condition</w:t>
            </w:r>
          </w:p>
        </w:tc>
      </w:tr>
      <w:tr>
        <w:trPr>
          <w:cantSplit/>
        </w:trPr>
        <w:tc>
          <w:tcPr>
            <w:tcW w:type="dxa" w:w="96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1</w:t>
            </w:r>
          </w:p>
        </w:tc>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SELL</w:t>
            </w:r>
          </w:p>
        </w:tc>
        <w:tc>
          <w:tcPr>
            <w:tcW w:type="dxa" w:w="703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fundamentals_trend = DECLINING and at least one of: trading above estimated value (margin of safety below zero), earnings_quality = WEAK, dividend_trend = CUT.</w:t>
            </w:r>
          </w:p>
        </w:tc>
      </w:tr>
      <w:tr>
        <w:trPr>
          <w:cantSplit/>
        </w:trPr>
        <w:tc>
          <w:tcPr>
            <w:tcW w:type="dxa" w:w="96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2</w:t>
            </w:r>
          </w:p>
        </w:tc>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REVIEW</w:t>
            </w:r>
          </w:p>
        </w:tc>
        <w:tc>
          <w:tcPr>
            <w:tcW w:type="dxa" w:w="703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Any red flag, or margin of safety below −50% (well above estimated value).</w:t>
            </w:r>
          </w:p>
        </w:tc>
      </w:tr>
      <w:tr>
        <w:trPr>
          <w:cantSplit/>
        </w:trPr>
        <w:tc>
          <w:tcPr>
            <w:tcW w:type="dxa" w:w="96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3</w:t>
            </w:r>
          </w:p>
        </w:tc>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ACCUMULATE</w:t>
            </w:r>
          </w:p>
        </w:tc>
        <w:tc>
          <w:tcPr>
            <w:tcW w:type="dxa" w:w="703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Passes all four value tests with no red flags: the same bar as BUY for a share you do not own, so consider adding. The reason notes "getting cheaper" when momentum_ok = Y.</w:t>
            </w:r>
          </w:p>
        </w:tc>
      </w:tr>
      <w:tr>
        <w:trPr>
          <w:cantSplit/>
        </w:trPr>
        <w:tc>
          <w:tcPr>
            <w:tcW w:type="dxa" w:w="96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4</w:t>
            </w:r>
          </w:p>
        </w:tc>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HOLD</w:t>
            </w:r>
          </w:p>
        </w:tc>
        <w:tc>
          <w:tcPr>
            <w:tcW w:type="dxa" w:w="703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Otherwise: no red flags, but fails one or more value tests (named in the reason), so not a candidate to add to.</w:t>
            </w:r>
          </w:p>
        </w:tc>
      </w:tr>
    </w:tbl>
    <w:p>
      <w:pPr>
        <w:spacing w:after="120"/>
      </w:pPr>
    </w:p>
    <w:p>
      <w:pPr>
        <w:spacing w:after="120"/>
      </w:pPr>
      <w:r>
        <w:rPr>
          <w:b/>
          <w:bCs/>
        </w:rPr>
        <w:t xml:space="preserve">CGT timing note.</w:t>
      </w:r>
      <w:r>
        <w:t xml:space="preserve"> On a SELL or REVIEW, if any open parcel becomes eligible for the 50% CGT discount within the next 90 days, the reason states how many units and from what date, so the timing of a sale can be considered. The note never appears on ACCUMULATE or HOLD, since neither suggests selling.</w:t>
      </w:r>
    </w:p>
    <w:p>
      <w:pPr>
        <w:pStyle w:val="Heading2"/>
      </w:pPr>
      <w:r>
        <w:t xml:space="preserve">10.3 Report order</w:t>
      </w:r>
    </w:p>
    <w:p>
      <w:pPr>
        <w:spacing w:after="120"/>
      </w:pPr>
      <w:r>
        <w:t xml:space="preserve">The action report groups companies as SELL, REVIEW, ACCUMULATE, HOLD, BUY, INVESTIGATE, WATCH and AVOID, sorted by margin of safety within each group. IGNORE is counted only.</w:t>
      </w:r>
    </w:p>
    <w:p>
      <w:pPr>
        <w:pStyle w:val="Heading1"/>
      </w:pPr>
      <w:r>
        <w:t xml:space="preserve">11. Web Interface (Sift)</w:t>
      </w:r>
    </w:p>
    <w:p>
      <w:pPr>
        <w:spacing w:after="120"/>
      </w:pPr>
      <w:r>
        <w:t xml:space="preserve">Sift is the browser interface to the screener. It shows the same results as the command-line tools, plus the displays below.</w:t>
      </w:r>
    </w:p>
    <w:p>
      <w:pPr>
        <w:pStyle w:val="Heading2"/>
      </w:pPr>
      <w:r>
        <w:t xml:space="preserve">11.1 Valuation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Status</w:t>
            </w:r>
          </w:p>
        </w:tc>
        <w:tc>
          <w:tcPr>
            <w:tcW w:type="dxa" w:w="7711"/>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Rule</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Undervalued</w:t>
            </w:r>
          </w:p>
        </w:tc>
        <w:tc>
          <w:tcPr>
            <w:tcW w:type="dxa" w:w="77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Margin of safety above 20% (passes the margin of safety value test).</w:t>
            </w:r>
          </w:p>
        </w:tc>
      </w:tr>
      <w:tr>
        <w:trPr>
          <w:cantSplit/>
        </w:trPr>
        <w:tc>
          <w:tcPr>
            <w:tcW w:type="dxa" w:w="19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Fair value</w:t>
            </w:r>
          </w:p>
        </w:tc>
        <w:tc>
          <w:tcPr>
            <w:tcW w:type="dxa" w:w="771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Margin of safety from 0% to 20%.</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Overvalued</w:t>
            </w:r>
          </w:p>
        </w:tc>
        <w:tc>
          <w:tcPr>
            <w:tcW w:type="dxa" w:w="77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Margin of safety below 0%: the price is above estimated value.</w:t>
            </w:r>
          </w:p>
        </w:tc>
      </w:tr>
      <w:tr>
        <w:trPr>
          <w:cantSplit/>
        </w:trPr>
        <w:tc>
          <w:tcPr>
            <w:tcW w:type="dxa" w:w="19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No estimate</w:t>
            </w:r>
          </w:p>
        </w:tc>
        <w:tc>
          <w:tcPr>
            <w:tcW w:type="dxa" w:w="771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No valuation model could run, so there is no margin of safety.</w:t>
            </w:r>
          </w:p>
        </w:tc>
      </w:tr>
    </w:tbl>
    <w:p>
      <w:pPr>
        <w:spacing w:after="160" w:before="60"/>
      </w:pPr>
      <w:r>
        <w:rPr>
          <w:i/>
          <w:iCs/>
          <w:color w:val="555555"/>
          <w:sz w:val="18"/>
          <w:szCs w:val="18"/>
        </w:rPr>
        <w:t xml:space="preserve">Implied upside, shown on each company page, is (estimated value - price) / price. It differs from margin of safety, which divides by estimated value: a 40% margin of safety is a 67% implied upside.</w:t>
      </w:r>
    </w:p>
    <w:p>
      <w:pPr>
        <w:pStyle w:val="Heading2"/>
      </w:pPr>
      <w:r>
        <w:t xml:space="preserve">11.2 Score wheel</w:t>
      </w:r>
    </w:p>
    <w:p>
      <w:pPr>
        <w:spacing w:after="120"/>
      </w:pPr>
      <w:r>
        <w:t xml:space="preserve">The web interface's company page summarises each company on a five-spoke score wheel, similar in style to Simply Wall St. Each spoke counts how many of six yes/no checks the company passes, so its score runs from 0 to 6 and every point traces to a named rule.</w:t>
      </w:r>
    </w:p>
    <w:p>
      <w:pPr>
        <w:pStyle w:val="ListParagraph"/>
        <w:numPr>
          <w:ilvl w:val="0"/>
          <w:numId w:val="2"/>
        </w:numPr>
        <w:spacing w:after="60"/>
      </w:pPr>
      <w:r>
        <w:t xml:space="preserve">A check with missing data shows as no data and never counts as a pass.</w:t>
      </w:r>
    </w:p>
    <w:p>
      <w:pPr>
        <w:pStyle w:val="ListParagraph"/>
        <w:numPr>
          <w:ilvl w:val="0"/>
          <w:numId w:val="2"/>
        </w:numPr>
        <w:spacing w:after="60"/>
      </w:pPr>
      <w:r>
        <w:t xml:space="preserve">Thresholds reuse the screener's own wherever one exists, so the wheel cannot contradict the value tests or markers.</w:t>
      </w:r>
    </w:p>
    <w:p>
      <w:pPr>
        <w:pStyle w:val="ListParagraph"/>
        <w:numPr>
          <w:ilvl w:val="0"/>
          <w:numId w:val="2"/>
        </w:numPr>
        <w:spacing w:after="60"/>
      </w:pPr>
      <w:r>
        <w:t xml:space="preserve">The wheel describes a company; it does not decide anything. The suggested action still comes only from the rules in section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tblHeader/>
        </w:trPr>
        <w:tc>
          <w:tcPr>
            <w:tcW w:type="dxa" w:w="1638"/>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Spoke</w:t>
            </w:r>
          </w:p>
        </w:tc>
        <w:tc>
          <w:tcPr>
            <w:tcW w:type="dxa" w:w="8000"/>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The six checks (one point each)</w:t>
            </w:r>
          </w:p>
        </w:tc>
      </w:tr>
      <w:tr>
        <w:trPr>
          <w:cantSplit/>
        </w:trPr>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Value</w:t>
            </w:r>
          </w:p>
        </w:tc>
        <w:tc>
          <w:tcPr>
            <w:tcW w:type="dxa" w:w="800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Margin of safety above 0%; above 20%; above 40%. P/E between 0 and 15. P/B between 0 and 1.5. Price below the Graham Number.</w:t>
            </w:r>
          </w:p>
        </w:tc>
      </w:tr>
      <w:tr>
        <w:trPr>
          <w:cantSplit/>
        </w:trPr>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Performance</w:t>
            </w:r>
          </w:p>
        </w:tc>
        <w:tc>
          <w:tcPr>
            <w:tcW w:type="dxa" w:w="800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ROE above 12%; above 20%. ROIC above 10%. fundamentals_trend not DECLINING. earnings_quality STRONG or ADEQUATE; STRONG.</w:t>
            </w:r>
          </w:p>
        </w:tc>
      </w:tr>
      <w:tr>
        <w:trPr>
          <w:cantSplit/>
        </w:trPr>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Health</w:t>
            </w:r>
          </w:p>
        </w:tc>
        <w:tc>
          <w:tcPr>
            <w:tcW w:type="dxa" w:w="800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Debt to equity below 0.8; below 0.4. Cash at least equal to total debt. Positive shareholders' equity. Positive free cash flow. Positive net profit.</w:t>
            </w:r>
          </w:p>
        </w:tc>
      </w:tr>
      <w:tr>
        <w:trPr>
          <w:cantSplit/>
        </w:trPr>
        <w:tc>
          <w:tcPr>
            <w:tcW w:type="dxa" w:w="163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w:t>
            </w:r>
          </w:p>
        </w:tc>
        <w:tc>
          <w:tcPr>
            <w:tcW w:type="dxa" w:w="800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Pays a dividend. Grossed-up yield above 4.5%; above 6%. Payout ratio 100% or less. dividend_trend STEADY or GROWING; GROWING.</w:t>
            </w:r>
          </w:p>
        </w:tc>
      </w:tr>
      <w:tr>
        <w:trPr>
          <w:cantSplit/>
        </w:trPr>
        <w:tc>
          <w:tcPr>
            <w:tcW w:type="dxa" w:w="163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Momentum</w:t>
            </w:r>
          </w:p>
        </w:tc>
        <w:tc>
          <w:tcPr>
            <w:tcW w:type="dxa" w:w="800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price_signal UPTREND. Not making new 52-week lows. In the upper half of the 52-week range. margin_of_safety_trend above zero; momentum_ok = Y. fundamentals_trend IMPROVING.</w:t>
            </w:r>
          </w:p>
        </w:tc>
      </w:tr>
    </w:tbl>
    <w:p>
      <w:pPr>
        <w:spacing w:after="160" w:before="60"/>
      </w:pPr>
      <w:r>
        <w:rPr>
          <w:i/>
          <w:iCs/>
          <w:color w:val="555555"/>
          <w:sz w:val="18"/>
          <w:szCs w:val="18"/>
        </w:rPr>
        <w:t xml:space="preserve">A semicolon separates two thresholds on the same measure, for example ROE above 12% and ROE above 20% are two separate checks.</w:t>
      </w:r>
    </w:p>
    <w:p>
      <w:pPr>
        <w:pStyle w:val="Heading2"/>
      </w:pPr>
      <w:r>
        <w:t xml:space="preserve">11.3 Dashboard</w:t>
      </w:r>
    </w:p>
    <w:p>
      <w:pPr>
        <w:spacing w:after="120"/>
      </w:pPr>
      <w:r>
        <w:t xml:space="preserve">Sift opens on a dashboard that applies the following rules. It reads the same results as the screener; it adds no new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Panel</w:t>
            </w:r>
          </w:p>
        </w:tc>
        <w:tc>
          <w:tcPr>
            <w:tcW w:type="dxa" w:w="7711"/>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Rule</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Data date</w:t>
            </w:r>
          </w:p>
        </w:tc>
        <w:tc>
          <w:tcPr>
            <w:tcW w:type="dxa" w:w="77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date of the latest valuations. Shown as out of date when it is older than the previous weekday's close (so Friday's data stays current over the weekend; a public holiday also shows as out of date). Also flagged when the last nightly run crashed or did not finish. Individual companies that could not be updated are reported but not flagged, as a few occur most nights.</w:t>
            </w:r>
          </w:p>
        </w:tc>
      </w:tr>
      <w:tr>
        <w:trPr>
          <w:cantSplit/>
        </w:trPr>
        <w:tc>
          <w:tcPr>
            <w:tcW w:type="dxa" w:w="19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Portfolio</w:t>
            </w:r>
          </w:p>
        </w:tc>
        <w:tc>
          <w:tcPr>
            <w:tcW w:type="dxa" w:w="771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Value is units held multiplied by the latest close. Today's change compares the two latest closes. Unrealised gain is value less cost base, before tax.</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Needs attention</w:t>
            </w:r>
          </w:p>
        </w:tc>
        <w:tc>
          <w:tcPr>
            <w:tcW w:type="dxa" w:w="77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Held shares with a SELL or REVIEW action, parcels that reach the CGT discount within 90 days, and held shares missing from the watchlist file.</w:t>
            </w:r>
          </w:p>
        </w:tc>
      </w:tr>
      <w:tr>
        <w:trPr>
          <w:cantSplit/>
        </w:trPr>
        <w:tc>
          <w:tcPr>
            <w:tcW w:type="dxa" w:w="1927"/>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What changed</w:t>
            </w:r>
          </w:p>
        </w:tc>
        <w:tc>
          <w:tcPr>
            <w:tcW w:type="dxa" w:w="771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Companies whose suggested action moved between the latest two nights of recorded signals, ranked BUY and ACCUMULATE, then INVESTIGATE, then WATCH and HOLD, then REVIEW and IGNORE, then AVOID and SELL. A move within the same rank, or one caused by buying or selling the shares, is not listed. Better moves are listed first.</w:t>
            </w:r>
          </w:p>
        </w:tc>
      </w:tr>
      <w:tr>
        <w:trPr>
          <w:cantSplit/>
        </w:trPr>
        <w:tc>
          <w:tcPr>
            <w:tcW w:type="dxa" w:w="1927"/>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Top opportunities</w:t>
            </w:r>
          </w:p>
        </w:tc>
        <w:tc>
          <w:tcPr>
            <w:tcW w:type="dxa" w:w="771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Up to six shares you do not hold: BUY first, then INVESTIGATE, each ordered by score wheel total and then margin of safety.</w:t>
            </w:r>
          </w:p>
        </w:tc>
      </w:tr>
    </w:tbl>
    <w:p>
      <w:pPr>
        <w:spacing w:after="160" w:before="60"/>
      </w:pPr>
      <w:r>
        <w:rPr>
          <w:i/>
          <w:iCs/>
          <w:color w:val="555555"/>
          <w:sz w:val="18"/>
          <w:szCs w:val="18"/>
        </w:rPr>
        <w:t xml:space="preserve">The menu bar's Markets links open the ASX, the ASX exchange traded fund (ETF) directory, the New York Stock Exchange (NYSE) and Nasdaq websites.</w:t>
      </w:r>
    </w:p>
    <w:p>
      <w:pPr>
        <w:pStyle w:val="Heading2"/>
      </w:pPr>
      <w:r>
        <w:t xml:space="preserve">11.4 Track record recording</w:t>
      </w:r>
    </w:p>
    <w:p>
      <w:pPr>
        <w:spacing w:after="120"/>
      </w:pPr>
      <w:r>
        <w:t xml:space="preserve">To test whether the suggestions work, every night Sift records what it said about each screened company: its signal. The record is the basis for measuring accuracy, and follows these rules.</w:t>
      </w:r>
    </w:p>
    <w:p>
      <w:pPr>
        <w:pStyle w:val="ListParagraph"/>
        <w:numPr>
          <w:ilvl w:val="0"/>
          <w:numId w:val="2"/>
        </w:numPr>
        <w:spacing w:after="60"/>
      </w:pPr>
      <w:r>
        <w:rPr>
          <w:b/>
          <w:bCs/>
        </w:rPr>
        <w:t xml:space="preserve">Never edited.</w:t>
      </w:r>
      <w:r>
        <w:t xml:space="preserve"> A night once recorded is kept exactly as it was, so later rule changes cannot rewrite what was said at the time.</w:t>
      </w:r>
    </w:p>
    <w:p>
      <w:pPr>
        <w:pStyle w:val="ListParagraph"/>
        <w:numPr>
          <w:ilvl w:val="0"/>
          <w:numId w:val="2"/>
        </w:numPr>
        <w:spacing w:after="60"/>
      </w:pPr>
      <w:r>
        <w:rPr>
          <w:b/>
          <w:bCs/>
        </w:rPr>
        <w:t xml:space="preserve">Dated by the valuation.</w:t>
      </w:r>
      <w:r>
        <w:t xml:space="preserve"> Each signal carries the closing price and date its valuation used.</w:t>
      </w:r>
    </w:p>
    <w:p>
      <w:pPr>
        <w:pStyle w:val="ListParagraph"/>
        <w:numPr>
          <w:ilvl w:val="0"/>
          <w:numId w:val="2"/>
        </w:numPr>
        <w:spacing w:after="60"/>
      </w:pPr>
      <w:r>
        <w:rPr>
          <w:b/>
          <w:bCs/>
        </w:rPr>
        <w:t xml:space="preserve">Out-of-date valuations are skipped.</w:t>
      </w:r>
      <w:r>
        <w:t xml:space="preserve"> If a company's valuation failed that night, no signal is recorded for it rather than pairing an old estimate with a new price.</w:t>
      </w:r>
    </w:p>
    <w:p>
      <w:pPr>
        <w:pStyle w:val="ListParagraph"/>
        <w:numPr>
          <w:ilvl w:val="0"/>
          <w:numId w:val="2"/>
        </w:numPr>
        <w:spacing w:after="60"/>
      </w:pPr>
      <w:r>
        <w:rPr>
          <w:b/>
          <w:bCs/>
        </w:rPr>
        <w:t xml:space="preserve">Rules version.</w:t>
      </w:r>
      <w:r>
        <w:t xml:space="preserve"> Each signal records the date the screening rules last changed, so each version of the rules is judged on its own results.</w:t>
      </w:r>
    </w:p>
    <w:p>
      <w:pPr>
        <w:pStyle w:val="ListParagraph"/>
        <w:numPr>
          <w:ilvl w:val="0"/>
          <w:numId w:val="2"/>
        </w:numPr>
        <w:spacing w:after="60"/>
      </w:pPr>
      <w:r>
        <w:rPr>
          <w:b/>
          <w:bCs/>
        </w:rPr>
        <w:t xml:space="preserve">Forward only.</w:t>
      </w:r>
      <w:r>
        <w:t xml:space="preserve"> Results are measured from the first night recorded; past signals are not reconstructed, because today's data would flatter them.</w:t>
      </w:r>
    </w:p>
    <w:p>
      <w:pPr>
        <w:spacing w:after="120"/>
      </w:pPr>
      <w:r>
        <w:t xml:space="preserve">Each signal will be compared with the share's total return, including dividends, after 1, 3, 6 and 12 months, against the average of every screened company over the same period. A suggestion to buy that beats the average counts as right.</w:t>
      </w:r>
    </w:p>
    <w:p>
      <w:pPr>
        <w:pStyle w:val="Heading1"/>
      </w:pPr>
      <w:r>
        <w:t xml:space="preserve">12. Holdings and CGT Rules</w:t>
      </w:r>
    </w:p>
    <w:p>
      <w:pPr>
        <w:spacing w:after="120"/>
      </w:pPr>
      <w:r>
        <w:t xml:space="preserve">Holdings are recorded parcel by parcel. The tax arithmetic follows the mechanical parts of the Australian Taxation Office (ATO) rules for individuals.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Item</w:t>
            </w:r>
          </w:p>
        </w:tc>
        <w:tc>
          <w:tcPr>
            <w:tcW w:type="dxa" w:w="7518"/>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Rule</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Parcel</w:t>
            </w:r>
          </w:p>
        </w:tc>
        <w:tc>
          <w:tcPr>
            <w:tcW w:type="dxa" w:w="751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Each acquisition is recorded separately: units, date, price, brokerage, method (purchase, dividend reinvestment plan (DRP), bonus, transfer, other), broker and notes.</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Cost base</w:t>
            </w:r>
          </w:p>
        </w:tc>
        <w:tc>
          <w:tcPr>
            <w:tcW w:type="dxa" w:w="751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Units × buy price + buy brokerage.</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Capital proceeds</w:t>
            </w:r>
          </w:p>
        </w:tc>
        <w:tc>
          <w:tcPr>
            <w:tcW w:type="dxa" w:w="751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Units × sell price − sell brokerage.</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Capital gain or loss</w:t>
            </w:r>
          </w:p>
        </w:tc>
        <w:tc>
          <w:tcPr>
            <w:tcW w:type="dxa" w:w="751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Capital proceeds − cost base.</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Discount eligibility</w:t>
            </w:r>
          </w:p>
        </w:tc>
        <w:tc>
          <w:tcPr>
            <w:tcW w:type="dxa" w:w="751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sale must fall strictly after the first anniversary of purchase. A 29 February purchase anniversaries on 28 February.</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Discount rate</w:t>
            </w:r>
          </w:p>
        </w:tc>
        <w:tc>
          <w:tcPr>
            <w:tcW w:type="dxa" w:w="751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50% (individuals and trusts).</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Financial year</w:t>
            </w:r>
          </w:p>
        </w:tc>
        <w:tc>
          <w:tcPr>
            <w:tcW w:type="dxa" w:w="751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1 July to 30 June, labelled for example 2025-26.</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Loss ordering</w:t>
            </w:r>
          </w:p>
        </w:tc>
        <w:tc>
          <w:tcPr>
            <w:tcW w:type="dxa" w:w="751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Capital losses offset non-discountable gains first, then discountable gains. The 50% discount applies to what remains of the discountable gains. Leftover losses are reported as unused.</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Partial sale</w:t>
            </w:r>
          </w:p>
        </w:tc>
        <w:tc>
          <w:tcPr>
            <w:tcW w:type="dxa" w:w="751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parcel is split; sell brokerage is apportioned by units.</w:t>
            </w:r>
          </w:p>
        </w:tc>
      </w:tr>
      <w:tr>
        <w:trPr>
          <w:cantSplit/>
        </w:trPr>
        <w:tc>
          <w:tcPr>
            <w:tcW w:type="dxa" w:w="2120"/>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Sell order</w:t>
            </w:r>
          </w:p>
        </w:tc>
        <w:tc>
          <w:tcPr>
            <w:tcW w:type="dxa" w:w="7518"/>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First in, first out (FIFO): oldest parcel first; min-tax (lowest taxable gain per unit first, with losses first and discount-eligible gains counted at half); or a specific parcel.</w:t>
            </w:r>
          </w:p>
        </w:tc>
      </w:tr>
      <w:tr>
        <w:trPr>
          <w:cantSplit/>
        </w:trPr>
        <w:tc>
          <w:tcPr>
            <w:tcW w:type="dxa" w:w="2120"/>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Not covered</w:t>
            </w:r>
          </w:p>
        </w:tc>
        <w:tc>
          <w:tcPr>
            <w:tcW w:type="dxa" w:w="7518"/>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Losses carried forward from earlier years, dividend income and franking credits, and cost base adjustments for corporate actions.</w:t>
            </w:r>
          </w:p>
        </w:tc>
      </w:tr>
    </w:tbl>
    <w:p>
      <w:pPr>
        <w:spacing w:after="160" w:before="60"/>
      </w:pPr>
      <w:r>
        <w:rPr>
          <w:i/>
          <w:iCs/>
          <w:color w:val="555555"/>
          <w:sz w:val="18"/>
          <w:szCs w:val="18"/>
        </w:rPr>
        <w:t xml:space="preserve">A record-keeping aid to reconcile against broker statements, not tax advice.</w:t>
      </w:r>
    </w:p>
    <w:p>
      <w:pPr>
        <w:pStyle w:val="Heading1"/>
      </w:pPr>
      <w:r>
        <w:t xml:space="preserve">13. Key Limitations</w:t>
      </w:r>
    </w:p>
    <w:p>
      <w:pPr>
        <w:pStyle w:val="ListParagraph"/>
        <w:numPr>
          <w:ilvl w:val="0"/>
          <w:numId w:val="2"/>
        </w:numPr>
        <w:spacing w:after="60"/>
      </w:pPr>
      <w:r>
        <w:rPr>
          <w:b/>
          <w:bCs/>
        </w:rPr>
        <w:t xml:space="preserve">Source data.</w:t>
      </w:r>
      <w:r>
        <w:t xml:space="preserve"> Yahoo Finance data varies in completeness and accuracy. data_confidence and the red flags highlight gaps but cannot correct source errors.</w:t>
      </w:r>
    </w:p>
    <w:p>
      <w:pPr>
        <w:pStyle w:val="ListParagraph"/>
        <w:numPr>
          <w:ilvl w:val="0"/>
          <w:numId w:val="2"/>
        </w:numPr>
        <w:spacing w:after="60"/>
      </w:pPr>
      <w:r>
        <w:rPr>
          <w:b/>
          <w:bCs/>
        </w:rPr>
        <w:t xml:space="preserve">Fixed thresholds.</w:t>
      </w:r>
      <w:r>
        <w:t xml:space="preserve"> The same thresholds apply across all sectors (apart from the choice of valuation model), and the rules cannot see context such as takeover bids, write-downs or management change.</w:t>
      </w:r>
    </w:p>
    <w:p>
      <w:pPr>
        <w:pStyle w:val="ListParagraph"/>
        <w:numPr>
          <w:ilvl w:val="0"/>
          <w:numId w:val="2"/>
        </w:numPr>
        <w:spacing w:after="60"/>
      </w:pPr>
      <w:r>
        <w:rPr>
          <w:b/>
          <w:bCs/>
        </w:rPr>
        <w:t xml:space="preserve">Franking.</w:t>
      </w:r>
      <w:r>
        <w:t xml:space="preserve"> Australian companies are assumed fully franked unless corrected by hand, so partly franked payers and some listed investment companies (LICs) are overstated.</w:t>
      </w:r>
    </w:p>
    <w:p>
      <w:pPr>
        <w:pStyle w:val="ListParagraph"/>
        <w:numPr>
          <w:ilvl w:val="0"/>
          <w:numId w:val="2"/>
        </w:numPr>
        <w:spacing w:after="60"/>
      </w:pPr>
      <w:r>
        <w:rPr>
          <w:b/>
          <w:bCs/>
        </w:rPr>
        <w:t xml:space="preserve">Share count.</w:t>
      </w:r>
      <w:r>
        <w:t xml:space="preserve"> Shares on issue are estimated, which can distort per-share values for small companies. The margin of safety sanity cap removes the worst cases.</w:t>
      </w:r>
    </w:p>
    <w:p>
      <w:pPr>
        <w:pStyle w:val="ListParagraph"/>
        <w:numPr>
          <w:ilvl w:val="0"/>
          <w:numId w:val="2"/>
        </w:numPr>
        <w:spacing w:after="60"/>
      </w:pPr>
      <w:r>
        <w:rPr>
          <w:b/>
          <w:bCs/>
        </w:rPr>
        <w:t xml:space="preserve">History needed.</w:t>
      </w:r>
      <w:r>
        <w:t xml:space="preserve"> margin_of_safety_trend needs 30 days of daily valuations, and the price markers need about 200 trading days of prices (a one-off one-year price backfill fills this immediately).</w:t>
      </w:r>
    </w:p>
    <w:p>
      <w:pPr>
        <w:pStyle w:val="ListParagraph"/>
        <w:numPr>
          <w:ilvl w:val="0"/>
          <w:numId w:val="2"/>
        </w:numPr>
        <w:spacing w:after="60"/>
      </w:pPr>
      <w:r>
        <w:rPr>
          <w:b/>
          <w:bCs/>
        </w:rPr>
        <w:t xml:space="preserve">Currency movements.</w:t>
      </w:r>
      <w:r>
        <w:t xml:space="preserve"> Statements in other currencies are converted at each year's own exchange rate, so revenue growth is measured in Australian dollars and includes currency movements.</w:t>
      </w:r>
    </w:p>
    <w:p>
      <w:pPr>
        <w:pStyle w:val="ListParagraph"/>
        <w:numPr>
          <w:ilvl w:val="0"/>
          <w:numId w:val="2"/>
        </w:numPr>
        <w:spacing w:after="60"/>
      </w:pPr>
      <w:r>
        <w:rPr>
          <w:b/>
          <w:bCs/>
        </w:rPr>
        <w:t xml:space="preserve">Two-point trends.</w:t>
      </w:r>
      <w:r>
        <w:t xml:space="preserve"> fundamentals_trend compares only the first and last years of the window, not the path between them.</w:t>
      </w:r>
    </w:p>
    <w:p>
      <w:pPr>
        <w:pStyle w:val="Heading1"/>
        <w:pageBreakBefore/>
      </w:pPr>
      <w:r>
        <w:t xml:space="preserve">Appendix A: Glossary</w:t>
      </w:r>
    </w:p>
    <w:p>
      <w:pPr>
        <w:pStyle w:val="Heading2"/>
      </w:pPr>
      <w:r>
        <w:t xml:space="preserve">A.1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891"/>
        <w:gridCol w:w="5591"/>
      </w:tblGrid>
      <w:tr>
        <w:trPr>
          <w:tblHeader/>
        </w:trPr>
        <w:tc>
          <w:tcPr>
            <w:tcW w:type="dxa" w:w="1156"/>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Acronym</w:t>
            </w:r>
          </w:p>
        </w:tc>
        <w:tc>
          <w:tcPr>
            <w:tcW w:type="dxa" w:w="2891"/>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Full term</w:t>
            </w:r>
          </w:p>
        </w:tc>
        <w:tc>
          <w:tcPr>
            <w:tcW w:type="dxa" w:w="5591"/>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Meaning in this document</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ASX</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Australian Securities Exchange</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Australia's main stock exchange. The companies screened are listed here.</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ATO</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Australian Taxation Office</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Sets the capital gains tax rules applied to your holdings.</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CGT</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Capital gains tax</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Tax on the gain made when an asset, such as a share parcel, is sold.</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DCF</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Discounted cash flow</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Valuation that converts expected future free cash flows into today's dollars.</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DDM</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Dividend discount model</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Valuation that converts expected future dividends into today's dollars. Used for financials and property.</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DRP</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 reinvestment plan</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Dividends paid as new shares instead of cash. Each reinvestment creates a new parcel.</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EBIT</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Earnings before interest and tax</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Operating profit before financing costs and tax.</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EPS</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Earnings per share</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Net profit after tax divided by shares on issue.</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ETF</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Exchange traded fund</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fund that trades on a stock exchange like a share, usually tracking an index.</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EV</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Enterprise value</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Market capitalisation plus debt minus cash: the value of the whole business.</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FCF</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Free cash flow</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Operating cash flow less capital expenditure: the cash available to shareholders.</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FIFO</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First in, first out</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Sell order that disposes of the oldest parcel first.</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FY</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Financial year</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company's annual reporting period. For tax purposes, 1 July to 30 June.</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LIC</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Listed investment company</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An ASX-listed company whose business is investing in other shares.</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No</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company fails the test.</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NYSE</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New York Stock Exchange</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largest stock exchange in the United States.</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P/B</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Price-to-book ratio</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Share price divided by book value per share.</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P/E</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Price-to-earnings ratio</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Share price divided by EPS.</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REIT</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Real estate investment trust</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listed trust that owns income-producing property.</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ROE</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Return on equity</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Net profit as a percentage of shareholders' equity.</w:t>
            </w:r>
          </w:p>
        </w:tc>
      </w:tr>
      <w:tr>
        <w:trPr>
          <w:cantSplit/>
        </w:trPr>
        <w:tc>
          <w:tcPr>
            <w:tcW w:type="dxa" w:w="1156"/>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ROIC</w:t>
            </w:r>
          </w:p>
        </w:tc>
        <w:tc>
          <w:tcPr>
            <w:tcW w:type="dxa" w:w="28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Return on invested capital</w:t>
            </w:r>
          </w:p>
        </w:tc>
        <w:tc>
          <w:tcPr>
            <w:tcW w:type="dxa" w:w="5591"/>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Net profit as a percentage of debt plus equity, less cash.</w:t>
            </w:r>
          </w:p>
        </w:tc>
      </w:tr>
      <w:tr>
        <w:trPr>
          <w:cantSplit/>
        </w:trPr>
        <w:tc>
          <w:tcPr>
            <w:tcW w:type="dxa" w:w="1156"/>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Y</w:t>
            </w:r>
          </w:p>
        </w:tc>
        <w:tc>
          <w:tcPr>
            <w:tcW w:type="dxa" w:w="28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Yes</w:t>
            </w:r>
          </w:p>
        </w:tc>
        <w:tc>
          <w:tcPr>
            <w:tcW w:type="dxa" w:w="5591"/>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company passes the test.</w:t>
            </w:r>
          </w:p>
        </w:tc>
      </w:tr>
    </w:tbl>
    <w:p>
      <w:pPr>
        <w:spacing w:after="120"/>
      </w:pPr>
    </w:p>
    <w:p>
      <w:pPr>
        <w:pStyle w:val="Heading2"/>
      </w:pPr>
      <w:r>
        <w:t xml:space="preserve">A.2 Key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Term</w:t>
            </w:r>
          </w:p>
        </w:tc>
        <w:tc>
          <w:tcPr>
            <w:tcW w:type="dxa" w:w="7133"/>
            <w:tcBorders>
              <w:top w:val="single" w:color="BFC9D9" w:sz="4"/>
              <w:left w:val="single" w:color="BFC9D9" w:sz="4"/>
              <w:bottom w:val="single" w:color="BFC9D9" w:sz="4"/>
              <w:right w:val="single" w:color="BFC9D9" w:sz="4"/>
            </w:tcBorders>
            <w:shd w:fill="D9E2F3" w:color="auto" w:val="clear"/>
            <w:tcMar>
              <w:top w:type="dxa" w:w="60"/>
              <w:left w:type="dxa" w:w="100"/>
              <w:bottom w:type="dxa" w:w="60"/>
              <w:right w:type="dxa" w:w="100"/>
            </w:tcMar>
          </w:tcPr>
          <w:p>
            <w:pPr>
              <w:spacing w:after="0"/>
            </w:pPr>
            <w:r>
              <w:rPr>
                <w:b/>
                <w:bCs/>
                <w:color w:val="1F3864"/>
                <w:sz w:val="18"/>
                <w:szCs w:val="18"/>
              </w:rPr>
              <w:t xml:space="preserve">Definition</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52-week range</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lowest to highest closing price over the past year.</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200-day moving average</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average of the last 200 daily closing prices. A common gauge of the longer-term price trend.</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Abnormal distribution</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one-off payment more than twice the usual annual dividend, such as a capital return or a very large special dividend. Excluded from all dividend figures (see section 3).</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Accumulate</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Add to a share you already hold. Suggested only when the share still meets the same standard as a new BUY.</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Book value</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Total shareholders' equity from the balance sheet. Per share: equity divided by shares on issue.</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Capital proceeds</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sale value of a parcel less selling brokerage.</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Capital return</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Money paid back to shareholders out of the company's capital rather than its profits, sometimes by cancelling a portion of shares. Not a dividend, though data feeds sometimes record it as one.</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CGT discount</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50% reduction in a capital gain for individuals and trusts on shares held for more than 12 months.</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Cost base</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purchase value of a parcel plus buying brokerage.</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Discount rate</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annual return required to justify the investment, used to convert future cash into today's dollars. 9% in this tool.</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Ex-dividend date</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date from which a buyer of the share no longer receives the next dividend. Used to assign each payment to a financial year.</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Franking credit</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 credit for company tax already paid on a dividend, which Australian resident shareholders can offset against their own tax.</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Grossed-up yield</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Dividend yield including the value of franking credits.</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Implied upside</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How much the share price would need to rise to reach estimated value: (estimated value - price) / price.</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Intrinsic value</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estimated value of a share based on the cash it is expected to generate, independent of the market price.</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Margin of safety</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How far the share price sits below intrinsic value. A buffer against errors in the estimate.</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Momentum (into value)</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widening margin of safety: the share is getting cheaper relative to its estimated value.</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Parcel</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A single acquisition of shares, tracked separately for tax.</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Payout ratio</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share of earnings paid out as dividends.</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Percentage point</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simple difference between two percentages. Moving from 20% to 25% is a rise of 5 percentage points.</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Red flag</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condition that downgrades an otherwise attractive result (see section 9).</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Reporting currency</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currency a company publishes its financial statements in, which can differ from the currency its shares trade in on the ASX.</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Score wheel</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five-spoke chart in the web interface; each spoke counts how many of six yes/no checks a company passes (see section 11.2).</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Signal</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What Sift said about a company on a given night: its suggested action, valuation status, estimated value and score, recorded for the track record (see section 11.4).</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Shares on issue</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The total number of a company's shares held by investors.</w:t>
            </w:r>
          </w:p>
        </w:tc>
      </w:tr>
      <w:tr>
        <w:trPr>
          <w:cantSplit/>
        </w:trPr>
        <w:tc>
          <w:tcPr>
            <w:tcW w:type="dxa" w:w="2505"/>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Terminal value</w:t>
            </w:r>
          </w:p>
        </w:tc>
        <w:tc>
          <w:tcPr>
            <w:tcW w:type="dxa" w:w="7133"/>
            <w:tcBorders>
              <w:top w:val="single" w:color="BFC9D9" w:sz="4"/>
              <w:left w:val="single" w:color="BFC9D9" w:sz="4"/>
              <w:bottom w:val="single" w:color="BFC9D9" w:sz="4"/>
              <w:right w:val="single" w:color="BFC9D9" w:sz="4"/>
            </w:tcBorders>
            <w:shd w:fill="F2F5FA" w:color="auto" w:val="clear"/>
            <w:tcMar>
              <w:top w:type="dxa" w:w="60"/>
              <w:left w:type="dxa" w:w="100"/>
              <w:bottom w:type="dxa" w:w="60"/>
              <w:right w:type="dxa" w:w="100"/>
            </w:tcMar>
          </w:tcPr>
          <w:p>
            <w:pPr>
              <w:spacing w:after="0"/>
            </w:pPr>
            <w:r>
              <w:rPr>
                <w:sz w:val="18"/>
                <w:szCs w:val="18"/>
              </w:rPr>
              <w:t xml:space="preserve">The value of all cash flows beyond the explicit forecast period, assuming steady growth thereafter.</w:t>
            </w:r>
          </w:p>
        </w:tc>
      </w:tr>
      <w:tr>
        <w:trPr>
          <w:cantSplit/>
        </w:trPr>
        <w:tc>
          <w:tcPr>
            <w:tcW w:type="dxa" w:w="2505"/>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Value trap</w:t>
            </w:r>
          </w:p>
        </w:tc>
        <w:tc>
          <w:tcPr>
            <w:tcW w:type="dxa" w:w="7133"/>
            <w:tcBorders>
              <w:top w:val="single" w:color="BFC9D9" w:sz="4"/>
              <w:left w:val="single" w:color="BFC9D9" w:sz="4"/>
              <w:bottom w:val="single" w:color="BFC9D9" w:sz="4"/>
              <w:right w:val="single" w:color="BFC9D9" w:sz="4"/>
            </w:tcBorders>
            <w:tcMar>
              <w:top w:type="dxa" w:w="60"/>
              <w:left w:type="dxa" w:w="100"/>
              <w:bottom w:type="dxa" w:w="60"/>
              <w:right w:type="dxa" w:w="100"/>
            </w:tcMar>
          </w:tcPr>
          <w:p>
            <w:pPr>
              <w:spacing w:after="0"/>
            </w:pPr>
            <w:r>
              <w:rPr>
                <w:sz w:val="18"/>
                <w:szCs w:val="18"/>
              </w:rPr>
              <w:t xml:space="preserve">A share that looks cheap because its business is deteriorating, not because the market has mispriced it.</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6"/>
        <w:szCs w:val="16"/>
      </w:rPr>
      <w:t xml:space="preserve">ASX Value Screener: Rules and Methodology</w:t>
    </w:r>
    <w:r>
      <w:rPr>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color w:val="2E559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ASX Value Screener: Rules and Methodology</dc:title>
  <dc:creator>ASX Value Screener</dc:creator>
  <cp:lastModifiedBy>Un-named</cp:lastModifiedBy>
  <cp:revision>1</cp:revision>
  <dcterms:created xsi:type="dcterms:W3CDTF">2026-10-05T12:21:56.275Z</dcterms:created>
  <dcterms:modified xsi:type="dcterms:W3CDTF">2026-10-05T12:21:56.275Z</dcterms:modified>
</cp:coreProperties>
</file>

<file path=docProps/custom.xml><?xml version="1.0" encoding="utf-8"?>
<Properties xmlns="http://schemas.openxmlformats.org/officeDocument/2006/custom-properties" xmlns:vt="http://schemas.openxmlformats.org/officeDocument/2006/docPropsVTypes"/>
</file>