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Heading2"/>
      </w:pPr>
      <w:r>
        <w:t xml:space="preserve">11.8 Listed investment companies and trusts (LICs)</w:t>
      </w:r>
    </w:p>
    <w:p>
      <w:pPr>
        <w:spacing w:after="120"/>
      </w:pPr>
      <w:r>
        <w:t xml:space="preserve">LICs and LITs are listed funds with a fixed number of shares, so the share price can sit above or below the value of what they hold. Sift treats them as a third group, apart from shares and ETFs, judged on the share price against net tangible assets (NTA).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Source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LIC sheet of the ASX Investment Products report, monthly: type (LIC, LIT), category, fee, performance fee, market cap, pre-tax NTA and its date, the premium or discount at that date, yield and returns. Benchmark index rows are left out.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reclassified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code already valued as a share that appears on the LIC sheet becomes an LIC: it leaves the share screener, suggested actions, scores and the track record.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Premium or discount</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share price divided by the last reported NTA, less one. Until prices are stored, the report's own figure at the NTA date. Positive is a premium, negative a discount.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dividends, returns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As for ETFs (section 11.7), fetched by the same nightly step; dividends are cash, before franking.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Watchlist triggers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at or below $Y; 12-month yield above X%; discount to NTA of at least X% (met while the premium is at or below minus X).</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NTA</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tangible assets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an LIC's investments are worth per share, less its liabilities, as the company reports it each month. Pre-tax NTA is before tax on gains not yet realised.</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Analyst ratings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many broker analysts rate a share strong buy, buy, hold, sell or strong sell, month by month, as collected by Yahoo Finance.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to NTA</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an LIC's share price sits above (premium) or below (discount) its net tangible assets per share. A discount means buying its investments for less than they're worth.</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target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price analysts expect in about 12 months: the lowest, average, median and highest of their targets, as collected by Yahoo Finance.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2026-10-06T11:39:07.782Z</dcterms:created>
  <dcterms:modified xsi:type="dcterms:W3CDTF">2026-10-06T11:39:07.783Z</dcterms:modified>
</cp:coreProperties>
</file>

<file path=docProps/custom.xml><?xml version="1.0" encoding="utf-8"?>
<Properties xmlns="http://schemas.openxmlformats.org/officeDocument/2006/custom-properties" xmlns:vt="http://schemas.openxmlformats.org/officeDocument/2006/docPropsVTypes"/>
</file>