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five steps in order: apply any database schema updates, ingest prices and financials, recalculate every valuation, record that night's signals for the track record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Each signal will be compared with the share's total return, including dividends, after 1, 3, 6 and 12 months, against the average of every screened company over the same period. A suggestion to buy that beats the average counts as right.</w:t>
      </w:r>
    </w:p>
    <w:p>
      <w:pPr>
        <w:pStyle w:val="Heading2"/>
      </w:pPr>
      <w:r>
        <w:t xml:space="preserve">11.5 Watchlists</w:t>
      </w:r>
    </w:p>
    <w:p>
      <w:pPr>
        <w:spacing w:after="120"/>
      </w:pPr>
      <w:r>
        <w:t xml:space="preserve">Watchlists are named lists of companies to follow without owning them. Only companies Sift values can be added. Each entry can carry a note and up to two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2026-10-05T21:45:27.696Z</dcterms:created>
  <dcterms:modified xsi:type="dcterms:W3CDTF">2026-10-05T21:45:27.696Z</dcterms:modified>
</cp:coreProperties>
</file>

<file path=docProps/custom.xml><?xml version="1.0" encoding="utf-8"?>
<Properties xmlns="http://schemas.openxmlformats.org/officeDocument/2006/custom-properties" xmlns:vt="http://schemas.openxmlformats.org/officeDocument/2006/docPropsVTypes"/>
</file>