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Shown for reference only; it is not used in any test or action.</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Holdings and CGT Rules</w:t>
      </w:r>
    </w:p>
    <w:p>
      <w:pPr>
        <w:spacing w:after="120"/>
      </w:pPr>
      <w:r>
        <w:t xml:space="preserve">Holdings are recorded parcel by parcel. The tax arithmetic follows the mechanical parts of the Australian Taxation Office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12.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2026-10-05T06:02:48.426Z</dcterms:created>
  <dcterms:modified xsi:type="dcterms:W3CDTF">2026-10-05T06:02:48.426Z</dcterms:modified>
</cp:coreProperties>
</file>

<file path=docProps/custom.xml><?xml version="1.0" encoding="utf-8"?>
<Properties xmlns="http://schemas.openxmlformats.org/officeDocument/2006/custom-properties" xmlns:vt="http://schemas.openxmlformats.org/officeDocument/2006/docPropsVTypes"/>
</file>