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Code version 4723a0a  |  Research tool, not financial advice</w:t>
      </w:r>
    </w:p>
    <w:p>
      <w:pPr>
        <w:pStyle w:val="Heading1"/>
      </w:pPr>
      <w:r>
        <w:t xml:space="preserve">1. Executive Summary</w:t>
      </w:r>
    </w:p>
    <w:p>
      <w:pPr>
        <w:spacing w:after="120"/>
      </w:pPr>
      <w:r>
        <w:t xml:space="preserve">This document sets out every rule the ASX Value Screener applies,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CGT timing.</w:t>
      </w:r>
    </w:p>
    <w:p>
      <w:pPr>
        <w:spacing w:after="120"/>
      </w:pPr>
      <w:r>
        <w:t xml:space="preserve">Every rule is deliberately simple and explainable. The outputs are research prompts to direct attention, not buy or sell instructions.</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or dividend discount (DDM) model,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Y/N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four steps in order: apply any database schema updates, ingest prices and financials, recalculate every valuation,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(FY) reports only.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P/E of 15 and a P/B of 1.5. Blank when EPS or book value is zero or negative. Shown for reference only; it is not used in any test or action.</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(free cash flow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 + total debt − cash) ÷ EBIT</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multiple,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or N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close price, market cap,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Otherwise. The reason adds "could add" when all four value tests still pass.</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w:t>
      </w:r>
    </w:p>
    <w:p>
      <w:pPr>
        <w:pStyle w:val="Heading2"/>
      </w:pPr>
      <w:r>
        <w:t xml:space="preserve">10.3 Report order</w:t>
      </w:r>
    </w:p>
    <w:p>
      <w:pPr>
        <w:spacing w:after="120"/>
      </w:pPr>
      <w:r>
        <w:t xml:space="preserve">The action report groups companies as SELL, REVIEW, HOLD, BUY, INVESTIGATE, WATCH and AVOID, sorted by margin of safety within each group. IGNORE is counted only.</w:t>
      </w:r>
    </w:p>
    <w:p>
      <w:pPr>
        <w:pStyle w:val="Heading1"/>
      </w:pPr>
      <w:r>
        <w:t xml:space="preserve">11. Holdings and CGT Rules</w:t>
      </w:r>
    </w:p>
    <w:p>
      <w:pPr>
        <w:spacing w:after="120"/>
      </w:pPr>
      <w:r>
        <w:t xml:space="preserve">Holdings are recorded parcel by parcel. The tax arithmetic follows the mechanical parts of the ATO rules for individuals.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50% (individuals and trusts).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losses offset non-discountable gains first, then discountable gains. The 50% discount applies to what remains of the discountable gains. Leftover losses are reported as unused.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FIFO (oldest parcel first); min-tax (lowest taxable gain per unit first, with losses first and discount-eligible gains counted at half); or a specific parcel.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Losses carried forward from earlier years, dividend income and franking credits, and cost base adjustments for corporate actions.</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12.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2026-10-05T05:54:18.536Z</dcterms:created>
  <dcterms:modified xsi:type="dcterms:W3CDTF">2026-10-05T05:54:18.536Z</dcterms:modified>
</cp:coreProperties>
</file>

<file path=docProps/custom.xml><?xml version="1.0" encoding="utf-8"?>
<Properties xmlns="http://schemas.openxmlformats.org/officeDocument/2006/custom-properties" xmlns:vt="http://schemas.openxmlformats.org/officeDocument/2006/docPropsVTypes"/>
</file>