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fee, fund size, flows, spread, yield, performance), not by position. The category is the section heading above each fund (for example Equity - Australia). Fractions written as plain numbers (0.0737 for 7.37%) are converted. Benchmark index rows, LICs, A-REITs and infrastructure funds are left out.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 returns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report's 1-month and 1, 3 and 5-year returns come from Bloomberg with dividends reinvested gross, including franking credits. Each ETF's page shows them beside Sift's own cash-only returns.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2026-10-06T08:17:13.786Z</dcterms:created>
  <dcterms:modified xsi:type="dcterms:W3CDTF">2026-10-06T08:17:13.786Z</dcterms:modified>
</cp:coreProperties>
</file>

<file path=docProps/custom.xml><?xml version="1.0" encoding="utf-8"?>
<Properties xmlns="http://schemas.openxmlformats.org/officeDocument/2006/custom-properties" xmlns:vt="http://schemas.openxmlformats.org/officeDocument/2006/docPropsVTypes"/>
</file>