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5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six steps in order: apply any database schema updates, ingest prices and financials, recalculate every valuation, record that night's signals for the track record, score earlier signals whose 1, 3, 6 or 12 months have passed (section 11.4),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FY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Ordinary dividends per share for each financial year: the twelve months of ex-dividend dates ending four months after the balance date, capturing the interim paid during the year and the final paid after it. If those four months have not passed yet, the twelve months to today are used.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Abnormal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payment more than twice the company's typical annual dividend (the median twelve-month total of its other payments within three years) is excluded from every dividend figure and stored separately. Needs at least two comparable payments. The web interface shows any excluded amount.</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Currency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statements published in another currency (US dollars for most large miners, New Zealand dollars for NZ listings) are converted into the share price's currency at the exchange rate on each report's balance date. Dividends are already in the share price's currency and are not converted. If no exchange rate is available, that company's statements are not updated for the day rather than stored in the wrong currency.</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A price below it means the share meets both of Graham's limits at once. It is not used in the four value tests or the suggested action; it is one of the six Value checks in the score wheel (section 11.2). Because it ignores growth, it understates companies with few physical assets, such as software businesses.</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 Uses ordinary dividends only (see section 3).</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Web Interface (Sift)</w:t>
      </w:r>
    </w:p>
    <w:p>
      <w:pPr>
        <w:spacing w:after="120"/>
      </w:pPr>
      <w:r>
        <w:t xml:space="preserve">Sift is the browser interface to the screener. It shows the same results as the command-line tools, plus the displays below.</w:t>
      </w:r>
    </w:p>
    <w:p>
      <w:pPr>
        <w:pStyle w:val="Heading2"/>
      </w:pPr>
      <w:r>
        <w:t xml:space="preserve">11.1 Valuation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Status</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Undervalued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20% (passes the margin of safety value test).</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Fair value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 from 0% to 20%.</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below 0%: the price is above estimated value.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estimate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valuation model could run, so there is no margin of safety.</w:t>
            </w:r>
          </w:p>
        </w:tc>
      </w:tr>
    </w:tbl>
    <w:p>
      <w:pPr>
        <w:spacing w:after="160" w:before="60"/>
      </w:pPr>
      <w:r>
        <w:rPr>
          <w:i/>
          <w:iCs/>
          <w:color w:val="555555"/>
          <w:sz w:val="18"/>
          <w:szCs w:val="18"/>
        </w:rPr>
        <w:t xml:space="preserve">Implied upside, shown on each company page, is (estimated value - price) / price. It differs from margin of safety, which divides by estimated value: a 40% margin of safety is a 67% implied upside.</w:t>
      </w:r>
    </w:p>
    <w:p>
      <w:pPr>
        <w:pStyle w:val="Heading2"/>
      </w:pPr>
      <w:r>
        <w:t xml:space="preserve">11.2 Score wheel</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2"/>
      </w:pPr>
      <w:r>
        <w:t xml:space="preserve">11.3 Dashboard</w:t>
      </w:r>
    </w:p>
    <w:p>
      <w:pPr>
        <w:spacing w:after="120"/>
      </w:pPr>
      <w:r>
        <w:t xml:space="preserve">Sift opens on a dashboard that applies the following rules. It reads the same results as the screener; it adds no new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Panel</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 date</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of the latest valuations. Shown as out of date when it is older than the previous weekday's close (so Friday's data stays current over the weekend; a public holiday also shows as out of date). Also flagged when the last nightly run crashed or did not finish. Individual companies that could not be updated are reported but not flagged, as a few occur most nights.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is units held multiplied by the latest close. Today's change compares the two latest closes. Unrealised gain is value less cost base, before tax.</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Needs attention</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Held shares with a SELL or REVIEW action, parcels that reach the CGT discount within 90 days, held shares missing from the nightly ticker file, and watchlist entries whose trigger is met (section 11.5).</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changed</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Companies whose suggested action moved between the latest two nights of recorded signals, ranked BUY and ACCUMULATE, then INVESTIGATE, then WATCH and HOLD, then REVIEW and IGNORE, then AVOID and SELL. A move within the same rank, or one caused by buying or selling the shares, is not listed. Companies on a watchlist are listed first, then better moves first.</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Top opportunities</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Up to six shares you do not hold: BUY first, then INVESTIGATE, each ordered by score wheel total and then margin of safety.</w:t>
            </w:r>
          </w:p>
        </w:tc>
      </w:tr>
    </w:tbl>
    <w:p>
      <w:pPr>
        <w:spacing w:after="160" w:before="60"/>
      </w:pPr>
      <w:r>
        <w:rPr>
          <w:i/>
          <w:iCs/>
          <w:color w:val="555555"/>
          <w:sz w:val="18"/>
          <w:szCs w:val="18"/>
        </w:rPr>
        <w:t xml:space="preserve">The menu bar's Markets links open the ASX, the ASX exchange traded fund (ETF) directory, the New York Stock Exchange (NYSE) and Nasdaq websites.</w:t>
      </w:r>
    </w:p>
    <w:p>
      <w:pPr>
        <w:pStyle w:val="Heading2"/>
      </w:pPr>
      <w:r>
        <w:t xml:space="preserve">11.4 Track record recording</w:t>
      </w:r>
    </w:p>
    <w:p>
      <w:pPr>
        <w:spacing w:after="120"/>
      </w:pPr>
      <w:r>
        <w:t xml:space="preserve">To test whether the suggestions work, every night Sift records what it said about each screened company: its signal. The record is the basis for measuring accuracy, and follows these rules.</w:t>
      </w:r>
    </w:p>
    <w:p>
      <w:pPr>
        <w:pStyle w:val="ListParagraph"/>
        <w:numPr>
          <w:ilvl w:val="0"/>
          <w:numId w:val="2"/>
        </w:numPr>
        <w:spacing w:after="60"/>
      </w:pPr>
      <w:r>
        <w:rPr>
          <w:b/>
          <w:bCs/>
        </w:rPr>
        <w:t xml:space="preserve">Never edited.</w:t>
      </w:r>
      <w:r>
        <w:t xml:space="preserve"> A night once recorded is kept exactly as it was, so later rule changes cannot rewrite what was said at the time.</w:t>
      </w:r>
    </w:p>
    <w:p>
      <w:pPr>
        <w:pStyle w:val="ListParagraph"/>
        <w:numPr>
          <w:ilvl w:val="0"/>
          <w:numId w:val="2"/>
        </w:numPr>
        <w:spacing w:after="60"/>
      </w:pPr>
      <w:r>
        <w:rPr>
          <w:b/>
          <w:bCs/>
        </w:rPr>
        <w:t xml:space="preserve">Dated by the valuation.</w:t>
      </w:r>
      <w:r>
        <w:t xml:space="preserve"> Each signal carries the closing price and date its valuation used.</w:t>
      </w:r>
    </w:p>
    <w:p>
      <w:pPr>
        <w:pStyle w:val="ListParagraph"/>
        <w:numPr>
          <w:ilvl w:val="0"/>
          <w:numId w:val="2"/>
        </w:numPr>
        <w:spacing w:after="60"/>
      </w:pPr>
      <w:r>
        <w:rPr>
          <w:b/>
          <w:bCs/>
        </w:rPr>
        <w:t xml:space="preserve">Out-of-date valuations are skipped.</w:t>
      </w:r>
      <w:r>
        <w:t xml:space="preserve"> If a company's valuation failed that night, no signal is recorded for it rather than pairing an old estimate with a new price.</w:t>
      </w:r>
    </w:p>
    <w:p>
      <w:pPr>
        <w:pStyle w:val="ListParagraph"/>
        <w:numPr>
          <w:ilvl w:val="0"/>
          <w:numId w:val="2"/>
        </w:numPr>
        <w:spacing w:after="60"/>
      </w:pPr>
      <w:r>
        <w:rPr>
          <w:b/>
          <w:bCs/>
        </w:rPr>
        <w:t xml:space="preserve">Rules version.</w:t>
      </w:r>
      <w:r>
        <w:t xml:space="preserve"> Each signal records the date the screening rules last changed, so each version of the rules is judged on its own results.</w:t>
      </w:r>
    </w:p>
    <w:p>
      <w:pPr>
        <w:pStyle w:val="ListParagraph"/>
        <w:numPr>
          <w:ilvl w:val="0"/>
          <w:numId w:val="2"/>
        </w:numPr>
        <w:spacing w:after="60"/>
      </w:pPr>
      <w:r>
        <w:rPr>
          <w:b/>
          <w:bCs/>
        </w:rPr>
        <w:t xml:space="preserve">Forward only.</w:t>
      </w:r>
      <w:r>
        <w:t xml:space="preserve"> Results are measured from the first night recorded; past signals are not reconstructed, because today's data would flatter them.</w:t>
      </w:r>
    </w:p>
    <w:p>
      <w:pPr>
        <w:spacing w:after="120"/>
      </w:pPr>
      <w:r>
        <w:t xml:space="preserve">Signals are then scored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Signals scored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company's first signal of each month, so a company that stays BUY all month counts once. Nights when a company's action changed are scored too, but kept out of the monthly results.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Periods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3, 6 and 12 months after the signal, once prices reach that date.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 at the end of the period + every dividend paid in it, one-offs included − price at the signal) ÷ price at the signal.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Benchmark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total return, over the same period, of every company screened on the night of the signal.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Excess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 minus the benchmark, in percentage points. A BUY, ACCUMULATE or INVESTIGATE call is right when this is above zero; an AVOID or SELL call is right when it is below zero.</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Delisted companies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 with no price within 10 days of the period's end is scored at its last price, so failures stay in the record.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Confidence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Too early with fewer than 30 signals; moderate from 30 to 100; solid above 100.</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Order check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 should beat WATCH, and WATCH should beat AVOID, on average excess return. Judged only once each has 30 signals. If not, the rules need review.</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Missed opportunity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BUY or INVESTIGATE call on a share you did not hold and did not buy within 30 days, which beat the average by more than 10 points.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Money saved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AVOID call on a share you did not hold, or a SELL call on one you did, which trailed the average by more than 10 points.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actionable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signals of an action that has beaten the average at 3 months with at least moderate confidence, while the share is still more than 20% below estimated value. Until an action is proven, BUY signals are shown on the rules' own terms.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Retention</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Daily signals and their results are kept for 14 whole months. A summary per month, action, period and rules version is kept permanently.</w:t>
            </w:r>
          </w:p>
        </w:tc>
      </w:tr>
    </w:tbl>
    <w:p>
      <w:pPr>
        <w:pStyle w:val="Heading2"/>
      </w:pPr>
      <w:r>
        <w:t xml:space="preserve">11.5 Watchlists</w:t>
      </w:r>
    </w:p>
    <w:p>
      <w:pPr>
        <w:spacing w:after="120"/>
      </w:pPr>
      <w:r>
        <w:t xml:space="preserve">Watchlists are named lists of companies to follow without owning them. Only companies Sift values can be added. Each entry can carry a note and up to two triggers.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67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Met while</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X%</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company's current margin of safety is strictly above X. X may be negative.</w:t>
            </w:r>
          </w:p>
        </w:tc>
      </w:tr>
      <w:tr>
        <w:trPr>
          <w:cantSplit/>
        </w:trPr>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at or below $Y</w:t>
            </w:r>
          </w:p>
        </w:tc>
        <w:tc>
          <w:tcPr>
            <w:tcW w:type="dxa" w:w="67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latest closing price is at or below Y. Y must be above zero.</w:t>
            </w:r>
          </w:p>
        </w:tc>
      </w:tr>
    </w:tbl>
    <w:p>
      <w:pPr>
        <w:pStyle w:val="ListParagraph"/>
        <w:numPr>
          <w:ilvl w:val="0"/>
          <w:numId w:val="2"/>
        </w:numPr>
        <w:spacing w:after="60"/>
      </w:pPr>
      <w:r>
        <w:t xml:space="preserve">A trigger is a live condition, not an alert: it shows while it is true and disappears when it stops being true.</w:t>
      </w:r>
    </w:p>
    <w:p>
      <w:pPr>
        <w:pStyle w:val="ListParagraph"/>
        <w:numPr>
          <w:ilvl w:val="0"/>
          <w:numId w:val="2"/>
        </w:numPr>
        <w:spacing w:after="60"/>
      </w:pPr>
      <w:r>
        <w:t xml:space="preserve">A company with no current valuation or price meets neither trigger.</w:t>
      </w:r>
    </w:p>
    <w:p>
      <w:pPr>
        <w:pStyle w:val="ListParagraph"/>
        <w:numPr>
          <w:ilvl w:val="0"/>
          <w:numId w:val="2"/>
        </w:numPr>
        <w:spacing w:after="60"/>
      </w:pPr>
      <w:r>
        <w:t xml:space="preserve">Watchlists are separate from the nightly ticker file, which decides which companies are valued at all.</w:t>
      </w:r>
    </w:p>
    <w:p>
      <w:pPr>
        <w:pStyle w:val="Heading1"/>
      </w:pPr>
      <w:r>
        <w:t xml:space="preserve">12. Holdings and CGT Rules</w:t>
      </w:r>
    </w:p>
    <w:p>
      <w:pPr>
        <w:spacing w:after="120"/>
      </w:pPr>
      <w:r>
        <w:t xml:space="preserve">Holdings are recorded parcel by parcel, in the browser or at the command line, and each parcel belongs to a portfolio. The tax arithmetic follows the mechanical parts of the Australian Taxation Office (ATO) rules, with the capital gains tax (CGT) discount set by who owns the portfolio.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group of parcels with one owner. Every parcel belongs to exactly one portfolio, and a sale only draws on that portfolio's parcels. Parcels recorded before portfolios existed were moved into "My portfolio" (individual).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Set by the portfolio's tax type: individual 50%, trust 50%, self-managed super fund (SMSF) 33⅓%, company nil. Company parcels never wait for a discount date.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Archive and delete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portfolio can be archived once every parcel in it is sold; it then accepts no trades but keeps its sales in the CGT report. It can be deleted only while it has no sales, because sale records are kept for five years after each sale.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Corrections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Delete removes an open parcel entered by mistake. Undo reverses a sale: a portion split from a parcel that is still open goes back into it, restoring the original cost base.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losses offset non-discountable gains first, then discountable gains. The portfolio's discount applies to what remains of the discountable gains. Leftover losses are reported as unused. Each portfolio is reported separately.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reduced by the portfolio's discount); or a specific parcel.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Losses carried forward from earlier years, dividend income and franking credits, cost base adjustments for corporate actions, and moving parcels between portfolios (record an off-market transfer as a sale in one and a buy in the other).</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Currency movements.</w:t>
      </w:r>
      <w:r>
        <w:t xml:space="preserve"> Statements in other currencies are converted at each year's own exchange rate, so revenue growth is measured in Australian dollars and includes currency movements.</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ListParagraph"/>
        <w:numPr>
          <w:ilvl w:val="0"/>
          <w:numId w:val="2"/>
        </w:numPr>
        <w:spacing w:after="60"/>
      </w:pPr>
      <w:r>
        <w:rPr>
          <w:b/>
          <w:bCs/>
        </w:rPr>
        <w:t xml:space="preserve">Track record benchmark.</w:t>
      </w:r>
      <w:r>
        <w:t xml:space="preserve"> Signals are judged against the plain average of the screened companies, not a market index, so small companies count as much as large ones. Brokerage, tax and the timing of trades within a day are ignored, and results can only be measured forward from the first night recorded.</w:t>
      </w:r>
    </w:p>
    <w:p>
      <w:pPr>
        <w:pStyle w:val="ListParagraph"/>
        <w:numPr>
          <w:ilvl w:val="0"/>
          <w:numId w:val="2"/>
        </w:numPr>
        <w:spacing w:after="60"/>
      </w:pPr>
      <w:r>
        <w:rPr>
          <w:b/>
          <w:bCs/>
        </w:rPr>
        <w:t xml:space="preserve">Watchlist triggers.</w:t>
      </w:r>
      <w:r>
        <w:t xml:space="preserve"> A trigger is a live condition shown while it is true; nothing is sent, and a trigger met and lost between two visits is not recorded.</w:t>
      </w:r>
    </w:p>
    <w:p>
      <w:pPr>
        <w:pStyle w:val="ListParagraph"/>
        <w:numPr>
          <w:ilvl w:val="0"/>
          <w:numId w:val="2"/>
        </w:numPr>
        <w:spacing w:after="60"/>
      </w:pPr>
      <w:r>
        <w:rPr>
          <w:b/>
          <w:bCs/>
        </w:rPr>
        <w:t xml:space="preserve">Portfolios.</w:t>
      </w:r>
      <w:r>
        <w:t xml:space="preserve"> Parcels cannot be moved between portfolios: an off-market transfer is recorded as a sale in one and a buy in the other. Changing a portfolio's tax type re-rates the sales already recorded in it.</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Dividends paid as new shares instead of cash. Each reinvestment creates a new parcel.</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Exchange traded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fund that trades on a stock exchange like a share, usually tracking an index.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NYSE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New York Stock Exchange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largest stock exchange in the United States.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SMSF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Self-managed super fund</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superannuation fund run by its own members. Gets a 33⅓% CGT discount on assets held over 12 months.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Abnormal distribution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one-off payment more than twice the usual annual dividend, such as a capital return or a very large special dividend. Excluded from all dividend figures (see section 3).</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Money paid back to shareholders out of the company's capital rather than its profits, sometimes by cancelling a portion of shares. Not a dividend, though data feeds sometimes record it as one.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Ex-dividend date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from which a buyer of the share no longer receives the next dividend. Used to assign each payment to a financial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Implied upside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much the share price would need to rise to reach estimated value: (estimated value - price) / price.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Reporting currency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currency a company publishes its financial statements in, which can differ from the currency its shares trade in on the ASX.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11.2).</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Signal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What Sift said about a company on a given night: its suggested action, valuation status, estimated value and score, recorded for the track record (see section 11.4).</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2026-10-05T23:37:10.197Z</dcterms:created>
  <dcterms:modified xsi:type="dcterms:W3CDTF">2026-10-05T23:37:10.202Z</dcterms:modified>
</cp:coreProperties>
</file>

<file path=docProps/custom.xml><?xml version="1.0" encoding="utf-8"?>
<Properties xmlns="http://schemas.openxmlformats.org/officeDocument/2006/custom-properties" xmlns:vt="http://schemas.openxmlformats.org/officeDocument/2006/docPropsVTypes"/>
</file>