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640" w:type="dxa"/>
        <w:tblInd w:w="100" w:type="dxa"/>
        <w:tblLayout w:type="fixed"/>
        <w:tblLook w:val="04A0" w:firstRow="1" w:lastRow="0" w:firstColumn="1" w:lastColumn="0" w:noHBand="0" w:noVBand="1"/>
      </w:tblPr>
      <w:tblGrid>
        <w:gridCol w:w="6100"/>
        <w:gridCol w:w="3540"/>
      </w:tblGrid>
      <w:tr w14:paraId="0E5B7B3B" w14:textId="77777777">
        <w:trPr>
          <w:cantSplit/>
        </w:trPr>
        <w:tc>
          <w:tcPr>
            <w:tcW w:w="6100" w:type="dxa"/>
            <w:tcBorders>
              <w:top w:val="nil"/>
              <w:left w:val="nil"/>
              <w:bottom w:val="nil"/>
              <w:right w:val="nil"/>
            </w:tcBorders>
            <w:shd w:val="clear" w:color="auto" w:fill="F6F7F5"/>
            <w:tcMar>
              <w:top w:w="140" w:type="dxa"/>
              <w:left w:w="100" w:type="dxa"/>
              <w:bottom w:w="140" w:type="dxa"/>
              <w:right w:w="100" w:type="dxa"/>
            </w:tcMar>
            <w:vAlign w:val="center"/>
          </w:tcPr>
          <w:p w14:paraId="6641A595" w14:textId="77777777">
            <w:pPr>
              <w:spacing w:after="0" w:line="240" w:lineRule="auto"/>
            </w:pPr>
            <w:r>
              <w:rPr>
                <w:noProof/>
              </w:rPr>
              <w:drawing>
                <wp:inline distT="0" distB="0" distL="0" distR="0" wp14:anchorId="0ABFC0EB" wp14:editId="7958A958">
                  <wp:extent cx="3348000" cy="753300"/>
                  <wp:effectExtent l="0" t="0" r="0" b="0"/>
                  <wp:docPr id="1" name="Picture 1" descr="Passage-Zeichen und Wortmarke STEIMER mit Kompetenz- und Wirkungszeile." title="STEIMER Wortbildmar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imer_wortbildmarke.png"/>
                          <pic:cNvPicPr/>
                        </pic:nvPicPr>
                        <pic:blipFill>
                          <a:blip r:embed="rId9"/>
                          <a:stretch>
                            <a:fillRect/>
                          </a:stretch>
                        </pic:blipFill>
                        <pic:spPr>
                          <a:xfrm>
                            <a:off x="0" y="0"/>
                            <a:ext cx="3348000" cy="753300"/>
                          </a:xfrm>
                          <a:prstGeom prst="rect">
                            <a:avLst/>
                          </a:prstGeom>
                        </pic:spPr>
                      </pic:pic>
                    </a:graphicData>
                  </a:graphic>
                </wp:inline>
              </w:drawing>
            </w:r>
          </w:p>
        </w:tc>
        <w:tc>
          <w:tcPr>
            <w:tcW w:w="3540" w:type="dxa"/>
            <w:tcBorders>
              <w:top w:val="nil"/>
              <w:left w:val="nil"/>
              <w:bottom w:val="nil"/>
              <w:right w:val="nil"/>
            </w:tcBorders>
            <w:shd w:val="clear" w:color="auto" w:fill="F6F7F5"/>
            <w:tcMar>
              <w:top w:w="140" w:type="dxa"/>
              <w:left w:w="100" w:type="dxa"/>
              <w:bottom w:w="140" w:type="dxa"/>
              <w:right w:w="100" w:type="dxa"/>
            </w:tcMar>
            <w:vAlign w:val="center"/>
          </w:tcPr>
          <w:p w14:paraId="7F7A354B" w14:textId="77777777">
            <w:pPr>
              <w:spacing w:after="0" w:line="259" w:lineRule="auto"/>
              <w:jc w:val="right"/>
            </w:pPr>
            <w:r>
              <w:rPr>
                <w:b/>
                <w:color w:val="122C40"/>
                <w:sz w:val="16"/>
              </w:rPr>
              <w:t>David Steimer</w:t>
            </w:r>
          </w:p>
        </w:tc>
      </w:tr>
    </w:tbl>
    <w:p w14:paraId="66933902" w14:textId="77777777">
      <w:pPr>
        <w:pStyle w:val="BrandKicker"/>
      </w:pPr>
      <w:r>
        <w:t>KONZEPT</w:t>
      </w:r>
    </w:p>
    <w:p w14:paraId="38FEF2DE" w14:textId="77777777">
      <w:pPr>
        <w:pStyle w:val="Titel"/>
      </w:pPr>
      <w:r>
        <w:t>Fristenrechner Schweiz</w:t>
      </w:r>
    </w:p>
    <w:p w14:paraId="27B81321" w14:textId="77777777">
      <w:pPr>
        <w:pStyle w:val="Untertitel"/>
      </w:pPr>
      <w:r>
        <w:t>Webbasierte M365-Anwendung für verfahrensrechtliche Fristen</w:t>
      </w:r>
    </w:p>
    <w:p w14:paraId="5BC2A2B7" w14:textId="77777777">
      <w:pPr>
        <w:pStyle w:val="BrandLead"/>
      </w:pPr>
      <w:r>
        <w:t>Ein umsetzungsorientiertes Zielbild für eine transparente, mandantenfähige und offen lizenzierte Fristenberechnung im schweizerischen Straf-, Zivil- und Verwaltungsverfahren.</w:t>
      </w:r>
    </w:p>
    <w:p w14:paraId="54E93C7E" w14:textId="77777777"/>
    <w:tbl>
      <w:tblPr>
        <w:tblW w:w="9640" w:type="dxa"/>
        <w:tblLayout w:type="fixed"/>
        <w:tblLook w:val="04A0" w:firstRow="1" w:lastRow="0" w:firstColumn="1" w:lastColumn="0" w:noHBand="0" w:noVBand="1"/>
      </w:tblPr>
      <w:tblGrid>
        <w:gridCol w:w="2350"/>
        <w:gridCol w:w="7290"/>
      </w:tblGrid>
      <w:tr w14:paraId="73A6B970" w14:textId="77777777">
        <w:tc>
          <w:tcPr>
            <w:tcW w:w="2350" w:type="dxa"/>
            <w:tcMar>
              <w:top w:w="60" w:type="dxa"/>
              <w:left w:w="0" w:type="dxa"/>
              <w:bottom w:w="60" w:type="dxa"/>
              <w:right w:w="80" w:type="dxa"/>
            </w:tcMar>
          </w:tcPr>
          <w:p w14:paraId="12C28AD6" w14:textId="77777777">
            <w:pPr>
              <w:spacing w:after="0"/>
            </w:pPr>
            <w:r>
              <w:rPr>
                <w:rFonts w:eastAsia="Arial"/>
                <w:b/>
                <w:color w:val="566168"/>
                <w:sz w:val="17"/>
              </w:rPr>
              <w:t>DOKUMENTTYP</w:t>
            </w:r>
          </w:p>
        </w:tc>
        <w:tc>
          <w:tcPr>
            <w:tcW w:w="7290" w:type="dxa"/>
            <w:tcMar>
              <w:top w:w="60" w:type="dxa"/>
              <w:left w:w="0" w:type="dxa"/>
              <w:bottom w:w="60" w:type="dxa"/>
              <w:right w:w="80" w:type="dxa"/>
            </w:tcMar>
          </w:tcPr>
          <w:p w14:paraId="4C54FE25" w14:textId="77777777">
            <w:pPr>
              <w:spacing w:after="0"/>
            </w:pPr>
            <w:r>
              <w:rPr>
                <w:rFonts w:eastAsia="Arial"/>
                <w:sz w:val="19"/>
              </w:rPr>
              <w:t>Umsetzungskonzept</w:t>
            </w:r>
          </w:p>
        </w:tc>
      </w:tr>
      <w:tr w14:paraId="49F0EA33" w14:textId="77777777">
        <w:tc>
          <w:tcPr>
            <w:tcW w:w="2350" w:type="dxa"/>
            <w:tcMar>
              <w:top w:w="60" w:type="dxa"/>
              <w:left w:w="0" w:type="dxa"/>
              <w:bottom w:w="60" w:type="dxa"/>
              <w:right w:w="80" w:type="dxa"/>
            </w:tcMar>
          </w:tcPr>
          <w:p w14:paraId="5E250262" w14:textId="77777777">
            <w:pPr>
              <w:spacing w:after="0"/>
            </w:pPr>
            <w:r>
              <w:rPr>
                <w:rFonts w:eastAsia="Arial"/>
                <w:b/>
                <w:color w:val="566168"/>
                <w:sz w:val="17"/>
              </w:rPr>
              <w:t>AUFTRAGGEBER</w:t>
            </w:r>
          </w:p>
        </w:tc>
        <w:tc>
          <w:tcPr>
            <w:tcW w:w="7290" w:type="dxa"/>
            <w:tcMar>
              <w:top w:w="60" w:type="dxa"/>
              <w:left w:w="0" w:type="dxa"/>
              <w:bottom w:w="60" w:type="dxa"/>
              <w:right w:w="80" w:type="dxa"/>
            </w:tcMar>
          </w:tcPr>
          <w:p w14:paraId="4CD95DD1" w14:textId="77777777">
            <w:pPr>
              <w:spacing w:after="0"/>
            </w:pPr>
            <w:r>
              <w:rPr>
                <w:rFonts w:eastAsia="Arial"/>
                <w:sz w:val="19"/>
              </w:rPr>
              <w:t>STEIMER</w:t>
            </w:r>
          </w:p>
        </w:tc>
      </w:tr>
      <w:tr w14:paraId="239EF6D7" w14:textId="77777777">
        <w:tc>
          <w:tcPr>
            <w:tcW w:w="2350" w:type="dxa"/>
            <w:tcMar>
              <w:top w:w="60" w:type="dxa"/>
              <w:left w:w="0" w:type="dxa"/>
              <w:bottom w:w="60" w:type="dxa"/>
              <w:right w:w="80" w:type="dxa"/>
            </w:tcMar>
          </w:tcPr>
          <w:p w14:paraId="3A55871C" w14:textId="77777777">
            <w:pPr>
              <w:spacing w:after="0"/>
            </w:pPr>
            <w:r>
              <w:rPr>
                <w:rFonts w:eastAsia="Arial"/>
                <w:b/>
                <w:color w:val="566168"/>
                <w:sz w:val="17"/>
              </w:rPr>
              <w:t>AUTOR</w:t>
            </w:r>
          </w:p>
        </w:tc>
        <w:tc>
          <w:tcPr>
            <w:tcW w:w="7290" w:type="dxa"/>
            <w:tcMar>
              <w:top w:w="60" w:type="dxa"/>
              <w:left w:w="0" w:type="dxa"/>
              <w:bottom w:w="60" w:type="dxa"/>
              <w:right w:w="80" w:type="dxa"/>
            </w:tcMar>
          </w:tcPr>
          <w:p w14:paraId="7E2D1C2D" w14:textId="77777777">
            <w:pPr>
              <w:spacing w:after="0"/>
            </w:pPr>
            <w:r>
              <w:rPr>
                <w:rFonts w:eastAsia="Arial"/>
                <w:sz w:val="19"/>
              </w:rPr>
              <w:t>David Steimer</w:t>
            </w:r>
          </w:p>
        </w:tc>
      </w:tr>
      <w:tr w14:paraId="28E6C380" w14:textId="77777777">
        <w:tc>
          <w:tcPr>
            <w:tcW w:w="2350" w:type="dxa"/>
            <w:tcMar>
              <w:top w:w="60" w:type="dxa"/>
              <w:left w:w="0" w:type="dxa"/>
              <w:bottom w:w="60" w:type="dxa"/>
              <w:right w:w="80" w:type="dxa"/>
            </w:tcMar>
          </w:tcPr>
          <w:p w14:paraId="24705FC3" w14:textId="77777777">
            <w:pPr>
              <w:spacing w:after="0"/>
            </w:pPr>
            <w:r>
              <w:rPr>
                <w:rFonts w:eastAsia="Arial"/>
                <w:b/>
                <w:color w:val="566168"/>
                <w:sz w:val="17"/>
              </w:rPr>
              <w:t>VERSION</w:t>
            </w:r>
          </w:p>
        </w:tc>
        <w:tc>
          <w:tcPr>
            <w:tcW w:w="7290" w:type="dxa"/>
            <w:tcMar>
              <w:top w:w="60" w:type="dxa"/>
              <w:left w:w="0" w:type="dxa"/>
              <w:bottom w:w="60" w:type="dxa"/>
              <w:right w:w="80" w:type="dxa"/>
            </w:tcMar>
          </w:tcPr>
          <w:p w14:paraId="06168486" w14:textId="77777777">
            <w:pPr>
              <w:spacing w:after="0"/>
            </w:pPr>
            <w:r>
              <w:rPr>
                <w:rFonts w:eastAsia="Arial"/>
                <w:sz w:val="19"/>
              </w:rPr>
              <w:t>1.0 · Freigegeben</w:t>
            </w:r>
          </w:p>
        </w:tc>
      </w:tr>
      <w:tr w14:paraId="1DDCDC41" w14:textId="77777777">
        <w:tc>
          <w:tcPr>
            <w:tcW w:w="2350" w:type="dxa"/>
            <w:tcMar>
              <w:top w:w="60" w:type="dxa"/>
              <w:left w:w="0" w:type="dxa"/>
              <w:bottom w:w="60" w:type="dxa"/>
              <w:right w:w="80" w:type="dxa"/>
            </w:tcMar>
          </w:tcPr>
          <w:p w14:paraId="37E6CF88" w14:textId="77777777">
            <w:pPr>
              <w:spacing w:after="0"/>
            </w:pPr>
            <w:r>
              <w:rPr>
                <w:rFonts w:eastAsia="Arial"/>
                <w:b/>
                <w:color w:val="566168"/>
                <w:sz w:val="17"/>
              </w:rPr>
              <w:t>STAND</w:t>
            </w:r>
          </w:p>
        </w:tc>
        <w:tc>
          <w:tcPr>
            <w:tcW w:w="7290" w:type="dxa"/>
            <w:tcMar>
              <w:top w:w="60" w:type="dxa"/>
              <w:left w:w="0" w:type="dxa"/>
              <w:bottom w:w="60" w:type="dxa"/>
              <w:right w:w="80" w:type="dxa"/>
            </w:tcMar>
          </w:tcPr>
          <w:p w14:paraId="2CB45991" w14:textId="77777777">
            <w:pPr>
              <w:spacing w:after="0"/>
            </w:pPr>
            <w:r>
              <w:rPr>
                <w:rFonts w:eastAsia="Arial"/>
                <w:sz w:val="19"/>
              </w:rPr>
              <w:t>28. August 2026</w:t>
            </w:r>
          </w:p>
        </w:tc>
      </w:tr>
      <w:tr w14:paraId="61F57749" w14:textId="77777777">
        <w:tc>
          <w:tcPr>
            <w:tcW w:w="2350" w:type="dxa"/>
            <w:tcMar>
              <w:top w:w="60" w:type="dxa"/>
              <w:left w:w="0" w:type="dxa"/>
              <w:bottom w:w="60" w:type="dxa"/>
              <w:right w:w="80" w:type="dxa"/>
            </w:tcMar>
          </w:tcPr>
          <w:p w14:paraId="3CFA7584" w14:textId="77777777">
            <w:pPr>
              <w:spacing w:after="0"/>
            </w:pPr>
            <w:r>
              <w:rPr>
                <w:rFonts w:eastAsia="Arial"/>
                <w:b/>
                <w:color w:val="566168"/>
                <w:sz w:val="17"/>
              </w:rPr>
              <w:t>KLASSIFIKATION</w:t>
            </w:r>
          </w:p>
        </w:tc>
        <w:tc>
          <w:tcPr>
            <w:tcW w:w="7290" w:type="dxa"/>
            <w:tcMar>
              <w:top w:w="60" w:type="dxa"/>
              <w:left w:w="0" w:type="dxa"/>
              <w:bottom w:w="60" w:type="dxa"/>
              <w:right w:w="80" w:type="dxa"/>
            </w:tcMar>
          </w:tcPr>
          <w:p w14:paraId="6F7B22DD" w14:textId="77777777">
            <w:pPr>
              <w:spacing w:after="0"/>
            </w:pPr>
            <w:r>
              <w:rPr>
                <w:rFonts w:eastAsia="Arial"/>
                <w:sz w:val="19"/>
              </w:rPr>
              <w:t>Öffentlich</w:t>
            </w:r>
          </w:p>
        </w:tc>
      </w:tr>
    </w:tbl>
    <w:p w14:paraId="20EE273A" w14:textId="77777777"/>
    <w:tbl>
      <w:tblPr>
        <w:tblW w:w="9640" w:type="dxa"/>
        <w:tblInd w:w="90" w:type="dxa"/>
        <w:tblLayout w:type="fixed"/>
        <w:tblLook w:val="04A0" w:firstRow="1" w:lastRow="0" w:firstColumn="1" w:lastColumn="0" w:noHBand="0" w:noVBand="1"/>
      </w:tblPr>
      <w:tblGrid>
        <w:gridCol w:w="9640"/>
      </w:tblGrid>
      <w:tr w14:paraId="6AA2A4B0" w14:textId="77777777">
        <w:tc>
          <w:tcPr>
            <w:tcW w:w="9640" w:type="dxa"/>
            <w:shd w:val="clear" w:color="auto" w:fill="2F6F73"/>
            <w:tcMar>
              <w:top w:w="24" w:type="dxa"/>
              <w:left w:w="90" w:type="dxa"/>
              <w:bottom w:w="24" w:type="dxa"/>
              <w:right w:w="90" w:type="dxa"/>
            </w:tcMar>
          </w:tcPr>
          <w:p w14:paraId="6B63B1A3" w14:textId="77777777">
            <w:pPr>
              <w:spacing w:after="0"/>
            </w:pPr>
            <w:r>
              <w:rPr>
                <w:rFonts w:eastAsia="Arial"/>
                <w:b/>
                <w:color w:val="FFFFFF"/>
                <w:sz w:val="17"/>
              </w:rPr>
              <w:t>FREIGEGEBEN · VERSION 1.0</w:t>
            </w:r>
          </w:p>
        </w:tc>
      </w:tr>
    </w:tbl>
    <w:p w14:paraId="7C94D21E" w14:textId="77777777">
      <w:pPr>
        <w:sectPr>
          <w:pgSz w:w="11906" w:h="16838"/>
          <w:pgMar w:top="1134" w:right="1134" w:bottom="1077" w:left="1134" w:header="454" w:footer="454" w:gutter="0"/>
          <w:cols w:space="720"/>
          <w:titlePg/>
          <w:docGrid w:linePitch="360"/>
        </w:sectPr>
      </w:pPr>
    </w:p>
    <w:p w14:paraId="744DD576" w14:textId="77777777">
      <w:pPr>
        <w:pStyle w:val="berschrift1"/>
      </w:pPr>
      <w:r>
        <w:lastRenderedPageBreak/>
        <w:t>Inhaltsübersicht</w:t>
      </w:r>
    </w:p>
    <w:tbl>
      <w:tblPr>
        <w:tblStyle w:val="Tabellenraster"/>
        <w:tblW w:w="9640" w:type="dxa"/>
        <w:tblInd w:w="120" w:type="dxa"/>
        <w:tblLayout w:type="fixed"/>
        <w:tblLook w:val="04A0" w:firstRow="1" w:lastRow="0" w:firstColumn="1" w:lastColumn="0" w:noHBand="0" w:noVBand="1"/>
      </w:tblPr>
      <w:tblGrid>
        <w:gridCol w:w="3000"/>
        <w:gridCol w:w="6640"/>
      </w:tblGrid>
      <w:tr w14:paraId="796F0A6F" w14:textId="77777777">
        <w:trPr>
          <w:cantSplit/>
          <w:tblHeader/>
        </w:trPr>
        <w:tc>
          <w:tcPr>
            <w:tcW w:w="3000" w:type="dxa"/>
            <w:shd w:val="clear" w:color="auto" w:fill="122C40"/>
            <w:tcMar>
              <w:top w:w="90" w:type="dxa"/>
              <w:left w:w="120" w:type="dxa"/>
              <w:bottom w:w="90" w:type="dxa"/>
              <w:right w:w="120" w:type="dxa"/>
            </w:tcMar>
            <w:vAlign w:val="center"/>
          </w:tcPr>
          <w:p w14:paraId="690306C7" w14:textId="77777777">
            <w:pPr>
              <w:spacing w:after="0"/>
            </w:pPr>
            <w:r>
              <w:rPr>
                <w:rFonts w:eastAsia="Arial"/>
                <w:b/>
                <w:color w:val="FFFFFF"/>
                <w:sz w:val="17"/>
              </w:rPr>
              <w:t>Abschnitt</w:t>
            </w:r>
          </w:p>
        </w:tc>
        <w:tc>
          <w:tcPr>
            <w:tcW w:w="6640" w:type="dxa"/>
            <w:shd w:val="clear" w:color="auto" w:fill="122C40"/>
            <w:tcMar>
              <w:top w:w="90" w:type="dxa"/>
              <w:left w:w="120" w:type="dxa"/>
              <w:bottom w:w="90" w:type="dxa"/>
              <w:right w:w="120" w:type="dxa"/>
            </w:tcMar>
            <w:vAlign w:val="center"/>
          </w:tcPr>
          <w:p w14:paraId="3427E453" w14:textId="77777777">
            <w:pPr>
              <w:spacing w:after="0"/>
            </w:pPr>
            <w:r>
              <w:rPr>
                <w:rFonts w:eastAsia="Arial"/>
                <w:b/>
                <w:color w:val="FFFFFF"/>
                <w:sz w:val="17"/>
              </w:rPr>
              <w:t>Zweck im Dokument</w:t>
            </w:r>
          </w:p>
        </w:tc>
      </w:tr>
      <w:tr w14:paraId="48565C82" w14:textId="77777777">
        <w:trPr>
          <w:cantSplit/>
        </w:trPr>
        <w:tc>
          <w:tcPr>
            <w:tcW w:w="3000" w:type="dxa"/>
            <w:tcMar>
              <w:top w:w="75" w:type="dxa"/>
              <w:left w:w="120" w:type="dxa"/>
              <w:bottom w:w="75" w:type="dxa"/>
              <w:right w:w="120" w:type="dxa"/>
            </w:tcMar>
            <w:vAlign w:val="center"/>
          </w:tcPr>
          <w:p w14:paraId="33F02CB3" w14:textId="77777777">
            <w:pPr>
              <w:spacing w:after="0"/>
            </w:pPr>
            <w:r>
              <w:rPr>
                <w:rFonts w:eastAsia="Arial"/>
                <w:sz w:val="16"/>
              </w:rPr>
              <w:t>1 Management Summary</w:t>
            </w:r>
          </w:p>
        </w:tc>
        <w:tc>
          <w:tcPr>
            <w:tcW w:w="6640" w:type="dxa"/>
            <w:tcMar>
              <w:top w:w="75" w:type="dxa"/>
              <w:left w:w="120" w:type="dxa"/>
              <w:bottom w:w="75" w:type="dxa"/>
              <w:right w:w="120" w:type="dxa"/>
            </w:tcMar>
            <w:vAlign w:val="center"/>
          </w:tcPr>
          <w:p w14:paraId="1FEFA9EB" w14:textId="77777777">
            <w:pPr>
              <w:spacing w:after="0"/>
            </w:pPr>
            <w:r>
              <w:rPr>
                <w:rFonts w:eastAsia="Arial"/>
                <w:sz w:val="16"/>
              </w:rPr>
              <w:t>Empfehlung, Leitplanken und Entscheide</w:t>
            </w:r>
          </w:p>
        </w:tc>
      </w:tr>
      <w:tr w14:paraId="577A451B" w14:textId="77777777">
        <w:trPr>
          <w:cantSplit/>
        </w:trPr>
        <w:tc>
          <w:tcPr>
            <w:tcW w:w="3000" w:type="dxa"/>
            <w:shd w:val="clear" w:color="auto" w:fill="F6F7F5"/>
            <w:tcMar>
              <w:top w:w="75" w:type="dxa"/>
              <w:left w:w="120" w:type="dxa"/>
              <w:bottom w:w="75" w:type="dxa"/>
              <w:right w:w="120" w:type="dxa"/>
            </w:tcMar>
            <w:vAlign w:val="center"/>
          </w:tcPr>
          <w:p w14:paraId="3427D3A6" w14:textId="77777777">
            <w:pPr>
              <w:spacing w:after="0"/>
            </w:pPr>
            <w:r>
              <w:rPr>
                <w:rFonts w:eastAsia="Arial"/>
                <w:sz w:val="16"/>
              </w:rPr>
              <w:t>2 Ausgangslage und Zielbild</w:t>
            </w:r>
          </w:p>
        </w:tc>
        <w:tc>
          <w:tcPr>
            <w:tcW w:w="6640" w:type="dxa"/>
            <w:shd w:val="clear" w:color="auto" w:fill="F6F7F5"/>
            <w:tcMar>
              <w:top w:w="75" w:type="dxa"/>
              <w:left w:w="120" w:type="dxa"/>
              <w:bottom w:w="75" w:type="dxa"/>
              <w:right w:w="120" w:type="dxa"/>
            </w:tcMar>
            <w:vAlign w:val="center"/>
          </w:tcPr>
          <w:p w14:paraId="76EF5AC6" w14:textId="77777777">
            <w:pPr>
              <w:spacing w:after="0"/>
            </w:pPr>
            <w:r>
              <w:rPr>
                <w:rFonts w:eastAsia="Arial"/>
                <w:sz w:val="16"/>
              </w:rPr>
              <w:t>Vision, Ziele, Umfang und Abgrenzung</w:t>
            </w:r>
          </w:p>
        </w:tc>
      </w:tr>
      <w:tr w14:paraId="73D7686E" w14:textId="77777777">
        <w:trPr>
          <w:cantSplit/>
        </w:trPr>
        <w:tc>
          <w:tcPr>
            <w:tcW w:w="3000" w:type="dxa"/>
            <w:tcMar>
              <w:top w:w="75" w:type="dxa"/>
              <w:left w:w="120" w:type="dxa"/>
              <w:bottom w:w="75" w:type="dxa"/>
              <w:right w:w="120" w:type="dxa"/>
            </w:tcMar>
            <w:vAlign w:val="center"/>
          </w:tcPr>
          <w:p w14:paraId="08B9FB4C" w14:textId="77777777">
            <w:pPr>
              <w:spacing w:after="0"/>
            </w:pPr>
            <w:r>
              <w:rPr>
                <w:rFonts w:eastAsia="Arial"/>
                <w:sz w:val="16"/>
              </w:rPr>
              <w:t>3 Fachkonzept</w:t>
            </w:r>
          </w:p>
        </w:tc>
        <w:tc>
          <w:tcPr>
            <w:tcW w:w="6640" w:type="dxa"/>
            <w:tcMar>
              <w:top w:w="75" w:type="dxa"/>
              <w:left w:w="120" w:type="dxa"/>
              <w:bottom w:w="75" w:type="dxa"/>
              <w:right w:w="120" w:type="dxa"/>
            </w:tcMar>
            <w:vAlign w:val="center"/>
          </w:tcPr>
          <w:p w14:paraId="61EA47F5" w14:textId="77777777">
            <w:pPr>
              <w:spacing w:after="0"/>
            </w:pPr>
            <w:r>
              <w:rPr>
                <w:rFonts w:eastAsia="Arial"/>
                <w:sz w:val="16"/>
              </w:rPr>
              <w:t>Eingaben, Rechtsprofile und Berechnungslogik</w:t>
            </w:r>
          </w:p>
        </w:tc>
      </w:tr>
      <w:tr w14:paraId="563F68E2" w14:textId="77777777">
        <w:trPr>
          <w:cantSplit/>
        </w:trPr>
        <w:tc>
          <w:tcPr>
            <w:tcW w:w="3000" w:type="dxa"/>
            <w:shd w:val="clear" w:color="auto" w:fill="F6F7F5"/>
            <w:tcMar>
              <w:top w:w="75" w:type="dxa"/>
              <w:left w:w="120" w:type="dxa"/>
              <w:bottom w:w="75" w:type="dxa"/>
              <w:right w:w="120" w:type="dxa"/>
            </w:tcMar>
            <w:vAlign w:val="center"/>
          </w:tcPr>
          <w:p w14:paraId="29CE296A" w14:textId="77777777">
            <w:pPr>
              <w:spacing w:after="0"/>
            </w:pPr>
            <w:r>
              <w:rPr>
                <w:rFonts w:eastAsia="Arial"/>
                <w:sz w:val="16"/>
              </w:rPr>
              <w:t>4 Lösungsarchitektur</w:t>
            </w:r>
          </w:p>
        </w:tc>
        <w:tc>
          <w:tcPr>
            <w:tcW w:w="6640" w:type="dxa"/>
            <w:shd w:val="clear" w:color="auto" w:fill="F6F7F5"/>
            <w:tcMar>
              <w:top w:w="75" w:type="dxa"/>
              <w:left w:w="120" w:type="dxa"/>
              <w:bottom w:w="75" w:type="dxa"/>
              <w:right w:w="120" w:type="dxa"/>
            </w:tcMar>
            <w:vAlign w:val="center"/>
          </w:tcPr>
          <w:p w14:paraId="65179F19" w14:textId="77777777">
            <w:pPr>
              <w:spacing w:after="0"/>
            </w:pPr>
            <w:r>
              <w:rPr>
                <w:rFonts w:eastAsia="Arial"/>
                <w:sz w:val="16"/>
              </w:rPr>
              <w:t>Technologieentscheid, Komponenten und Datenfluss</w:t>
            </w:r>
          </w:p>
        </w:tc>
      </w:tr>
      <w:tr w14:paraId="13509A4B" w14:textId="77777777">
        <w:trPr>
          <w:cantSplit/>
        </w:trPr>
        <w:tc>
          <w:tcPr>
            <w:tcW w:w="3000" w:type="dxa"/>
            <w:tcMar>
              <w:top w:w="75" w:type="dxa"/>
              <w:left w:w="120" w:type="dxa"/>
              <w:bottom w:w="75" w:type="dxa"/>
              <w:right w:w="120" w:type="dxa"/>
            </w:tcMar>
            <w:vAlign w:val="center"/>
          </w:tcPr>
          <w:p w14:paraId="59A78808" w14:textId="77777777">
            <w:pPr>
              <w:spacing w:after="0"/>
            </w:pPr>
            <w:r>
              <w:rPr>
                <w:rFonts w:eastAsia="Arial"/>
                <w:sz w:val="16"/>
              </w:rPr>
              <w:t>5 Bedienkonzept</w:t>
            </w:r>
          </w:p>
        </w:tc>
        <w:tc>
          <w:tcPr>
            <w:tcW w:w="6640" w:type="dxa"/>
            <w:tcMar>
              <w:top w:w="75" w:type="dxa"/>
              <w:left w:w="120" w:type="dxa"/>
              <w:bottom w:w="75" w:type="dxa"/>
              <w:right w:w="120" w:type="dxa"/>
            </w:tcMar>
            <w:vAlign w:val="center"/>
          </w:tcPr>
          <w:p w14:paraId="0B1A8442" w14:textId="77777777">
            <w:pPr>
              <w:spacing w:after="0"/>
            </w:pPr>
            <w:r>
              <w:rPr>
                <w:rFonts w:eastAsia="Arial"/>
                <w:sz w:val="16"/>
              </w:rPr>
              <w:t>Benutzerführung, Transparenz und Barrierefreiheit</w:t>
            </w:r>
          </w:p>
        </w:tc>
      </w:tr>
      <w:tr w14:paraId="11549D04" w14:textId="77777777">
        <w:trPr>
          <w:cantSplit/>
        </w:trPr>
        <w:tc>
          <w:tcPr>
            <w:tcW w:w="3000" w:type="dxa"/>
            <w:shd w:val="clear" w:color="auto" w:fill="F6F7F5"/>
            <w:tcMar>
              <w:top w:w="75" w:type="dxa"/>
              <w:left w:w="120" w:type="dxa"/>
              <w:bottom w:w="75" w:type="dxa"/>
              <w:right w:w="120" w:type="dxa"/>
            </w:tcMar>
            <w:vAlign w:val="center"/>
          </w:tcPr>
          <w:p w14:paraId="163BD935" w14:textId="77777777">
            <w:pPr>
              <w:spacing w:after="0"/>
            </w:pPr>
            <w:r>
              <w:rPr>
                <w:rFonts w:eastAsia="Arial"/>
                <w:sz w:val="16"/>
              </w:rPr>
              <w:t>6 Daten und Aktualisierung</w:t>
            </w:r>
          </w:p>
        </w:tc>
        <w:tc>
          <w:tcPr>
            <w:tcW w:w="6640" w:type="dxa"/>
            <w:shd w:val="clear" w:color="auto" w:fill="F6F7F5"/>
            <w:tcMar>
              <w:top w:w="75" w:type="dxa"/>
              <w:left w:w="120" w:type="dxa"/>
              <w:bottom w:w="75" w:type="dxa"/>
              <w:right w:w="120" w:type="dxa"/>
            </w:tcMar>
            <w:vAlign w:val="center"/>
          </w:tcPr>
          <w:p w14:paraId="1108954E" w14:textId="77777777">
            <w:pPr>
              <w:spacing w:after="0"/>
            </w:pPr>
            <w:r>
              <w:rPr>
                <w:rFonts w:eastAsia="Arial"/>
                <w:sz w:val="16"/>
              </w:rPr>
              <w:t>Regelmodell, Feiertage und Jahresprozess</w:t>
            </w:r>
          </w:p>
        </w:tc>
      </w:tr>
      <w:tr w14:paraId="154F8529" w14:textId="77777777">
        <w:trPr>
          <w:cantSplit/>
        </w:trPr>
        <w:tc>
          <w:tcPr>
            <w:tcW w:w="3000" w:type="dxa"/>
            <w:tcMar>
              <w:top w:w="75" w:type="dxa"/>
              <w:left w:w="120" w:type="dxa"/>
              <w:bottom w:w="75" w:type="dxa"/>
              <w:right w:w="120" w:type="dxa"/>
            </w:tcMar>
            <w:vAlign w:val="center"/>
          </w:tcPr>
          <w:p w14:paraId="76186776" w14:textId="77777777">
            <w:pPr>
              <w:spacing w:after="0"/>
            </w:pPr>
            <w:r>
              <w:rPr>
                <w:rFonts w:eastAsia="Arial"/>
                <w:sz w:val="16"/>
              </w:rPr>
              <w:t>7 Deployment und Betrieb</w:t>
            </w:r>
          </w:p>
        </w:tc>
        <w:tc>
          <w:tcPr>
            <w:tcW w:w="6640" w:type="dxa"/>
            <w:tcMar>
              <w:top w:w="75" w:type="dxa"/>
              <w:left w:w="120" w:type="dxa"/>
              <w:bottom w:w="75" w:type="dxa"/>
              <w:right w:w="120" w:type="dxa"/>
            </w:tcMar>
            <w:vAlign w:val="center"/>
          </w:tcPr>
          <w:p w14:paraId="2145FEDF" w14:textId="77777777">
            <w:pPr>
              <w:spacing w:after="0"/>
            </w:pPr>
            <w:r>
              <w:rPr>
                <w:rFonts w:eastAsia="Arial"/>
                <w:sz w:val="16"/>
              </w:rPr>
              <w:t>Tenant-Rollout, Berechtigungen und Betrieb</w:t>
            </w:r>
          </w:p>
        </w:tc>
      </w:tr>
      <w:tr w14:paraId="143B7273" w14:textId="77777777">
        <w:trPr>
          <w:cantSplit/>
        </w:trPr>
        <w:tc>
          <w:tcPr>
            <w:tcW w:w="3000" w:type="dxa"/>
            <w:shd w:val="clear" w:color="auto" w:fill="F6F7F5"/>
            <w:tcMar>
              <w:top w:w="75" w:type="dxa"/>
              <w:left w:w="120" w:type="dxa"/>
              <w:bottom w:w="75" w:type="dxa"/>
              <w:right w:w="120" w:type="dxa"/>
            </w:tcMar>
            <w:vAlign w:val="center"/>
          </w:tcPr>
          <w:p w14:paraId="26B428B3" w14:textId="77777777">
            <w:pPr>
              <w:spacing w:after="0"/>
            </w:pPr>
            <w:r>
              <w:rPr>
                <w:rFonts w:eastAsia="Arial"/>
                <w:sz w:val="16"/>
              </w:rPr>
              <w:t>8 Qualität und Governance</w:t>
            </w:r>
          </w:p>
        </w:tc>
        <w:tc>
          <w:tcPr>
            <w:tcW w:w="6640" w:type="dxa"/>
            <w:shd w:val="clear" w:color="auto" w:fill="F6F7F5"/>
            <w:tcMar>
              <w:top w:w="75" w:type="dxa"/>
              <w:left w:w="120" w:type="dxa"/>
              <w:bottom w:w="75" w:type="dxa"/>
              <w:right w:w="120" w:type="dxa"/>
            </w:tcMar>
            <w:vAlign w:val="center"/>
          </w:tcPr>
          <w:p w14:paraId="688A1458" w14:textId="77777777">
            <w:pPr>
              <w:spacing w:after="0"/>
            </w:pPr>
            <w:r>
              <w:rPr>
                <w:rFonts w:eastAsia="Arial"/>
                <w:sz w:val="16"/>
              </w:rPr>
              <w:t>Tests, rechtliche Pflege, Sicherheit und Lizenzen</w:t>
            </w:r>
          </w:p>
        </w:tc>
      </w:tr>
      <w:tr w14:paraId="3281ABCC" w14:textId="77777777">
        <w:trPr>
          <w:cantSplit/>
        </w:trPr>
        <w:tc>
          <w:tcPr>
            <w:tcW w:w="3000" w:type="dxa"/>
            <w:tcMar>
              <w:top w:w="75" w:type="dxa"/>
              <w:left w:w="120" w:type="dxa"/>
              <w:bottom w:w="75" w:type="dxa"/>
              <w:right w:w="120" w:type="dxa"/>
            </w:tcMar>
            <w:vAlign w:val="center"/>
          </w:tcPr>
          <w:p w14:paraId="47A270A1" w14:textId="77777777">
            <w:pPr>
              <w:spacing w:after="0"/>
            </w:pPr>
            <w:r>
              <w:rPr>
                <w:rFonts w:eastAsia="Arial"/>
                <w:sz w:val="16"/>
              </w:rPr>
              <w:t>9 Umsetzung</w:t>
            </w:r>
          </w:p>
        </w:tc>
        <w:tc>
          <w:tcPr>
            <w:tcW w:w="6640" w:type="dxa"/>
            <w:tcMar>
              <w:top w:w="75" w:type="dxa"/>
              <w:left w:w="120" w:type="dxa"/>
              <w:bottom w:w="75" w:type="dxa"/>
              <w:right w:w="120" w:type="dxa"/>
            </w:tcMar>
            <w:vAlign w:val="center"/>
          </w:tcPr>
          <w:p w14:paraId="3DC7BBF0" w14:textId="77777777">
            <w:pPr>
              <w:spacing w:after="0"/>
            </w:pPr>
            <w:r>
              <w:rPr>
                <w:rFonts w:eastAsia="Arial"/>
                <w:sz w:val="16"/>
              </w:rPr>
              <w:t>HERMES 2022 agil, Etappen und Lieferobjekte</w:t>
            </w:r>
          </w:p>
        </w:tc>
      </w:tr>
      <w:tr w14:paraId="5003DCFD" w14:textId="77777777">
        <w:trPr>
          <w:cantSplit/>
        </w:trPr>
        <w:tc>
          <w:tcPr>
            <w:tcW w:w="3000" w:type="dxa"/>
            <w:shd w:val="clear" w:color="auto" w:fill="F6F7F5"/>
            <w:tcMar>
              <w:top w:w="75" w:type="dxa"/>
              <w:left w:w="120" w:type="dxa"/>
              <w:bottom w:w="75" w:type="dxa"/>
              <w:right w:w="120" w:type="dxa"/>
            </w:tcMar>
            <w:vAlign w:val="center"/>
          </w:tcPr>
          <w:p w14:paraId="33A88122" w14:textId="77777777">
            <w:pPr>
              <w:spacing w:after="0"/>
            </w:pPr>
            <w:r>
              <w:rPr>
                <w:rFonts w:eastAsia="Arial"/>
                <w:sz w:val="16"/>
              </w:rPr>
              <w:t>10 Entscheide und nächste Schritte</w:t>
            </w:r>
          </w:p>
        </w:tc>
        <w:tc>
          <w:tcPr>
            <w:tcW w:w="6640" w:type="dxa"/>
            <w:shd w:val="clear" w:color="auto" w:fill="F6F7F5"/>
            <w:tcMar>
              <w:top w:w="75" w:type="dxa"/>
              <w:left w:w="120" w:type="dxa"/>
              <w:bottom w:w="75" w:type="dxa"/>
              <w:right w:w="120" w:type="dxa"/>
            </w:tcMar>
            <w:vAlign w:val="center"/>
          </w:tcPr>
          <w:p w14:paraId="626ECEE4" w14:textId="77777777">
            <w:pPr>
              <w:spacing w:after="0"/>
            </w:pPr>
            <w:r>
              <w:rPr>
                <w:rFonts w:eastAsia="Arial"/>
                <w:sz w:val="16"/>
              </w:rPr>
              <w:t>Risiken, gefällte Beschlüsse und Arbeitspakete</w:t>
            </w:r>
          </w:p>
        </w:tc>
      </w:tr>
      <w:tr w14:paraId="0E44CF3B" w14:textId="77777777">
        <w:trPr>
          <w:cantSplit/>
        </w:trPr>
        <w:tc>
          <w:tcPr>
            <w:tcW w:w="3000" w:type="dxa"/>
            <w:tcMar>
              <w:top w:w="75" w:type="dxa"/>
              <w:left w:w="120" w:type="dxa"/>
              <w:bottom w:w="75" w:type="dxa"/>
              <w:right w:w="120" w:type="dxa"/>
            </w:tcMar>
            <w:vAlign w:val="center"/>
          </w:tcPr>
          <w:p w14:paraId="3F41BFC9" w14:textId="77777777">
            <w:pPr>
              <w:spacing w:after="0"/>
            </w:pPr>
            <w:r>
              <w:rPr>
                <w:rFonts w:eastAsia="Arial"/>
                <w:sz w:val="16"/>
              </w:rPr>
              <w:t>Anhang</w:t>
            </w:r>
          </w:p>
        </w:tc>
        <w:tc>
          <w:tcPr>
            <w:tcW w:w="6640" w:type="dxa"/>
            <w:tcMar>
              <w:top w:w="75" w:type="dxa"/>
              <w:left w:w="120" w:type="dxa"/>
              <w:bottom w:w="75" w:type="dxa"/>
              <w:right w:w="120" w:type="dxa"/>
            </w:tcMar>
            <w:vAlign w:val="center"/>
          </w:tcPr>
          <w:p w14:paraId="58674EBF" w14:textId="77777777">
            <w:pPr>
              <w:spacing w:after="0"/>
            </w:pPr>
            <w:r>
              <w:rPr>
                <w:rFonts w:eastAsia="Arial"/>
                <w:sz w:val="16"/>
              </w:rPr>
              <w:t>Quellen, Begriffe und Akzeptanzkriterien</w:t>
            </w:r>
          </w:p>
        </w:tc>
      </w:tr>
    </w:tbl>
    <w:p w14:paraId="00CEB5BF" w14:textId="77777777">
      <w:pPr>
        <w:spacing w:after="20"/>
      </w:pPr>
    </w:p>
    <w:tbl>
      <w:tblPr>
        <w:tblW w:w="9520" w:type="dxa"/>
        <w:tblInd w:w="180" w:type="dxa"/>
        <w:tblLayout w:type="fixed"/>
        <w:tblLook w:val="04A0" w:firstRow="1" w:lastRow="0" w:firstColumn="1" w:lastColumn="0" w:noHBand="0" w:noVBand="1"/>
      </w:tblPr>
      <w:tblGrid>
        <w:gridCol w:w="9520"/>
      </w:tblGrid>
      <w:tr w14:paraId="643897BB" w14:textId="77777777">
        <w:tc>
          <w:tcPr>
            <w:tcW w:w="9520" w:type="dxa"/>
            <w:tcBorders>
              <w:left w:val="single" w:sz="18" w:space="0" w:color="2F6F73"/>
            </w:tcBorders>
            <w:shd w:val="clear" w:color="auto" w:fill="E7EEEE"/>
            <w:tcMar>
              <w:top w:w="130" w:type="dxa"/>
              <w:left w:w="180" w:type="dxa"/>
              <w:bottom w:w="130" w:type="dxa"/>
              <w:right w:w="160" w:type="dxa"/>
            </w:tcMar>
          </w:tcPr>
          <w:p w14:paraId="151F136A" w14:textId="77777777">
            <w:pPr>
              <w:spacing w:after="0"/>
            </w:pPr>
            <w:r>
              <w:rPr>
                <w:rFonts w:eastAsia="Arial"/>
                <w:b/>
                <w:color w:val="122C40"/>
              </w:rPr>
              <w:t xml:space="preserve">Lesart  </w:t>
            </w:r>
            <w:r>
              <w:rPr>
                <w:rFonts w:eastAsia="Arial"/>
              </w:rPr>
              <w:t>Das Konzept legt die Architektur und das Vorgehen fest. Es ersetzt noch keine vollständige juristische Fachspezifikation für sämtliche 26 Kantone.</w:t>
            </w:r>
          </w:p>
        </w:tc>
      </w:tr>
    </w:tbl>
    <w:p w14:paraId="6A21DE8C" w14:textId="77777777">
      <w:pPr>
        <w:spacing w:after="20"/>
      </w:pPr>
    </w:p>
    <w:p w14:paraId="3063A1E3" w14:textId="77777777">
      <w:pPr>
        <w:spacing w:after="0"/>
      </w:pPr>
      <w:r>
        <w:br w:type="page"/>
      </w:r>
    </w:p>
    <w:p w14:paraId="7946530F" w14:textId="77777777">
      <w:pPr>
        <w:pStyle w:val="berschrift1"/>
      </w:pPr>
      <w:r>
        <w:lastRenderedPageBreak/>
        <w:t>1 Management Summary</w:t>
      </w:r>
    </w:p>
    <w:tbl>
      <w:tblPr>
        <w:tblW w:w="9520" w:type="dxa"/>
        <w:tblInd w:w="180" w:type="dxa"/>
        <w:tblLayout w:type="fixed"/>
        <w:tblLook w:val="04A0" w:firstRow="1" w:lastRow="0" w:firstColumn="1" w:lastColumn="0" w:noHBand="0" w:noVBand="1"/>
      </w:tblPr>
      <w:tblGrid>
        <w:gridCol w:w="9520"/>
      </w:tblGrid>
      <w:tr w14:paraId="426B5325" w14:textId="77777777">
        <w:tc>
          <w:tcPr>
            <w:tcW w:w="9520" w:type="dxa"/>
            <w:tcBorders>
              <w:left w:val="single" w:sz="18" w:space="0" w:color="C46A3A"/>
            </w:tcBorders>
            <w:shd w:val="clear" w:color="auto" w:fill="E7EEEE"/>
            <w:tcMar>
              <w:top w:w="130" w:type="dxa"/>
              <w:left w:w="180" w:type="dxa"/>
              <w:bottom w:w="130" w:type="dxa"/>
              <w:right w:w="160" w:type="dxa"/>
            </w:tcMar>
          </w:tcPr>
          <w:p w14:paraId="19ED5F3C" w14:textId="77777777">
            <w:pPr>
              <w:spacing w:after="0"/>
            </w:pPr>
            <w:r>
              <w:rPr>
                <w:rFonts w:eastAsia="Arial"/>
                <w:b/>
                <w:color w:val="122C40"/>
              </w:rPr>
              <w:t xml:space="preserve">Kernaussage  </w:t>
            </w:r>
            <w:r>
              <w:rPr>
                <w:rFonts w:eastAsia="Arial"/>
              </w:rPr>
              <w:t>Empfohlen wird eine rein clientseitige SharePoint-Framework-Anwendung. Dieselbe Komponente läuft auf einer modernen SharePoint-Seite und als Tab in Microsoft Teams. Die Fristenlogik wird als deterministische, versionierte TypeScript-Bibliothek vom GUI getrennt. Die Berechnung bleibt auch ohne Backend und ohne Zugriff auf Falldaten funktionsfähig.</w:t>
            </w:r>
          </w:p>
        </w:tc>
      </w:tr>
    </w:tbl>
    <w:p w14:paraId="2A617DD2" w14:textId="77777777">
      <w:pPr>
        <w:spacing w:after="20"/>
      </w:pPr>
    </w:p>
    <w:p w14:paraId="7924B0C9" w14:textId="77777777">
      <w:r>
        <w:t>Die Lösung ist fachlich anspruchsvoller, als die vier Basiseingaben vermuten lassen. Neben Zustelldatum, Fristdauer, Verfahrensrecht und Gemeinwesen bestimmen insbesondere die Verfahrensart, der für Feiertage massgebende Ort, die Zustellart sowie spezialgesetzliche Ausnahmen das Ergebnis. Das GUI hält die Standardbedienung trotzdem kurz. Es fragt Zusatzangaben nur dann ab, wenn sie rechtlich relevant sind.</w:t>
      </w:r>
    </w:p>
    <w:p w14:paraId="0F9F0483" w14:textId="77777777">
      <w:pPr>
        <w:pStyle w:val="berschrift2"/>
      </w:pPr>
      <w:r>
        <w:t>1.1 Empfehlung</w:t>
      </w:r>
    </w:p>
    <w:p w14:paraId="627CC1DF" w14:textId="77777777">
      <w:pPr>
        <w:pStyle w:val="Aufzhlungszeichen"/>
      </w:pPr>
      <w:r>
        <w:t>SharePoint Framework mit React und Fluent UI als technische Basis einsetzen.</w:t>
      </w:r>
    </w:p>
    <w:p w14:paraId="67266F43" w14:textId="77777777">
      <w:pPr>
        <w:pStyle w:val="Aufzhlungszeichen"/>
      </w:pPr>
      <w:r>
        <w:t>SharePoint Online als Hosting-, Konfigurations- und Datenplattform verwenden.</w:t>
      </w:r>
    </w:p>
    <w:p w14:paraId="488742B8" w14:textId="77777777">
      <w:pPr>
        <w:pStyle w:val="Aufzhlungszeichen"/>
      </w:pPr>
      <w:r>
        <w:t>Teams als zusätzlichen Zugriffskanal auf dieselbe Anwendung behandeln, nicht als zweite Anwendung.</w:t>
      </w:r>
    </w:p>
    <w:p w14:paraId="08175D78" w14:textId="77777777">
      <w:pPr>
        <w:pStyle w:val="Aufzhlungszeichen"/>
      </w:pPr>
      <w:r>
        <w:t>Den Rechenkern ohne Netzwerkzugriff ausführbar machen und jeden Rechenschritt erklärbar ausgeben.</w:t>
      </w:r>
    </w:p>
    <w:p w14:paraId="03698928" w14:textId="77777777">
      <w:pPr>
        <w:pStyle w:val="Aufzhlungszeichen"/>
      </w:pPr>
      <w:r>
        <w:t>Den MVP auf StPO, ZPO, BGG, VwVG und das VRPG des Kantons Bern begrenzen. Bern ist das erste und vorerst einzige kantonale Profil.</w:t>
      </w:r>
    </w:p>
    <w:p w14:paraId="02BF7EBB" w14:textId="77777777">
      <w:pPr>
        <w:pStyle w:val="Aufzhlungszeichen"/>
      </w:pPr>
      <w:r>
        <w:t>Deutsch und Französisch für Release 1.0 verbindlich vorsehen und sämtliche UI-Texte von Anfang an lokalisierbar halten.</w:t>
      </w:r>
    </w:p>
    <w:p w14:paraId="076D6C15" w14:textId="77777777">
      <w:pPr>
        <w:pStyle w:val="Aufzhlungszeichen"/>
      </w:pPr>
      <w:r>
        <w:t>Rollen fachlich getrennt modellieren. In der aktuellen Einpersonenphase nimmt David Steimer alle Funktionen in Personalunion wahr.</w:t>
      </w:r>
    </w:p>
    <w:p w14:paraId="0BD81230" w14:textId="77777777">
      <w:pPr>
        <w:pStyle w:val="Aufzhlungszeichen"/>
      </w:pPr>
      <w:r>
        <w:t>Rechtsregeln und Kalenderdaten jährlich bis 15. November dokumentiert freigeben. Das echte Vieraugenprinzip bleibt Vorgabe für das spätere Betriebsmodell.</w:t>
      </w:r>
    </w:p>
    <w:p w14:paraId="7B3E7A84" w14:textId="42A86A14">
      <w:pPr>
        <w:pStyle w:val="berschrift2"/>
      </w:pPr>
      <w:r>
        <w:t xml:space="preserve">1.2 </w:t>
      </w:r>
      <w:proofErr w:type="spellStart"/>
      <w:r>
        <w:t>Zielkonflikt</w:t>
      </w:r>
      <w:proofErr w:type="spellEnd"/>
    </w:p>
    <w:tbl>
      <w:tblPr>
        <w:tblW w:w="9520" w:type="dxa"/>
        <w:tblInd w:w="180" w:type="dxa"/>
        <w:tblLayout w:type="fixed"/>
        <w:tblLook w:val="04A0" w:firstRow="1" w:lastRow="0" w:firstColumn="1" w:lastColumn="0" w:noHBand="0" w:noVBand="1"/>
      </w:tblPr>
      <w:tblGrid>
        <w:gridCol w:w="9520"/>
      </w:tblGrid>
      <w:tr w14:paraId="3B2BB46D" w14:textId="77777777">
        <w:tc>
          <w:tcPr>
            <w:tcW w:w="9520" w:type="dxa"/>
            <w:tcBorders>
              <w:left w:val="single" w:sz="18" w:space="0" w:color="C46A3A"/>
            </w:tcBorders>
            <w:shd w:val="clear" w:color="auto" w:fill="FFF4E8"/>
            <w:tcMar>
              <w:top w:w="130" w:type="dxa"/>
              <w:left w:w="180" w:type="dxa"/>
              <w:bottom w:w="130" w:type="dxa"/>
              <w:right w:w="160" w:type="dxa"/>
            </w:tcMar>
          </w:tcPr>
          <w:p w14:paraId="26EF08A7" w14:textId="51FA4F44">
            <w:pPr>
              <w:spacing w:after="0"/>
            </w:pPr>
            <w:r>
              <w:rPr>
                <w:rFonts w:eastAsia="Arial"/>
              </w:rPr>
              <w:t>Null Admin-Rechte, ausschliesslich tenantinterne M365-Dienste und eine vollständig unbeaufsichtigte externe Jahresaktualisierung lassen sich nicht gleichzeitig garantieren. Ein SPFx-Paket braucht mindestens einen freigegebenen App-Katalog. Eine automatische Datenübernahme braucht eine erlaubte Verbindung oder einen verantworteten Import. Das Konzept optimiert deshalb auf geringe einmalige Admin-Mitwirkung und einen schlanken Betrieb.</w:t>
            </w:r>
          </w:p>
        </w:tc>
      </w:tr>
    </w:tbl>
    <w:p w14:paraId="16B59790" w14:textId="77777777">
      <w:pPr>
        <w:spacing w:after="20"/>
      </w:pPr>
    </w:p>
    <w:p w14:paraId="4F841A3F" w14:textId="77777777">
      <w:pPr>
        <w:spacing w:after="0"/>
      </w:pPr>
      <w:r>
        <w:br w:type="page"/>
      </w:r>
    </w:p>
    <w:p w14:paraId="19EFBFCD" w14:textId="77777777">
      <w:pPr>
        <w:pStyle w:val="berschrift2"/>
      </w:pPr>
      <w:r>
        <w:lastRenderedPageBreak/>
        <w:t>1.3 Gefällte Grundsatzentscheide</w:t>
      </w:r>
    </w:p>
    <w:tbl>
      <w:tblPr>
        <w:tblStyle w:val="Tabellenraster"/>
        <w:tblW w:w="9640" w:type="dxa"/>
        <w:tblInd w:w="120" w:type="dxa"/>
        <w:tblLayout w:type="fixed"/>
        <w:tblLook w:val="04A0" w:firstRow="1" w:lastRow="0" w:firstColumn="1" w:lastColumn="0" w:noHBand="0" w:noVBand="1"/>
      </w:tblPr>
      <w:tblGrid>
        <w:gridCol w:w="2450"/>
        <w:gridCol w:w="5140"/>
        <w:gridCol w:w="2050"/>
      </w:tblGrid>
      <w:tr w14:paraId="35FEB6AE" w14:textId="77777777">
        <w:trPr>
          <w:cantSplit/>
          <w:tblHeader/>
        </w:trPr>
        <w:tc>
          <w:tcPr>
            <w:tcW w:w="2450" w:type="dxa"/>
            <w:shd w:val="clear" w:color="auto" w:fill="122C40"/>
            <w:tcMar>
              <w:top w:w="90" w:type="dxa"/>
              <w:left w:w="120" w:type="dxa"/>
              <w:bottom w:w="90" w:type="dxa"/>
              <w:right w:w="120" w:type="dxa"/>
            </w:tcMar>
            <w:vAlign w:val="center"/>
          </w:tcPr>
          <w:p w14:paraId="1D9DD7F1" w14:textId="77777777">
            <w:pPr>
              <w:spacing w:after="0"/>
            </w:pPr>
            <w:r>
              <w:rPr>
                <w:rFonts w:eastAsia="Arial"/>
                <w:b/>
                <w:color w:val="FFFFFF"/>
                <w:sz w:val="17"/>
              </w:rPr>
              <w:t>Thema</w:t>
            </w:r>
          </w:p>
        </w:tc>
        <w:tc>
          <w:tcPr>
            <w:tcW w:w="5140" w:type="dxa"/>
            <w:shd w:val="clear" w:color="auto" w:fill="122C40"/>
            <w:tcMar>
              <w:top w:w="90" w:type="dxa"/>
              <w:left w:w="120" w:type="dxa"/>
              <w:bottom w:w="90" w:type="dxa"/>
              <w:right w:w="120" w:type="dxa"/>
            </w:tcMar>
            <w:vAlign w:val="center"/>
          </w:tcPr>
          <w:p w14:paraId="4B72026E" w14:textId="77777777">
            <w:pPr>
              <w:spacing w:after="0"/>
            </w:pPr>
            <w:r>
              <w:rPr>
                <w:rFonts w:eastAsia="Arial"/>
                <w:b/>
                <w:color w:val="FFFFFF"/>
                <w:sz w:val="17"/>
              </w:rPr>
              <w:t>Beschluss</w:t>
            </w:r>
          </w:p>
        </w:tc>
        <w:tc>
          <w:tcPr>
            <w:tcW w:w="2050" w:type="dxa"/>
            <w:shd w:val="clear" w:color="auto" w:fill="122C40"/>
            <w:tcMar>
              <w:top w:w="90" w:type="dxa"/>
              <w:left w:w="120" w:type="dxa"/>
              <w:bottom w:w="90" w:type="dxa"/>
              <w:right w:w="120" w:type="dxa"/>
            </w:tcMar>
            <w:vAlign w:val="center"/>
          </w:tcPr>
          <w:p w14:paraId="6FD4138B" w14:textId="77777777">
            <w:pPr>
              <w:spacing w:after="0"/>
            </w:pPr>
            <w:r>
              <w:rPr>
                <w:rFonts w:eastAsia="Arial"/>
                <w:b/>
                <w:color w:val="FFFFFF"/>
                <w:sz w:val="17"/>
              </w:rPr>
              <w:t>Aktuell zuständig</w:t>
            </w:r>
          </w:p>
        </w:tc>
      </w:tr>
      <w:tr w14:paraId="0E983331" w14:textId="77777777">
        <w:trPr>
          <w:cantSplit/>
        </w:trPr>
        <w:tc>
          <w:tcPr>
            <w:tcW w:w="2450" w:type="dxa"/>
            <w:tcMar>
              <w:top w:w="75" w:type="dxa"/>
              <w:left w:w="120" w:type="dxa"/>
              <w:bottom w:w="75" w:type="dxa"/>
              <w:right w:w="120" w:type="dxa"/>
            </w:tcMar>
            <w:vAlign w:val="center"/>
          </w:tcPr>
          <w:p w14:paraId="07B2FC5E" w14:textId="77777777">
            <w:pPr>
              <w:spacing w:after="0"/>
            </w:pPr>
            <w:r>
              <w:rPr>
                <w:rFonts w:eastAsia="Arial"/>
                <w:sz w:val="16"/>
              </w:rPr>
              <w:t>MVP-Umfang</w:t>
            </w:r>
          </w:p>
        </w:tc>
        <w:tc>
          <w:tcPr>
            <w:tcW w:w="5140" w:type="dxa"/>
            <w:tcMar>
              <w:top w:w="75" w:type="dxa"/>
              <w:left w:w="120" w:type="dxa"/>
              <w:bottom w:w="75" w:type="dxa"/>
              <w:right w:w="120" w:type="dxa"/>
            </w:tcMar>
            <w:vAlign w:val="center"/>
          </w:tcPr>
          <w:p w14:paraId="78885CBD" w14:textId="77777777">
            <w:pPr>
              <w:spacing w:after="0"/>
            </w:pPr>
            <w:r>
              <w:rPr>
                <w:rFonts w:eastAsia="Arial"/>
                <w:sz w:val="16"/>
              </w:rPr>
              <w:t>Bundesprofile plus Kanton Bern. Kein zweiter Kanton im MVP</w:t>
            </w:r>
          </w:p>
        </w:tc>
        <w:tc>
          <w:tcPr>
            <w:tcW w:w="2050" w:type="dxa"/>
            <w:tcMar>
              <w:top w:w="75" w:type="dxa"/>
              <w:left w:w="120" w:type="dxa"/>
              <w:bottom w:w="75" w:type="dxa"/>
              <w:right w:w="120" w:type="dxa"/>
            </w:tcMar>
            <w:vAlign w:val="center"/>
          </w:tcPr>
          <w:p w14:paraId="225AC083" w14:textId="77777777">
            <w:pPr>
              <w:spacing w:after="0"/>
            </w:pPr>
            <w:r>
              <w:rPr>
                <w:rFonts w:eastAsia="Arial"/>
                <w:sz w:val="16"/>
              </w:rPr>
              <w:t>David Steimer</w:t>
            </w:r>
          </w:p>
        </w:tc>
      </w:tr>
      <w:tr w14:paraId="662C6AC8" w14:textId="77777777">
        <w:trPr>
          <w:cantSplit/>
        </w:trPr>
        <w:tc>
          <w:tcPr>
            <w:tcW w:w="2450" w:type="dxa"/>
            <w:shd w:val="clear" w:color="auto" w:fill="F6F7F5"/>
            <w:tcMar>
              <w:top w:w="75" w:type="dxa"/>
              <w:left w:w="120" w:type="dxa"/>
              <w:bottom w:w="75" w:type="dxa"/>
              <w:right w:w="120" w:type="dxa"/>
            </w:tcMar>
            <w:vAlign w:val="center"/>
          </w:tcPr>
          <w:p w14:paraId="7FF08ADB" w14:textId="77777777">
            <w:pPr>
              <w:spacing w:after="0"/>
            </w:pPr>
            <w:r>
              <w:rPr>
                <w:rFonts w:eastAsia="Arial"/>
                <w:sz w:val="16"/>
              </w:rPr>
              <w:t>Deployment</w:t>
            </w:r>
          </w:p>
        </w:tc>
        <w:tc>
          <w:tcPr>
            <w:tcW w:w="5140" w:type="dxa"/>
            <w:shd w:val="clear" w:color="auto" w:fill="F6F7F5"/>
            <w:tcMar>
              <w:top w:w="75" w:type="dxa"/>
              <w:left w:w="120" w:type="dxa"/>
              <w:bottom w:w="75" w:type="dxa"/>
              <w:right w:w="120" w:type="dxa"/>
            </w:tcMar>
            <w:vAlign w:val="center"/>
          </w:tcPr>
          <w:p w14:paraId="4A0BEC45" w14:textId="77777777">
            <w:pPr>
              <w:spacing w:after="0"/>
            </w:pPr>
            <w:r>
              <w:rPr>
                <w:rFonts w:eastAsia="Arial"/>
                <w:sz w:val="16"/>
              </w:rPr>
              <w:t>SharePoint-first mit optionalem Teams-Tab</w:t>
            </w:r>
          </w:p>
        </w:tc>
        <w:tc>
          <w:tcPr>
            <w:tcW w:w="2050" w:type="dxa"/>
            <w:shd w:val="clear" w:color="auto" w:fill="F6F7F5"/>
            <w:tcMar>
              <w:top w:w="75" w:type="dxa"/>
              <w:left w:w="120" w:type="dxa"/>
              <w:bottom w:w="75" w:type="dxa"/>
              <w:right w:w="120" w:type="dxa"/>
            </w:tcMar>
            <w:vAlign w:val="center"/>
          </w:tcPr>
          <w:p w14:paraId="4673DE85" w14:textId="77777777">
            <w:pPr>
              <w:spacing w:after="0"/>
            </w:pPr>
            <w:r>
              <w:rPr>
                <w:rFonts w:eastAsia="Arial"/>
                <w:sz w:val="16"/>
              </w:rPr>
              <w:t>David Steimer / IT je Tenant</w:t>
            </w:r>
          </w:p>
        </w:tc>
      </w:tr>
      <w:tr w14:paraId="59A679D3" w14:textId="77777777">
        <w:trPr>
          <w:cantSplit/>
        </w:trPr>
        <w:tc>
          <w:tcPr>
            <w:tcW w:w="2450" w:type="dxa"/>
            <w:tcMar>
              <w:top w:w="75" w:type="dxa"/>
              <w:left w:w="120" w:type="dxa"/>
              <w:bottom w:w="75" w:type="dxa"/>
              <w:right w:w="120" w:type="dxa"/>
            </w:tcMar>
            <w:vAlign w:val="center"/>
          </w:tcPr>
          <w:p w14:paraId="51096C06" w14:textId="77777777">
            <w:pPr>
              <w:spacing w:after="0"/>
            </w:pPr>
            <w:r>
              <w:rPr>
                <w:rFonts w:eastAsia="Arial"/>
                <w:sz w:val="16"/>
              </w:rPr>
              <w:t>Datenquelle</w:t>
            </w:r>
          </w:p>
        </w:tc>
        <w:tc>
          <w:tcPr>
            <w:tcW w:w="5140" w:type="dxa"/>
            <w:tcMar>
              <w:top w:w="75" w:type="dxa"/>
              <w:left w:w="120" w:type="dxa"/>
              <w:bottom w:w="75" w:type="dxa"/>
              <w:right w:w="120" w:type="dxa"/>
            </w:tcMar>
            <w:vAlign w:val="center"/>
          </w:tcPr>
          <w:p w14:paraId="7181F533" w14:textId="77777777">
            <w:pPr>
              <w:spacing w:after="0"/>
            </w:pPr>
            <w:r>
              <w:rPr>
                <w:rFonts w:eastAsia="Arial"/>
                <w:sz w:val="16"/>
              </w:rPr>
              <w:t>Öffentlicher GitHub-Feed im Pilot, Architektur von Anfang an mirrorfähig</w:t>
            </w:r>
          </w:p>
        </w:tc>
        <w:tc>
          <w:tcPr>
            <w:tcW w:w="2050" w:type="dxa"/>
            <w:tcMar>
              <w:top w:w="75" w:type="dxa"/>
              <w:left w:w="120" w:type="dxa"/>
              <w:bottom w:w="75" w:type="dxa"/>
              <w:right w:w="120" w:type="dxa"/>
            </w:tcMar>
            <w:vAlign w:val="center"/>
          </w:tcPr>
          <w:p w14:paraId="21A88942" w14:textId="77777777">
            <w:pPr>
              <w:spacing w:after="0"/>
            </w:pPr>
            <w:r>
              <w:rPr>
                <w:rFonts w:eastAsia="Arial"/>
                <w:sz w:val="16"/>
              </w:rPr>
              <w:t>David Steimer</w:t>
            </w:r>
          </w:p>
        </w:tc>
      </w:tr>
      <w:tr w14:paraId="0F223E0D" w14:textId="77777777">
        <w:trPr>
          <w:cantSplit/>
        </w:trPr>
        <w:tc>
          <w:tcPr>
            <w:tcW w:w="2450" w:type="dxa"/>
            <w:shd w:val="clear" w:color="auto" w:fill="F6F7F5"/>
            <w:tcMar>
              <w:top w:w="75" w:type="dxa"/>
              <w:left w:w="120" w:type="dxa"/>
              <w:bottom w:w="75" w:type="dxa"/>
              <w:right w:w="120" w:type="dxa"/>
            </w:tcMar>
            <w:vAlign w:val="center"/>
          </w:tcPr>
          <w:p w14:paraId="629C6D1D" w14:textId="77777777">
            <w:pPr>
              <w:spacing w:after="0"/>
            </w:pPr>
            <w:r>
              <w:rPr>
                <w:rFonts w:eastAsia="Arial"/>
                <w:sz w:val="16"/>
              </w:rPr>
              <w:t>Defaults</w:t>
            </w:r>
          </w:p>
        </w:tc>
        <w:tc>
          <w:tcPr>
            <w:tcW w:w="5140" w:type="dxa"/>
            <w:shd w:val="clear" w:color="auto" w:fill="F6F7F5"/>
            <w:tcMar>
              <w:top w:w="75" w:type="dxa"/>
              <w:left w:w="120" w:type="dxa"/>
              <w:bottom w:w="75" w:type="dxa"/>
              <w:right w:w="120" w:type="dxa"/>
            </w:tcMar>
            <w:vAlign w:val="center"/>
          </w:tcPr>
          <w:p w14:paraId="2612ED18" w14:textId="77777777">
            <w:pPr>
              <w:spacing w:after="0"/>
            </w:pPr>
            <w:r>
              <w:rPr>
                <w:rFonts w:eastAsia="Arial"/>
                <w:sz w:val="16"/>
              </w:rPr>
              <w:t>Nur lokale Speicherung im Browser</w:t>
            </w:r>
          </w:p>
        </w:tc>
        <w:tc>
          <w:tcPr>
            <w:tcW w:w="2050" w:type="dxa"/>
            <w:shd w:val="clear" w:color="auto" w:fill="F6F7F5"/>
            <w:tcMar>
              <w:top w:w="75" w:type="dxa"/>
              <w:left w:w="120" w:type="dxa"/>
              <w:bottom w:w="75" w:type="dxa"/>
              <w:right w:w="120" w:type="dxa"/>
            </w:tcMar>
            <w:vAlign w:val="center"/>
          </w:tcPr>
          <w:p w14:paraId="3F1E795A" w14:textId="77777777">
            <w:pPr>
              <w:spacing w:after="0"/>
            </w:pPr>
            <w:r>
              <w:rPr>
                <w:rFonts w:eastAsia="Arial"/>
                <w:sz w:val="16"/>
              </w:rPr>
              <w:t>David Steimer</w:t>
            </w:r>
          </w:p>
        </w:tc>
      </w:tr>
      <w:tr w14:paraId="2C40AA21" w14:textId="77777777">
        <w:trPr>
          <w:cantSplit/>
        </w:trPr>
        <w:tc>
          <w:tcPr>
            <w:tcW w:w="2450" w:type="dxa"/>
            <w:tcMar>
              <w:top w:w="75" w:type="dxa"/>
              <w:left w:w="120" w:type="dxa"/>
              <w:bottom w:w="75" w:type="dxa"/>
              <w:right w:w="120" w:type="dxa"/>
            </w:tcMar>
            <w:vAlign w:val="center"/>
          </w:tcPr>
          <w:p w14:paraId="2FB32FB9" w14:textId="77777777">
            <w:pPr>
              <w:spacing w:after="0"/>
            </w:pPr>
            <w:r>
              <w:rPr>
                <w:rFonts w:eastAsia="Arial"/>
                <w:sz w:val="16"/>
              </w:rPr>
              <w:t>Lizenz</w:t>
            </w:r>
          </w:p>
        </w:tc>
        <w:tc>
          <w:tcPr>
            <w:tcW w:w="5140" w:type="dxa"/>
            <w:tcMar>
              <w:top w:w="75" w:type="dxa"/>
              <w:left w:w="120" w:type="dxa"/>
              <w:bottom w:w="75" w:type="dxa"/>
              <w:right w:w="120" w:type="dxa"/>
            </w:tcMar>
            <w:vAlign w:val="center"/>
          </w:tcPr>
          <w:p w14:paraId="083A8C20" w14:textId="77777777">
            <w:pPr>
              <w:spacing w:after="0"/>
            </w:pPr>
            <w:r>
              <w:rPr>
                <w:rFonts w:eastAsia="Arial"/>
                <w:sz w:val="16"/>
              </w:rPr>
              <w:t>Programmcode AGPL-3.0, Inhalte und Daten CC BY-SA 4.0</w:t>
            </w:r>
          </w:p>
        </w:tc>
        <w:tc>
          <w:tcPr>
            <w:tcW w:w="2050" w:type="dxa"/>
            <w:tcMar>
              <w:top w:w="75" w:type="dxa"/>
              <w:left w:w="120" w:type="dxa"/>
              <w:bottom w:w="75" w:type="dxa"/>
              <w:right w:w="120" w:type="dxa"/>
            </w:tcMar>
            <w:vAlign w:val="center"/>
          </w:tcPr>
          <w:p w14:paraId="491E58C7" w14:textId="77777777">
            <w:pPr>
              <w:spacing w:after="0"/>
            </w:pPr>
            <w:r>
              <w:rPr>
                <w:rFonts w:eastAsia="Arial"/>
                <w:sz w:val="16"/>
              </w:rPr>
              <w:t>David Steimer</w:t>
            </w:r>
          </w:p>
        </w:tc>
      </w:tr>
      <w:tr w14:paraId="1AA749FA" w14:textId="77777777">
        <w:trPr>
          <w:cantSplit/>
        </w:trPr>
        <w:tc>
          <w:tcPr>
            <w:tcW w:w="2450" w:type="dxa"/>
            <w:shd w:val="clear" w:color="auto" w:fill="F6F7F5"/>
            <w:tcMar>
              <w:top w:w="75" w:type="dxa"/>
              <w:left w:w="120" w:type="dxa"/>
              <w:bottom w:w="75" w:type="dxa"/>
              <w:right w:w="120" w:type="dxa"/>
            </w:tcMar>
            <w:vAlign w:val="center"/>
          </w:tcPr>
          <w:p w14:paraId="47CB73AD" w14:textId="77777777">
            <w:pPr>
              <w:spacing w:after="0"/>
            </w:pPr>
            <w:r>
              <w:rPr>
                <w:rFonts w:eastAsia="Arial"/>
                <w:sz w:val="16"/>
              </w:rPr>
              <w:t>Sprachen</w:t>
            </w:r>
          </w:p>
        </w:tc>
        <w:tc>
          <w:tcPr>
            <w:tcW w:w="5140" w:type="dxa"/>
            <w:shd w:val="clear" w:color="auto" w:fill="F6F7F5"/>
            <w:tcMar>
              <w:top w:w="75" w:type="dxa"/>
              <w:left w:w="120" w:type="dxa"/>
              <w:bottom w:w="75" w:type="dxa"/>
              <w:right w:w="120" w:type="dxa"/>
            </w:tcMar>
            <w:vAlign w:val="center"/>
          </w:tcPr>
          <w:p w14:paraId="63219CD2" w14:textId="77777777">
            <w:pPr>
              <w:spacing w:after="0"/>
            </w:pPr>
            <w:r>
              <w:rPr>
                <w:rFonts w:eastAsia="Arial"/>
                <w:sz w:val="16"/>
              </w:rPr>
              <w:t>Deutsch und Französisch für Release 1.0</w:t>
            </w:r>
          </w:p>
        </w:tc>
        <w:tc>
          <w:tcPr>
            <w:tcW w:w="2050" w:type="dxa"/>
            <w:shd w:val="clear" w:color="auto" w:fill="F6F7F5"/>
            <w:tcMar>
              <w:top w:w="75" w:type="dxa"/>
              <w:left w:w="120" w:type="dxa"/>
              <w:bottom w:w="75" w:type="dxa"/>
              <w:right w:w="120" w:type="dxa"/>
            </w:tcMar>
            <w:vAlign w:val="center"/>
          </w:tcPr>
          <w:p w14:paraId="1B8A107D" w14:textId="77777777">
            <w:pPr>
              <w:spacing w:after="0"/>
            </w:pPr>
            <w:r>
              <w:rPr>
                <w:rFonts w:eastAsia="Arial"/>
                <w:sz w:val="16"/>
              </w:rPr>
              <w:t>David Steimer</w:t>
            </w:r>
          </w:p>
        </w:tc>
      </w:tr>
      <w:tr w14:paraId="18087DA3" w14:textId="77777777">
        <w:trPr>
          <w:cantSplit/>
        </w:trPr>
        <w:tc>
          <w:tcPr>
            <w:tcW w:w="2450" w:type="dxa"/>
            <w:tcMar>
              <w:top w:w="75" w:type="dxa"/>
              <w:left w:w="120" w:type="dxa"/>
              <w:bottom w:w="75" w:type="dxa"/>
              <w:right w:w="120" w:type="dxa"/>
            </w:tcMar>
            <w:vAlign w:val="center"/>
          </w:tcPr>
          <w:p w14:paraId="1ECDC900" w14:textId="77777777">
            <w:pPr>
              <w:spacing w:after="0"/>
            </w:pPr>
            <w:r>
              <w:rPr>
                <w:rFonts w:eastAsia="Arial"/>
                <w:sz w:val="16"/>
              </w:rPr>
              <w:t>Rollen</w:t>
            </w:r>
          </w:p>
        </w:tc>
        <w:tc>
          <w:tcPr>
            <w:tcW w:w="5140" w:type="dxa"/>
            <w:tcMar>
              <w:top w:w="75" w:type="dxa"/>
              <w:left w:w="120" w:type="dxa"/>
              <w:bottom w:w="75" w:type="dxa"/>
              <w:right w:w="120" w:type="dxa"/>
            </w:tcMar>
            <w:vAlign w:val="center"/>
          </w:tcPr>
          <w:p w14:paraId="57A4BBEC" w14:textId="77777777">
            <w:pPr>
              <w:spacing w:after="0"/>
            </w:pPr>
            <w:r>
              <w:rPr>
                <w:rFonts w:eastAsia="Arial"/>
                <w:sz w:val="16"/>
              </w:rPr>
              <w:t>Alle Projekt- und Fachrollen derzeit in Personalunion</w:t>
            </w:r>
          </w:p>
        </w:tc>
        <w:tc>
          <w:tcPr>
            <w:tcW w:w="2050" w:type="dxa"/>
            <w:tcMar>
              <w:top w:w="75" w:type="dxa"/>
              <w:left w:w="120" w:type="dxa"/>
              <w:bottom w:w="75" w:type="dxa"/>
              <w:right w:w="120" w:type="dxa"/>
            </w:tcMar>
            <w:vAlign w:val="center"/>
          </w:tcPr>
          <w:p w14:paraId="65CA2C0B" w14:textId="77777777">
            <w:pPr>
              <w:spacing w:after="0"/>
            </w:pPr>
            <w:r>
              <w:rPr>
                <w:rFonts w:eastAsia="Arial"/>
                <w:sz w:val="16"/>
              </w:rPr>
              <w:t>David Steimer</w:t>
            </w:r>
          </w:p>
        </w:tc>
      </w:tr>
    </w:tbl>
    <w:p w14:paraId="18C88F50" w14:textId="77777777">
      <w:pPr>
        <w:spacing w:after="20"/>
      </w:pPr>
    </w:p>
    <w:tbl>
      <w:tblPr>
        <w:tblW w:w="9520" w:type="dxa"/>
        <w:tblInd w:w="180" w:type="dxa"/>
        <w:tblLayout w:type="fixed"/>
        <w:tblLook w:val="04A0" w:firstRow="1" w:lastRow="0" w:firstColumn="1" w:lastColumn="0" w:noHBand="0" w:noVBand="1"/>
      </w:tblPr>
      <w:tblGrid>
        <w:gridCol w:w="9520"/>
      </w:tblGrid>
      <w:tr w14:paraId="57A05BA5" w14:textId="77777777">
        <w:tc>
          <w:tcPr>
            <w:tcW w:w="9520" w:type="dxa"/>
            <w:tcBorders>
              <w:left w:val="single" w:sz="18" w:space="0" w:color="2F6F73"/>
            </w:tcBorders>
            <w:shd w:val="clear" w:color="auto" w:fill="E7EEEE"/>
            <w:tcMar>
              <w:top w:w="130" w:type="dxa"/>
              <w:left w:w="180" w:type="dxa"/>
              <w:bottom w:w="130" w:type="dxa"/>
              <w:right w:w="160" w:type="dxa"/>
            </w:tcMar>
          </w:tcPr>
          <w:p w14:paraId="612EB345" w14:textId="77777777">
            <w:pPr>
              <w:spacing w:after="0"/>
            </w:pPr>
            <w:r>
              <w:rPr>
                <w:rFonts w:eastAsia="Arial"/>
                <w:b/>
                <w:color w:val="122C40"/>
              </w:rPr>
              <w:t xml:space="preserve">Folge für die Umsetzung  </w:t>
            </w:r>
            <w:r>
              <w:rPr>
                <w:rFonts w:eastAsia="Arial"/>
              </w:rPr>
              <w:t>Für diese Themen besteht vor dem Start des technischen Spikes kein weiterer Grundsatzentscheid. Detailentscheide werden im Product Backlog dokumentiert und ändern die hier festgelegten Leitplanken nicht.</w:t>
            </w:r>
          </w:p>
        </w:tc>
      </w:tr>
    </w:tbl>
    <w:p w14:paraId="3DE8B344" w14:textId="77777777">
      <w:pPr>
        <w:spacing w:after="20"/>
      </w:pPr>
    </w:p>
    <w:p w14:paraId="233207E1" w14:textId="77777777">
      <w:pPr>
        <w:spacing w:after="0"/>
      </w:pPr>
      <w:r>
        <w:br w:type="page"/>
      </w:r>
    </w:p>
    <w:p w14:paraId="516503DA" w14:textId="77777777">
      <w:pPr>
        <w:pStyle w:val="berschrift1"/>
      </w:pPr>
      <w:r>
        <w:lastRenderedPageBreak/>
        <w:t>2 Ausgangslage und Zielbild</w:t>
      </w:r>
    </w:p>
    <w:p w14:paraId="2B51961E" w14:textId="77777777">
      <w:pPr>
        <w:pStyle w:val="berschrift2"/>
      </w:pPr>
      <w:r>
        <w:t>2.1 Ausgangslage</w:t>
      </w:r>
    </w:p>
    <w:p w14:paraId="73F8C128" w14:textId="77777777">
      <w:r>
        <w:t>Die Grundregel wirkt einfach: Der Fristenlauf beginnt am Tag nach der rechtlich wirksamen Zustellung. Endet die Frist an einem Samstag, Sonntag oder anerkannten Feiertag, verschiebt sich das Ende auf den nächsten Werktag. In der Praxis kommen Fristenstillstände, Verfahrensausnahmen, unterschiedliche Feiertagsorte, kantonales Sonderrecht und sich ändernde Zustellfiktionen hinzu. Genau dort entstehen die teuren Fehler.</w:t>
      </w:r>
    </w:p>
    <w:p w14:paraId="29170794" w14:textId="77777777">
      <w:r>
        <w:t>Die Prozessordnungen lösen einzelne Fragen unterschiedlich. In der StPO gibt es keine Gerichtsferien. ZPO, BGG und VwVG kennen Fristenstillstände mit je eigenen Ausnahmen. Das bernische VRPG regelt Beginn und Ende, kennt im Grundgesetz jedoch keinen allgemeinen Fristenstillstand und behält Spezialrecht vor. Kantonale Feiertage können zudem regional oder kommunal differenzieren. Quellen: [Q1] bis [Q8].</w:t>
      </w:r>
    </w:p>
    <w:p w14:paraId="738A8FC1" w14:textId="77777777">
      <w:pPr>
        <w:pStyle w:val="berschrift2"/>
      </w:pPr>
      <w:r>
        <w:t>2.2 Vision</w:t>
      </w:r>
    </w:p>
    <w:tbl>
      <w:tblPr>
        <w:tblW w:w="9520" w:type="dxa"/>
        <w:tblInd w:w="180" w:type="dxa"/>
        <w:tblLayout w:type="fixed"/>
        <w:tblLook w:val="04A0" w:firstRow="1" w:lastRow="0" w:firstColumn="1" w:lastColumn="0" w:noHBand="0" w:noVBand="1"/>
      </w:tblPr>
      <w:tblGrid>
        <w:gridCol w:w="9520"/>
      </w:tblGrid>
      <w:tr w14:paraId="660F5FBA" w14:textId="77777777">
        <w:tc>
          <w:tcPr>
            <w:tcW w:w="9520" w:type="dxa"/>
            <w:tcBorders>
              <w:left w:val="single" w:sz="18" w:space="0" w:color="2F6F73"/>
            </w:tcBorders>
            <w:shd w:val="clear" w:color="auto" w:fill="E7EEEE"/>
            <w:tcMar>
              <w:top w:w="130" w:type="dxa"/>
              <w:left w:w="180" w:type="dxa"/>
              <w:bottom w:w="130" w:type="dxa"/>
              <w:right w:w="160" w:type="dxa"/>
            </w:tcMar>
          </w:tcPr>
          <w:p w14:paraId="25B9DAE6" w14:textId="77777777">
            <w:pPr>
              <w:spacing w:after="0"/>
            </w:pPr>
            <w:r>
              <w:rPr>
                <w:rFonts w:eastAsia="Arial"/>
                <w:b/>
                <w:color w:val="122C40"/>
              </w:rPr>
              <w:t xml:space="preserve">Produktvision  </w:t>
            </w:r>
            <w:r>
              <w:rPr>
                <w:rFonts w:eastAsia="Arial"/>
              </w:rPr>
              <w:t>Eine Benutzerin oder ein Benutzer erhält in weniger als einer Minute ein nachvollziehbares Fristende. Die App zeigt nicht nur ein Datum. Sie zeigt, weshalb dieses Datum gilt, welche Regeln automatisch gewählt wurden, welche Datenbasis verwendet wurde und welche Eingaben übersteuert wurden.</w:t>
            </w:r>
          </w:p>
        </w:tc>
      </w:tr>
    </w:tbl>
    <w:p w14:paraId="76D848EB" w14:textId="77777777">
      <w:pPr>
        <w:spacing w:after="20"/>
      </w:pPr>
    </w:p>
    <w:p w14:paraId="62726438" w14:textId="77777777">
      <w:pPr>
        <w:pStyle w:val="berschrift2"/>
      </w:pPr>
      <w:r>
        <w:t>2.3 Ziele</w:t>
      </w:r>
    </w:p>
    <w:p w14:paraId="597B9421" w14:textId="77777777">
      <w:pPr>
        <w:pStyle w:val="Aufzhlungszeichen"/>
      </w:pPr>
      <w:r>
        <w:t>Korrekte taggenaue Berechnung für die freigegebenen Rechtsprofile.</w:t>
      </w:r>
    </w:p>
    <w:p w14:paraId="74EEA361" w14:textId="77777777">
      <w:pPr>
        <w:pStyle w:val="Aufzhlungszeichen"/>
      </w:pPr>
      <w:r>
        <w:t>Sichtbare automatische Auswahl von Feiertagsgebiet, Gerichtsferien und Ausnahmen.</w:t>
      </w:r>
    </w:p>
    <w:p w14:paraId="01FEC7F0" w14:textId="77777777">
      <w:pPr>
        <w:pStyle w:val="Aufzhlungszeichen"/>
      </w:pPr>
      <w:r>
        <w:t>Bewusste Übersteuerung mit Kennzeichnung und vollständiger Rechenspur.</w:t>
      </w:r>
    </w:p>
    <w:p w14:paraId="2648F3DE" w14:textId="77777777">
      <w:pPr>
        <w:pStyle w:val="Aufzhlungszeichen"/>
      </w:pPr>
      <w:r>
        <w:t>Persönliche Defaultwerte ohne Speicherung von Fall- oder Personendaten.</w:t>
      </w:r>
    </w:p>
    <w:p w14:paraId="57C04F89" w14:textId="77777777">
      <w:pPr>
        <w:pStyle w:val="Aufzhlungszeichen"/>
      </w:pPr>
      <w:r>
        <w:t>Betrieb auf SharePoint Online und in Teams mit möglichst wenig Tenant-spezifischer Konfiguration.</w:t>
      </w:r>
    </w:p>
    <w:p w14:paraId="07B81AFB" w14:textId="77777777">
      <w:pPr>
        <w:pStyle w:val="Aufzhlungszeichen"/>
      </w:pPr>
      <w:r>
        <w:t>Offene, prüfbare Regeln und reproduzierbare Tests.</w:t>
      </w:r>
    </w:p>
    <w:p w14:paraId="3CEFCB5A" w14:textId="77777777">
      <w:pPr>
        <w:pStyle w:val="berschrift2"/>
      </w:pPr>
      <w:r>
        <w:t>2.4 Abgrenzung des ersten Releases</w:t>
      </w:r>
    </w:p>
    <w:tbl>
      <w:tblPr>
        <w:tblStyle w:val="Tabellenraster"/>
        <w:tblW w:w="9640" w:type="dxa"/>
        <w:tblInd w:w="120" w:type="dxa"/>
        <w:tblLayout w:type="fixed"/>
        <w:tblLook w:val="04A0" w:firstRow="1" w:lastRow="0" w:firstColumn="1" w:lastColumn="0" w:noHBand="0" w:noVBand="1"/>
      </w:tblPr>
      <w:tblGrid>
        <w:gridCol w:w="4820"/>
        <w:gridCol w:w="4820"/>
      </w:tblGrid>
      <w:tr w14:paraId="32CF686C" w14:textId="77777777">
        <w:trPr>
          <w:cantSplit/>
          <w:tblHeader/>
        </w:trPr>
        <w:tc>
          <w:tcPr>
            <w:tcW w:w="4820" w:type="dxa"/>
            <w:shd w:val="clear" w:color="auto" w:fill="122C40"/>
            <w:tcMar>
              <w:top w:w="90" w:type="dxa"/>
              <w:left w:w="120" w:type="dxa"/>
              <w:bottom w:w="90" w:type="dxa"/>
              <w:right w:w="120" w:type="dxa"/>
            </w:tcMar>
            <w:vAlign w:val="center"/>
          </w:tcPr>
          <w:p w14:paraId="56591010" w14:textId="77777777">
            <w:pPr>
              <w:spacing w:after="0"/>
            </w:pPr>
            <w:r>
              <w:rPr>
                <w:rFonts w:eastAsia="Arial"/>
                <w:b/>
                <w:color w:val="FFFFFF"/>
                <w:sz w:val="17"/>
              </w:rPr>
              <w:t>Im Umfang</w:t>
            </w:r>
          </w:p>
        </w:tc>
        <w:tc>
          <w:tcPr>
            <w:tcW w:w="4820" w:type="dxa"/>
            <w:shd w:val="clear" w:color="auto" w:fill="122C40"/>
            <w:tcMar>
              <w:top w:w="90" w:type="dxa"/>
              <w:left w:w="120" w:type="dxa"/>
              <w:bottom w:w="90" w:type="dxa"/>
              <w:right w:w="120" w:type="dxa"/>
            </w:tcMar>
            <w:vAlign w:val="center"/>
          </w:tcPr>
          <w:p w14:paraId="31CA23E2" w14:textId="77777777">
            <w:pPr>
              <w:spacing w:after="0"/>
            </w:pPr>
            <w:r>
              <w:rPr>
                <w:rFonts w:eastAsia="Arial"/>
                <w:b/>
                <w:color w:val="FFFFFF"/>
                <w:sz w:val="17"/>
              </w:rPr>
              <w:t>Ausserhalb des ersten Releases</w:t>
            </w:r>
          </w:p>
        </w:tc>
      </w:tr>
      <w:tr w14:paraId="009A6CAC" w14:textId="77777777">
        <w:trPr>
          <w:cantSplit/>
        </w:trPr>
        <w:tc>
          <w:tcPr>
            <w:tcW w:w="4820" w:type="dxa"/>
            <w:tcMar>
              <w:top w:w="75" w:type="dxa"/>
              <w:left w:w="120" w:type="dxa"/>
              <w:bottom w:w="75" w:type="dxa"/>
              <w:right w:w="120" w:type="dxa"/>
            </w:tcMar>
            <w:vAlign w:val="center"/>
          </w:tcPr>
          <w:p w14:paraId="59E5D079" w14:textId="77777777">
            <w:pPr>
              <w:spacing w:after="0"/>
            </w:pPr>
            <w:r>
              <w:rPr>
                <w:rFonts w:eastAsia="Arial"/>
                <w:sz w:val="16"/>
              </w:rPr>
              <w:t>Fristen in Kalendertagen</w:t>
            </w:r>
          </w:p>
        </w:tc>
        <w:tc>
          <w:tcPr>
            <w:tcW w:w="4820" w:type="dxa"/>
            <w:tcMar>
              <w:top w:w="75" w:type="dxa"/>
              <w:left w:w="120" w:type="dxa"/>
              <w:bottom w:w="75" w:type="dxa"/>
              <w:right w:w="120" w:type="dxa"/>
            </w:tcMar>
            <w:vAlign w:val="center"/>
          </w:tcPr>
          <w:p w14:paraId="607B989B" w14:textId="77777777">
            <w:pPr>
              <w:spacing w:after="0"/>
            </w:pPr>
            <w:r>
              <w:rPr>
                <w:rFonts w:eastAsia="Arial"/>
                <w:sz w:val="16"/>
              </w:rPr>
              <w:t>Fristen in Monaten, Jahren oder Stunden</w:t>
            </w:r>
          </w:p>
        </w:tc>
      </w:tr>
      <w:tr w14:paraId="07606BD0" w14:textId="77777777">
        <w:trPr>
          <w:cantSplit/>
        </w:trPr>
        <w:tc>
          <w:tcPr>
            <w:tcW w:w="4820" w:type="dxa"/>
            <w:shd w:val="clear" w:color="auto" w:fill="F6F7F5"/>
            <w:tcMar>
              <w:top w:w="75" w:type="dxa"/>
              <w:left w:w="120" w:type="dxa"/>
              <w:bottom w:w="75" w:type="dxa"/>
              <w:right w:w="120" w:type="dxa"/>
            </w:tcMar>
            <w:vAlign w:val="center"/>
          </w:tcPr>
          <w:p w14:paraId="3F47A759" w14:textId="77777777">
            <w:pPr>
              <w:spacing w:after="0"/>
            </w:pPr>
            <w:r>
              <w:rPr>
                <w:rFonts w:eastAsia="Arial"/>
                <w:sz w:val="16"/>
              </w:rPr>
              <w:t>Rechtlich wirksames Zustelldatum</w:t>
            </w:r>
          </w:p>
        </w:tc>
        <w:tc>
          <w:tcPr>
            <w:tcW w:w="4820" w:type="dxa"/>
            <w:shd w:val="clear" w:color="auto" w:fill="F6F7F5"/>
            <w:tcMar>
              <w:top w:w="75" w:type="dxa"/>
              <w:left w:w="120" w:type="dxa"/>
              <w:bottom w:w="75" w:type="dxa"/>
              <w:right w:w="120" w:type="dxa"/>
            </w:tcMar>
            <w:vAlign w:val="center"/>
          </w:tcPr>
          <w:p w14:paraId="3AEBE942" w14:textId="77777777">
            <w:pPr>
              <w:spacing w:after="0"/>
            </w:pPr>
            <w:r>
              <w:rPr>
                <w:rFonts w:eastAsia="Arial"/>
                <w:sz w:val="16"/>
              </w:rPr>
              <w:t>Beweiswürdigung bei streitiger Zustellung</w:t>
            </w:r>
          </w:p>
        </w:tc>
      </w:tr>
      <w:tr w14:paraId="124B0A04" w14:textId="77777777">
        <w:trPr>
          <w:cantSplit/>
        </w:trPr>
        <w:tc>
          <w:tcPr>
            <w:tcW w:w="4820" w:type="dxa"/>
            <w:tcMar>
              <w:top w:w="75" w:type="dxa"/>
              <w:left w:w="120" w:type="dxa"/>
              <w:bottom w:w="75" w:type="dxa"/>
              <w:right w:w="120" w:type="dxa"/>
            </w:tcMar>
            <w:vAlign w:val="center"/>
          </w:tcPr>
          <w:p w14:paraId="1914AE15" w14:textId="77777777">
            <w:pPr>
              <w:spacing w:after="0"/>
            </w:pPr>
            <w:r>
              <w:rPr>
                <w:rFonts w:eastAsia="Arial"/>
                <w:sz w:val="16"/>
              </w:rPr>
              <w:t>StPO, ZPO, BGG, VwVG und VRPG Bern</w:t>
            </w:r>
          </w:p>
        </w:tc>
        <w:tc>
          <w:tcPr>
            <w:tcW w:w="4820" w:type="dxa"/>
            <w:tcMar>
              <w:top w:w="75" w:type="dxa"/>
              <w:left w:w="120" w:type="dxa"/>
              <w:bottom w:w="75" w:type="dxa"/>
              <w:right w:w="120" w:type="dxa"/>
            </w:tcMar>
            <w:vAlign w:val="center"/>
          </w:tcPr>
          <w:p w14:paraId="496712DA" w14:textId="77777777">
            <w:pPr>
              <w:spacing w:after="0"/>
            </w:pPr>
            <w:r>
              <w:rPr>
                <w:rFonts w:eastAsia="Arial"/>
                <w:sz w:val="16"/>
              </w:rPr>
              <w:t>Kantonale Profile ausserhalb des Kantons Bern</w:t>
            </w:r>
          </w:p>
        </w:tc>
      </w:tr>
      <w:tr w14:paraId="48D59131" w14:textId="77777777">
        <w:trPr>
          <w:cantSplit/>
        </w:trPr>
        <w:tc>
          <w:tcPr>
            <w:tcW w:w="4820" w:type="dxa"/>
            <w:shd w:val="clear" w:color="auto" w:fill="F6F7F5"/>
            <w:tcMar>
              <w:top w:w="75" w:type="dxa"/>
              <w:left w:w="120" w:type="dxa"/>
              <w:bottom w:w="75" w:type="dxa"/>
              <w:right w:w="120" w:type="dxa"/>
            </w:tcMar>
            <w:vAlign w:val="center"/>
          </w:tcPr>
          <w:p w14:paraId="63CC069B" w14:textId="77777777">
            <w:pPr>
              <w:spacing w:after="0"/>
            </w:pPr>
            <w:r>
              <w:rPr>
                <w:rFonts w:eastAsia="Arial"/>
                <w:sz w:val="16"/>
              </w:rPr>
              <w:t>Feiertage und ordentliche Stillstandsperioden</w:t>
            </w:r>
          </w:p>
        </w:tc>
        <w:tc>
          <w:tcPr>
            <w:tcW w:w="4820" w:type="dxa"/>
            <w:shd w:val="clear" w:color="auto" w:fill="F6F7F5"/>
            <w:tcMar>
              <w:top w:w="75" w:type="dxa"/>
              <w:left w:w="120" w:type="dxa"/>
              <w:bottom w:w="75" w:type="dxa"/>
              <w:right w:w="120" w:type="dxa"/>
            </w:tcMar>
            <w:vAlign w:val="center"/>
          </w:tcPr>
          <w:p w14:paraId="25264945" w14:textId="77777777">
            <w:pPr>
              <w:spacing w:after="0"/>
            </w:pPr>
            <w:r>
              <w:rPr>
                <w:rFonts w:eastAsia="Arial"/>
                <w:sz w:val="16"/>
              </w:rPr>
              <w:t>Wiederherstellung, Erstreckung und Notfristen</w:t>
            </w:r>
          </w:p>
        </w:tc>
      </w:tr>
      <w:tr w14:paraId="369D85C7" w14:textId="77777777">
        <w:trPr>
          <w:cantSplit/>
        </w:trPr>
        <w:tc>
          <w:tcPr>
            <w:tcW w:w="4820" w:type="dxa"/>
            <w:tcMar>
              <w:top w:w="75" w:type="dxa"/>
              <w:left w:w="120" w:type="dxa"/>
              <w:bottom w:w="75" w:type="dxa"/>
              <w:right w:w="120" w:type="dxa"/>
            </w:tcMar>
            <w:vAlign w:val="center"/>
          </w:tcPr>
          <w:p w14:paraId="442FD653" w14:textId="77777777">
            <w:pPr>
              <w:spacing w:after="0"/>
            </w:pPr>
            <w:r>
              <w:rPr>
                <w:rFonts w:eastAsia="Arial"/>
                <w:sz w:val="16"/>
              </w:rPr>
              <w:t>Deutsch und Französisch</w:t>
            </w:r>
          </w:p>
        </w:tc>
        <w:tc>
          <w:tcPr>
            <w:tcW w:w="4820" w:type="dxa"/>
            <w:tcMar>
              <w:top w:w="75" w:type="dxa"/>
              <w:left w:w="120" w:type="dxa"/>
              <w:bottom w:w="75" w:type="dxa"/>
              <w:right w:w="120" w:type="dxa"/>
            </w:tcMar>
            <w:vAlign w:val="center"/>
          </w:tcPr>
          <w:p w14:paraId="7A3DF99A" w14:textId="77777777">
            <w:pPr>
              <w:spacing w:after="0"/>
            </w:pPr>
            <w:r>
              <w:rPr>
                <w:rFonts w:eastAsia="Arial"/>
                <w:sz w:val="16"/>
              </w:rPr>
              <w:t>Italienisch und weitere Sprachen</w:t>
            </w:r>
          </w:p>
        </w:tc>
      </w:tr>
      <w:tr w14:paraId="384E8038" w14:textId="77777777">
        <w:trPr>
          <w:cantSplit/>
        </w:trPr>
        <w:tc>
          <w:tcPr>
            <w:tcW w:w="4820" w:type="dxa"/>
            <w:shd w:val="clear" w:color="auto" w:fill="F6F7F5"/>
            <w:tcMar>
              <w:top w:w="75" w:type="dxa"/>
              <w:left w:w="120" w:type="dxa"/>
              <w:bottom w:w="75" w:type="dxa"/>
              <w:right w:w="120" w:type="dxa"/>
            </w:tcMar>
            <w:vAlign w:val="center"/>
          </w:tcPr>
          <w:p w14:paraId="5421EE4C" w14:textId="77777777">
            <w:pPr>
              <w:spacing w:after="0"/>
            </w:pPr>
            <w:r>
              <w:rPr>
                <w:rFonts w:eastAsia="Arial"/>
                <w:sz w:val="16"/>
              </w:rPr>
              <w:t>Rechenhilfe mit Nachweis</w:t>
            </w:r>
          </w:p>
        </w:tc>
        <w:tc>
          <w:tcPr>
            <w:tcW w:w="4820" w:type="dxa"/>
            <w:shd w:val="clear" w:color="auto" w:fill="F6F7F5"/>
            <w:tcMar>
              <w:top w:w="75" w:type="dxa"/>
              <w:left w:w="120" w:type="dxa"/>
              <w:bottom w:w="75" w:type="dxa"/>
              <w:right w:w="120" w:type="dxa"/>
            </w:tcMar>
            <w:vAlign w:val="center"/>
          </w:tcPr>
          <w:p w14:paraId="34BFACA2" w14:textId="77777777">
            <w:pPr>
              <w:spacing w:after="0"/>
            </w:pPr>
            <w:r>
              <w:rPr>
                <w:rFonts w:eastAsia="Arial"/>
                <w:sz w:val="16"/>
              </w:rPr>
              <w:t>Verbindliche Rechtsauskunft oder Haftungsübernahme</w:t>
            </w:r>
          </w:p>
        </w:tc>
      </w:tr>
    </w:tbl>
    <w:p w14:paraId="3699B51E" w14:textId="77777777">
      <w:pPr>
        <w:spacing w:after="20"/>
      </w:pPr>
    </w:p>
    <w:p w14:paraId="41C61265" w14:textId="77777777">
      <w:pPr>
        <w:spacing w:after="0"/>
      </w:pPr>
      <w:r>
        <w:br w:type="page"/>
      </w:r>
    </w:p>
    <w:p w14:paraId="66BC8601" w14:textId="77777777">
      <w:pPr>
        <w:pStyle w:val="berschrift1"/>
      </w:pPr>
      <w:r>
        <w:lastRenderedPageBreak/>
        <w:t>3 Fachkonzept</w:t>
      </w:r>
    </w:p>
    <w:p w14:paraId="696DC1FB" w14:textId="77777777">
      <w:pPr>
        <w:pStyle w:val="berschrift2"/>
      </w:pPr>
      <w:r>
        <w:t>3.1 Eingabemodell</w:t>
      </w:r>
    </w:p>
    <w:p w14:paraId="32B7B06C" w14:textId="77777777">
      <w:r>
        <w:t>Das Basisformular bleibt auf vier Felder reduziert:</w:t>
      </w:r>
    </w:p>
    <w:p w14:paraId="4BF7EAD6" w14:textId="77777777">
      <w:pPr>
        <w:pStyle w:val="Listennummer"/>
        <w:numPr>
          <w:ilvl w:val="0"/>
          <w:numId w:val="12"/>
        </w:numPr>
      </w:pPr>
      <w:r>
        <w:t>Datum der rechtlich wirksamen Zustellung</w:t>
      </w:r>
    </w:p>
    <w:p w14:paraId="00F8F826" w14:textId="77777777">
      <w:pPr>
        <w:pStyle w:val="Listennummer"/>
        <w:numPr>
          <w:ilvl w:val="0"/>
          <w:numId w:val="12"/>
        </w:numPr>
      </w:pPr>
      <w:r>
        <w:t>Fristdauer in Tagen</w:t>
      </w:r>
    </w:p>
    <w:p w14:paraId="6A548C90" w14:textId="77777777">
      <w:pPr>
        <w:pStyle w:val="Listennummer"/>
        <w:numPr>
          <w:ilvl w:val="0"/>
          <w:numId w:val="12"/>
        </w:numPr>
      </w:pPr>
      <w:r>
        <w:t>Anwendbares Verfahrensrecht</w:t>
      </w:r>
    </w:p>
    <w:p w14:paraId="48A16A72" w14:textId="77777777">
      <w:pPr>
        <w:pStyle w:val="Listennummer"/>
        <w:numPr>
          <w:ilvl w:val="0"/>
          <w:numId w:val="12"/>
        </w:numPr>
      </w:pPr>
      <w:r>
        <w:t>Gemeinwesen beziehungsweise Verfahrensstufe</w:t>
      </w:r>
    </w:p>
    <w:p w14:paraId="737D7F90" w14:textId="77777777">
      <w:r>
        <w:t>Die App stellt danach nur bedingte Zusatzfragen. Dazu gehören Verfahrensart, Zustellart, Sitz der entscheidenden Behörde, Wohnsitz oder Sitz der Partei beziehungsweise Vertretung und gegebenenfalls Gemeinde. Das System erläutert bei jeder Zusatzfrage, weshalb sie das Ergebnis beeinflusst.</w:t>
      </w:r>
    </w:p>
    <w:tbl>
      <w:tblPr>
        <w:tblW w:w="9520" w:type="dxa"/>
        <w:tblInd w:w="180" w:type="dxa"/>
        <w:tblLayout w:type="fixed"/>
        <w:tblLook w:val="04A0" w:firstRow="1" w:lastRow="0" w:firstColumn="1" w:lastColumn="0" w:noHBand="0" w:noVBand="1"/>
      </w:tblPr>
      <w:tblGrid>
        <w:gridCol w:w="9520"/>
      </w:tblGrid>
      <w:tr w14:paraId="2AF7771A" w14:textId="77777777">
        <w:tc>
          <w:tcPr>
            <w:tcW w:w="9520" w:type="dxa"/>
            <w:tcBorders>
              <w:left w:val="single" w:sz="18" w:space="0" w:color="C46A3A"/>
            </w:tcBorders>
            <w:shd w:val="clear" w:color="auto" w:fill="FFF4E8"/>
            <w:tcMar>
              <w:top w:w="130" w:type="dxa"/>
              <w:left w:w="180" w:type="dxa"/>
              <w:bottom w:w="130" w:type="dxa"/>
              <w:right w:w="160" w:type="dxa"/>
            </w:tcMar>
          </w:tcPr>
          <w:p w14:paraId="3093A396" w14:textId="77777777">
            <w:pPr>
              <w:spacing w:after="0"/>
            </w:pPr>
            <w:r>
              <w:rPr>
                <w:rFonts w:eastAsia="Arial"/>
                <w:b/>
                <w:color w:val="122C40"/>
              </w:rPr>
              <w:t xml:space="preserve">Begriffsregel  </w:t>
            </w:r>
            <w:r>
              <w:rPr>
                <w:rFonts w:eastAsia="Arial"/>
              </w:rPr>
              <w:t>Das Feld heisst bewusst «rechtlich wirksame Zustellung». Ein physischer Einwurf am Wochenende kann je nach Rechtsgebiet und Inkraftsetzungsstand erst später als zugestellt gelten. Wer nur «Empfangsdatum» schreibt, baut eine hübsche Fehlerquelle.</w:t>
            </w:r>
          </w:p>
        </w:tc>
      </w:tr>
    </w:tbl>
    <w:p w14:paraId="72A0F077" w14:textId="77777777">
      <w:pPr>
        <w:spacing w:after="20"/>
      </w:pPr>
    </w:p>
    <w:p w14:paraId="23360523" w14:textId="77777777">
      <w:pPr>
        <w:pStyle w:val="berschrift2"/>
      </w:pPr>
      <w:r>
        <w:t>3.2 Rechtsprofile im MVP</w:t>
      </w:r>
    </w:p>
    <w:tbl>
      <w:tblPr>
        <w:tblStyle w:val="Tabellenraster"/>
        <w:tblW w:w="9640" w:type="dxa"/>
        <w:tblInd w:w="120" w:type="dxa"/>
        <w:tblLayout w:type="fixed"/>
        <w:tblLook w:val="04A0" w:firstRow="1" w:lastRow="0" w:firstColumn="1" w:lastColumn="0" w:noHBand="0" w:noVBand="1"/>
      </w:tblPr>
      <w:tblGrid>
        <w:gridCol w:w="1250"/>
        <w:gridCol w:w="1600"/>
        <w:gridCol w:w="2200"/>
        <w:gridCol w:w="4590"/>
      </w:tblGrid>
      <w:tr w14:paraId="67D64C82" w14:textId="77777777">
        <w:trPr>
          <w:cantSplit/>
          <w:tblHeader/>
        </w:trPr>
        <w:tc>
          <w:tcPr>
            <w:tcW w:w="1250" w:type="dxa"/>
            <w:shd w:val="clear" w:color="auto" w:fill="122C40"/>
            <w:tcMar>
              <w:top w:w="90" w:type="dxa"/>
              <w:left w:w="120" w:type="dxa"/>
              <w:bottom w:w="90" w:type="dxa"/>
              <w:right w:w="120" w:type="dxa"/>
            </w:tcMar>
            <w:vAlign w:val="center"/>
          </w:tcPr>
          <w:p w14:paraId="6A6FC596" w14:textId="77777777">
            <w:pPr>
              <w:spacing w:after="0"/>
            </w:pPr>
            <w:r>
              <w:rPr>
                <w:rFonts w:eastAsia="Arial"/>
                <w:b/>
                <w:color w:val="FFFFFF"/>
                <w:sz w:val="17"/>
              </w:rPr>
              <w:t>Profil</w:t>
            </w:r>
          </w:p>
        </w:tc>
        <w:tc>
          <w:tcPr>
            <w:tcW w:w="1600" w:type="dxa"/>
            <w:shd w:val="clear" w:color="auto" w:fill="122C40"/>
            <w:tcMar>
              <w:top w:w="90" w:type="dxa"/>
              <w:left w:w="120" w:type="dxa"/>
              <w:bottom w:w="90" w:type="dxa"/>
              <w:right w:w="120" w:type="dxa"/>
            </w:tcMar>
            <w:vAlign w:val="center"/>
          </w:tcPr>
          <w:p w14:paraId="5CFBFC55" w14:textId="77777777">
            <w:pPr>
              <w:spacing w:after="0"/>
            </w:pPr>
            <w:r>
              <w:rPr>
                <w:rFonts w:eastAsia="Arial"/>
                <w:b/>
                <w:color w:val="FFFFFF"/>
                <w:sz w:val="17"/>
              </w:rPr>
              <w:t>Beginn</w:t>
            </w:r>
          </w:p>
        </w:tc>
        <w:tc>
          <w:tcPr>
            <w:tcW w:w="2200" w:type="dxa"/>
            <w:shd w:val="clear" w:color="auto" w:fill="122C40"/>
            <w:tcMar>
              <w:top w:w="90" w:type="dxa"/>
              <w:left w:w="120" w:type="dxa"/>
              <w:bottom w:w="90" w:type="dxa"/>
              <w:right w:w="120" w:type="dxa"/>
            </w:tcMar>
            <w:vAlign w:val="center"/>
          </w:tcPr>
          <w:p w14:paraId="4A0C37D9" w14:textId="77777777">
            <w:pPr>
              <w:spacing w:after="0"/>
            </w:pPr>
            <w:r>
              <w:rPr>
                <w:rFonts w:eastAsia="Arial"/>
                <w:b/>
                <w:color w:val="FFFFFF"/>
                <w:sz w:val="17"/>
              </w:rPr>
              <w:t>Stillstand</w:t>
            </w:r>
          </w:p>
        </w:tc>
        <w:tc>
          <w:tcPr>
            <w:tcW w:w="4590" w:type="dxa"/>
            <w:shd w:val="clear" w:color="auto" w:fill="122C40"/>
            <w:tcMar>
              <w:top w:w="90" w:type="dxa"/>
              <w:left w:w="120" w:type="dxa"/>
              <w:bottom w:w="90" w:type="dxa"/>
              <w:right w:w="120" w:type="dxa"/>
            </w:tcMar>
            <w:vAlign w:val="center"/>
          </w:tcPr>
          <w:p w14:paraId="51C75A0C" w14:textId="77777777">
            <w:pPr>
              <w:spacing w:after="0"/>
            </w:pPr>
            <w:r>
              <w:rPr>
                <w:rFonts w:eastAsia="Arial"/>
                <w:b/>
                <w:color w:val="FFFFFF"/>
                <w:sz w:val="17"/>
              </w:rPr>
              <w:t>Feiertagsort und Ausnahmen</w:t>
            </w:r>
          </w:p>
        </w:tc>
      </w:tr>
      <w:tr w14:paraId="2EEA4AD1" w14:textId="77777777">
        <w:trPr>
          <w:cantSplit/>
        </w:trPr>
        <w:tc>
          <w:tcPr>
            <w:tcW w:w="1250" w:type="dxa"/>
            <w:tcMar>
              <w:top w:w="75" w:type="dxa"/>
              <w:left w:w="120" w:type="dxa"/>
              <w:bottom w:w="75" w:type="dxa"/>
              <w:right w:w="120" w:type="dxa"/>
            </w:tcMar>
            <w:vAlign w:val="center"/>
          </w:tcPr>
          <w:p w14:paraId="23420260" w14:textId="77777777">
            <w:pPr>
              <w:spacing w:after="0"/>
            </w:pPr>
            <w:r>
              <w:rPr>
                <w:rFonts w:eastAsia="Arial"/>
                <w:sz w:val="16"/>
              </w:rPr>
              <w:t>StPO</w:t>
            </w:r>
          </w:p>
        </w:tc>
        <w:tc>
          <w:tcPr>
            <w:tcW w:w="1600" w:type="dxa"/>
            <w:tcMar>
              <w:top w:w="75" w:type="dxa"/>
              <w:left w:w="120" w:type="dxa"/>
              <w:bottom w:w="75" w:type="dxa"/>
              <w:right w:w="120" w:type="dxa"/>
            </w:tcMar>
            <w:vAlign w:val="center"/>
          </w:tcPr>
          <w:p w14:paraId="3661ECF9" w14:textId="77777777">
            <w:pPr>
              <w:spacing w:after="0"/>
            </w:pPr>
            <w:r>
              <w:rPr>
                <w:rFonts w:eastAsia="Arial"/>
                <w:sz w:val="16"/>
              </w:rPr>
              <w:t>Folgetag</w:t>
            </w:r>
          </w:p>
        </w:tc>
        <w:tc>
          <w:tcPr>
            <w:tcW w:w="2200" w:type="dxa"/>
            <w:tcMar>
              <w:top w:w="75" w:type="dxa"/>
              <w:left w:w="120" w:type="dxa"/>
              <w:bottom w:w="75" w:type="dxa"/>
              <w:right w:w="120" w:type="dxa"/>
            </w:tcMar>
            <w:vAlign w:val="center"/>
          </w:tcPr>
          <w:p w14:paraId="65CCECF6" w14:textId="77777777">
            <w:pPr>
              <w:spacing w:after="0"/>
            </w:pPr>
            <w:r>
              <w:rPr>
                <w:rFonts w:eastAsia="Arial"/>
                <w:sz w:val="16"/>
              </w:rPr>
              <w:t>Keiner</w:t>
            </w:r>
          </w:p>
        </w:tc>
        <w:tc>
          <w:tcPr>
            <w:tcW w:w="4590" w:type="dxa"/>
            <w:tcMar>
              <w:top w:w="75" w:type="dxa"/>
              <w:left w:w="120" w:type="dxa"/>
              <w:bottom w:w="75" w:type="dxa"/>
              <w:right w:w="120" w:type="dxa"/>
            </w:tcMar>
            <w:vAlign w:val="center"/>
          </w:tcPr>
          <w:p w14:paraId="01AB97C6" w14:textId="77777777">
            <w:pPr>
              <w:spacing w:after="0"/>
            </w:pPr>
            <w:r>
              <w:rPr>
                <w:rFonts w:eastAsia="Arial"/>
                <w:sz w:val="16"/>
              </w:rPr>
              <w:t>Kanton von Partei oder Rechtsbeistand. Art. 89–90 StPO.</w:t>
            </w:r>
          </w:p>
        </w:tc>
      </w:tr>
      <w:tr w14:paraId="3C0E3BF0" w14:textId="77777777">
        <w:trPr>
          <w:cantSplit/>
        </w:trPr>
        <w:tc>
          <w:tcPr>
            <w:tcW w:w="1250" w:type="dxa"/>
            <w:shd w:val="clear" w:color="auto" w:fill="F6F7F5"/>
            <w:tcMar>
              <w:top w:w="75" w:type="dxa"/>
              <w:left w:w="120" w:type="dxa"/>
              <w:bottom w:w="75" w:type="dxa"/>
              <w:right w:w="120" w:type="dxa"/>
            </w:tcMar>
            <w:vAlign w:val="center"/>
          </w:tcPr>
          <w:p w14:paraId="6D44FD21" w14:textId="77777777">
            <w:pPr>
              <w:spacing w:after="0"/>
            </w:pPr>
            <w:r>
              <w:rPr>
                <w:rFonts w:eastAsia="Arial"/>
                <w:sz w:val="16"/>
              </w:rPr>
              <w:t>ZPO</w:t>
            </w:r>
          </w:p>
        </w:tc>
        <w:tc>
          <w:tcPr>
            <w:tcW w:w="1600" w:type="dxa"/>
            <w:shd w:val="clear" w:color="auto" w:fill="F6F7F5"/>
            <w:tcMar>
              <w:top w:w="75" w:type="dxa"/>
              <w:left w:w="120" w:type="dxa"/>
              <w:bottom w:w="75" w:type="dxa"/>
              <w:right w:w="120" w:type="dxa"/>
            </w:tcMar>
            <w:vAlign w:val="center"/>
          </w:tcPr>
          <w:p w14:paraId="0AAFDD98" w14:textId="77777777">
            <w:pPr>
              <w:spacing w:after="0"/>
            </w:pPr>
            <w:r>
              <w:rPr>
                <w:rFonts w:eastAsia="Arial"/>
                <w:sz w:val="16"/>
              </w:rPr>
              <w:t>Folgetag. Art. 142 Abs. 1 und 1bis beachten</w:t>
            </w:r>
          </w:p>
        </w:tc>
        <w:tc>
          <w:tcPr>
            <w:tcW w:w="2200" w:type="dxa"/>
            <w:shd w:val="clear" w:color="auto" w:fill="F6F7F5"/>
            <w:tcMar>
              <w:top w:w="75" w:type="dxa"/>
              <w:left w:w="120" w:type="dxa"/>
              <w:bottom w:w="75" w:type="dxa"/>
              <w:right w:w="120" w:type="dxa"/>
            </w:tcMar>
            <w:vAlign w:val="center"/>
          </w:tcPr>
          <w:p w14:paraId="17D4B469" w14:textId="77777777">
            <w:pPr>
              <w:spacing w:after="0"/>
            </w:pPr>
            <w:r>
              <w:rPr>
                <w:rFonts w:eastAsia="Arial"/>
                <w:sz w:val="16"/>
              </w:rPr>
              <w:t>Ostern, Sommer, Weihnachten</w:t>
            </w:r>
          </w:p>
        </w:tc>
        <w:tc>
          <w:tcPr>
            <w:tcW w:w="4590" w:type="dxa"/>
            <w:shd w:val="clear" w:color="auto" w:fill="F6F7F5"/>
            <w:tcMar>
              <w:top w:w="75" w:type="dxa"/>
              <w:left w:w="120" w:type="dxa"/>
              <w:bottom w:w="75" w:type="dxa"/>
              <w:right w:w="120" w:type="dxa"/>
            </w:tcMar>
            <w:vAlign w:val="center"/>
          </w:tcPr>
          <w:p w14:paraId="5619EFB8" w14:textId="77777777">
            <w:pPr>
              <w:spacing w:after="0"/>
            </w:pPr>
            <w:r>
              <w:rPr>
                <w:rFonts w:eastAsia="Arial"/>
                <w:sz w:val="16"/>
              </w:rPr>
              <w:t>Feiertage am Sitz des Gerichts. Kein Stillstand im Schlichtungs- und summarischen Verfahren.</w:t>
            </w:r>
          </w:p>
        </w:tc>
      </w:tr>
      <w:tr w14:paraId="014A5CB3" w14:textId="77777777">
        <w:trPr>
          <w:cantSplit/>
        </w:trPr>
        <w:tc>
          <w:tcPr>
            <w:tcW w:w="1250" w:type="dxa"/>
            <w:tcMar>
              <w:top w:w="75" w:type="dxa"/>
              <w:left w:w="120" w:type="dxa"/>
              <w:bottom w:w="75" w:type="dxa"/>
              <w:right w:w="120" w:type="dxa"/>
            </w:tcMar>
            <w:vAlign w:val="center"/>
          </w:tcPr>
          <w:p w14:paraId="091E34B7" w14:textId="77777777">
            <w:pPr>
              <w:spacing w:after="0"/>
            </w:pPr>
            <w:r>
              <w:rPr>
                <w:rFonts w:eastAsia="Arial"/>
                <w:sz w:val="16"/>
              </w:rPr>
              <w:t>BGG</w:t>
            </w:r>
          </w:p>
        </w:tc>
        <w:tc>
          <w:tcPr>
            <w:tcW w:w="1600" w:type="dxa"/>
            <w:tcMar>
              <w:top w:w="75" w:type="dxa"/>
              <w:left w:w="120" w:type="dxa"/>
              <w:bottom w:w="75" w:type="dxa"/>
              <w:right w:w="120" w:type="dxa"/>
            </w:tcMar>
            <w:vAlign w:val="center"/>
          </w:tcPr>
          <w:p w14:paraId="66D911BE" w14:textId="77777777">
            <w:pPr>
              <w:spacing w:after="0"/>
            </w:pPr>
            <w:r>
              <w:rPr>
                <w:rFonts w:eastAsia="Arial"/>
                <w:sz w:val="16"/>
              </w:rPr>
              <w:t>Folgetag</w:t>
            </w:r>
          </w:p>
        </w:tc>
        <w:tc>
          <w:tcPr>
            <w:tcW w:w="2200" w:type="dxa"/>
            <w:tcMar>
              <w:top w:w="75" w:type="dxa"/>
              <w:left w:w="120" w:type="dxa"/>
              <w:bottom w:w="75" w:type="dxa"/>
              <w:right w:w="120" w:type="dxa"/>
            </w:tcMar>
            <w:vAlign w:val="center"/>
          </w:tcPr>
          <w:p w14:paraId="308A87E2" w14:textId="77777777">
            <w:pPr>
              <w:spacing w:after="0"/>
            </w:pPr>
            <w:r>
              <w:rPr>
                <w:rFonts w:eastAsia="Arial"/>
                <w:sz w:val="16"/>
              </w:rPr>
              <w:t>Ostern, Sommer, Weihnachten</w:t>
            </w:r>
          </w:p>
        </w:tc>
        <w:tc>
          <w:tcPr>
            <w:tcW w:w="4590" w:type="dxa"/>
            <w:tcMar>
              <w:top w:w="75" w:type="dxa"/>
              <w:left w:w="120" w:type="dxa"/>
              <w:bottom w:w="75" w:type="dxa"/>
              <w:right w:w="120" w:type="dxa"/>
            </w:tcMar>
            <w:vAlign w:val="center"/>
          </w:tcPr>
          <w:p w14:paraId="4D8BA51E" w14:textId="77777777">
            <w:pPr>
              <w:spacing w:after="0"/>
            </w:pPr>
            <w:r>
              <w:rPr>
                <w:rFonts w:eastAsia="Arial"/>
                <w:sz w:val="16"/>
              </w:rPr>
              <w:t>Kanton von Partei oder Vertretung. Ausnahmen nach Art. 46 Abs. 2 BGG.</w:t>
            </w:r>
          </w:p>
        </w:tc>
      </w:tr>
      <w:tr w14:paraId="65091275" w14:textId="77777777">
        <w:trPr>
          <w:cantSplit/>
        </w:trPr>
        <w:tc>
          <w:tcPr>
            <w:tcW w:w="1250" w:type="dxa"/>
            <w:shd w:val="clear" w:color="auto" w:fill="F6F7F5"/>
            <w:tcMar>
              <w:top w:w="75" w:type="dxa"/>
              <w:left w:w="120" w:type="dxa"/>
              <w:bottom w:w="75" w:type="dxa"/>
              <w:right w:w="120" w:type="dxa"/>
            </w:tcMar>
            <w:vAlign w:val="center"/>
          </w:tcPr>
          <w:p w14:paraId="1CD2E89D" w14:textId="77777777">
            <w:pPr>
              <w:spacing w:after="0"/>
            </w:pPr>
            <w:r>
              <w:rPr>
                <w:rFonts w:eastAsia="Arial"/>
                <w:sz w:val="16"/>
              </w:rPr>
              <w:t>VwVG</w:t>
            </w:r>
          </w:p>
        </w:tc>
        <w:tc>
          <w:tcPr>
            <w:tcW w:w="1600" w:type="dxa"/>
            <w:shd w:val="clear" w:color="auto" w:fill="F6F7F5"/>
            <w:tcMar>
              <w:top w:w="75" w:type="dxa"/>
              <w:left w:w="120" w:type="dxa"/>
              <w:bottom w:w="75" w:type="dxa"/>
              <w:right w:w="120" w:type="dxa"/>
            </w:tcMar>
            <w:vAlign w:val="center"/>
          </w:tcPr>
          <w:p w14:paraId="6232A19B" w14:textId="77777777">
            <w:pPr>
              <w:spacing w:after="0"/>
            </w:pPr>
            <w:r>
              <w:rPr>
                <w:rFonts w:eastAsia="Arial"/>
                <w:sz w:val="16"/>
              </w:rPr>
              <w:t>Folgetag</w:t>
            </w:r>
          </w:p>
        </w:tc>
        <w:tc>
          <w:tcPr>
            <w:tcW w:w="2200" w:type="dxa"/>
            <w:shd w:val="clear" w:color="auto" w:fill="F6F7F5"/>
            <w:tcMar>
              <w:top w:w="75" w:type="dxa"/>
              <w:left w:w="120" w:type="dxa"/>
              <w:bottom w:w="75" w:type="dxa"/>
              <w:right w:w="120" w:type="dxa"/>
            </w:tcMar>
            <w:vAlign w:val="center"/>
          </w:tcPr>
          <w:p w14:paraId="4B6EA318" w14:textId="77777777">
            <w:pPr>
              <w:spacing w:after="0"/>
            </w:pPr>
            <w:r>
              <w:rPr>
                <w:rFonts w:eastAsia="Arial"/>
                <w:sz w:val="16"/>
              </w:rPr>
              <w:t>Ostern, Sommer, Weihnachten</w:t>
            </w:r>
          </w:p>
        </w:tc>
        <w:tc>
          <w:tcPr>
            <w:tcW w:w="4590" w:type="dxa"/>
            <w:shd w:val="clear" w:color="auto" w:fill="F6F7F5"/>
            <w:tcMar>
              <w:top w:w="75" w:type="dxa"/>
              <w:left w:w="120" w:type="dxa"/>
              <w:bottom w:w="75" w:type="dxa"/>
              <w:right w:w="120" w:type="dxa"/>
            </w:tcMar>
            <w:vAlign w:val="center"/>
          </w:tcPr>
          <w:p w14:paraId="6E73A18A" w14:textId="77777777">
            <w:pPr>
              <w:spacing w:after="0"/>
            </w:pPr>
            <w:r>
              <w:rPr>
                <w:rFonts w:eastAsia="Arial"/>
                <w:sz w:val="16"/>
              </w:rPr>
              <w:t>Kanton von Partei oder Vertretung. Kein Stillstand bei vorsorglichen Massnahmen und Beschaffungen.</w:t>
            </w:r>
          </w:p>
        </w:tc>
      </w:tr>
      <w:tr w14:paraId="0F252DED" w14:textId="77777777">
        <w:trPr>
          <w:cantSplit/>
        </w:trPr>
        <w:tc>
          <w:tcPr>
            <w:tcW w:w="1250" w:type="dxa"/>
            <w:tcMar>
              <w:top w:w="75" w:type="dxa"/>
              <w:left w:w="120" w:type="dxa"/>
              <w:bottom w:w="75" w:type="dxa"/>
              <w:right w:w="120" w:type="dxa"/>
            </w:tcMar>
            <w:vAlign w:val="center"/>
          </w:tcPr>
          <w:p w14:paraId="2815FEED" w14:textId="77777777">
            <w:pPr>
              <w:spacing w:after="0"/>
            </w:pPr>
            <w:r>
              <w:rPr>
                <w:rFonts w:eastAsia="Arial"/>
                <w:sz w:val="16"/>
              </w:rPr>
              <w:t>VRPG BE</w:t>
            </w:r>
          </w:p>
        </w:tc>
        <w:tc>
          <w:tcPr>
            <w:tcW w:w="1600" w:type="dxa"/>
            <w:tcMar>
              <w:top w:w="75" w:type="dxa"/>
              <w:left w:w="120" w:type="dxa"/>
              <w:bottom w:w="75" w:type="dxa"/>
              <w:right w:w="120" w:type="dxa"/>
            </w:tcMar>
            <w:vAlign w:val="center"/>
          </w:tcPr>
          <w:p w14:paraId="6EE19D91" w14:textId="77777777">
            <w:pPr>
              <w:spacing w:after="0"/>
            </w:pPr>
            <w:r>
              <w:rPr>
                <w:rFonts w:eastAsia="Arial"/>
                <w:sz w:val="16"/>
              </w:rPr>
              <w:t>Folgetag</w:t>
            </w:r>
          </w:p>
        </w:tc>
        <w:tc>
          <w:tcPr>
            <w:tcW w:w="2200" w:type="dxa"/>
            <w:tcMar>
              <w:top w:w="75" w:type="dxa"/>
              <w:left w:w="120" w:type="dxa"/>
              <w:bottom w:w="75" w:type="dxa"/>
              <w:right w:w="120" w:type="dxa"/>
            </w:tcMar>
            <w:vAlign w:val="center"/>
          </w:tcPr>
          <w:p w14:paraId="6066AADA" w14:textId="77777777">
            <w:pPr>
              <w:spacing w:after="0"/>
            </w:pPr>
            <w:r>
              <w:rPr>
                <w:rFonts w:eastAsia="Arial"/>
                <w:sz w:val="16"/>
              </w:rPr>
              <w:t>Kein allgemeiner Stillstand im VRPG</w:t>
            </w:r>
          </w:p>
        </w:tc>
        <w:tc>
          <w:tcPr>
            <w:tcW w:w="4590" w:type="dxa"/>
            <w:tcMar>
              <w:top w:w="75" w:type="dxa"/>
              <w:left w:w="120" w:type="dxa"/>
              <w:bottom w:w="75" w:type="dxa"/>
              <w:right w:w="120" w:type="dxa"/>
            </w:tcMar>
            <w:vAlign w:val="center"/>
          </w:tcPr>
          <w:p w14:paraId="5DB54BAE" w14:textId="77777777">
            <w:pPr>
              <w:spacing w:after="0"/>
            </w:pPr>
            <w:r>
              <w:rPr>
                <w:rFonts w:eastAsia="Arial"/>
                <w:sz w:val="16"/>
              </w:rPr>
              <w:t>Bundes- und kantonalrechtliche Feiertage. Spezialrecht und Wahlrecht vorbehalten.</w:t>
            </w:r>
          </w:p>
        </w:tc>
      </w:tr>
    </w:tbl>
    <w:p w14:paraId="205F9D2A" w14:textId="77777777">
      <w:pPr>
        <w:spacing w:after="20"/>
      </w:pPr>
    </w:p>
    <w:p w14:paraId="0F1D135A" w14:textId="77777777">
      <w:pPr>
        <w:pStyle w:val="BrandSmall"/>
      </w:pPr>
      <w:r>
        <w:t>Die Tabelle bildet nur die Standardprofile ab. Lex-specialis-Regeln werden als eigene Ausnahmeprofile modelliert und nicht in Freitext versteckt.</w:t>
      </w:r>
    </w:p>
    <w:p w14:paraId="697C14EC" w14:textId="77777777">
      <w:pPr>
        <w:pStyle w:val="berschrift2"/>
      </w:pPr>
      <w:r>
        <w:t>3.3 Berechnungsablauf</w:t>
      </w:r>
    </w:p>
    <w:p w14:paraId="583B8889" w14:textId="77777777">
      <w:pPr>
        <w:pStyle w:val="Listennummer"/>
        <w:numPr>
          <w:ilvl w:val="0"/>
          <w:numId w:val="13"/>
        </w:numPr>
      </w:pPr>
      <w:r>
        <w:t>Eingaben validieren und den fachlichen Kontext auflösen.</w:t>
      </w:r>
    </w:p>
    <w:p w14:paraId="7EF1D1B3" w14:textId="77777777">
      <w:pPr>
        <w:pStyle w:val="Listennummer"/>
        <w:numPr>
          <w:ilvl w:val="0"/>
          <w:numId w:val="13"/>
        </w:numPr>
      </w:pPr>
      <w:r>
        <w:t>Für die Zustellart das rechtlich wirksame Zustelldatum bestimmen oder das eingegebene Datum übernehmen.</w:t>
      </w:r>
    </w:p>
    <w:p w14:paraId="1E06A961" w14:textId="77777777">
      <w:pPr>
        <w:pStyle w:val="Listennummer"/>
        <w:numPr>
          <w:ilvl w:val="0"/>
          <w:numId w:val="13"/>
        </w:numPr>
      </w:pPr>
      <w:r>
        <w:t>Den ersten Fristtag als Folgetag bestimmen.</w:t>
      </w:r>
    </w:p>
    <w:p w14:paraId="009CB08E" w14:textId="77777777">
      <w:pPr>
        <w:pStyle w:val="Listennummer"/>
        <w:numPr>
          <w:ilvl w:val="0"/>
          <w:numId w:val="13"/>
        </w:numPr>
      </w:pPr>
      <w:r>
        <w:t>Kalendertage zählen. Tage eines anwendbaren Fristenstillstands werden nicht verbraucht.</w:t>
      </w:r>
    </w:p>
    <w:p w14:paraId="162DE18C" w14:textId="77777777">
      <w:pPr>
        <w:pStyle w:val="Listennummer"/>
        <w:numPr>
          <w:ilvl w:val="0"/>
          <w:numId w:val="13"/>
        </w:numPr>
      </w:pPr>
      <w:r>
        <w:t>Das rechnerische Fristende bestimmen.</w:t>
      </w:r>
    </w:p>
    <w:p w14:paraId="793286E8" w14:textId="77777777">
      <w:pPr>
        <w:pStyle w:val="Listennummer"/>
        <w:numPr>
          <w:ilvl w:val="0"/>
          <w:numId w:val="13"/>
        </w:numPr>
      </w:pPr>
      <w:r>
        <w:t>Samstag, Sonntag und massgebende anerkannte Feiertage prüfen. Bei Bedarf auf den nächsten Werktag verschieben.</w:t>
      </w:r>
    </w:p>
    <w:p w14:paraId="226E6FD3" w14:textId="77777777">
      <w:pPr>
        <w:pStyle w:val="Listennummer"/>
        <w:numPr>
          <w:ilvl w:val="0"/>
          <w:numId w:val="13"/>
        </w:numPr>
      </w:pPr>
      <w:r>
        <w:t>Ergebnis, angewandte Regeln, Datenversion und Übersteuerungen als Rechenspur ausgeben.</w:t>
      </w:r>
    </w:p>
    <w:p w14:paraId="01C4C55A" w14:textId="77777777">
      <w:pPr>
        <w:pStyle w:val="berschrift2"/>
      </w:pPr>
      <w:r>
        <w:lastRenderedPageBreak/>
        <w:t>3.4 Automatik und Übersteuerung</w:t>
      </w:r>
    </w:p>
    <w:p w14:paraId="74D3BD0C" w14:textId="77777777">
      <w:r>
        <w:t>Jeder automatisch ermittelte Parameter trägt den Status «Automatisch». Eine Übersteuerung öffnet die Auswahl, verlangt einen kurzen Grund und setzt den Status «Manuell». Die Rechenspur zeigt beide Werte. Das schützt vor stillen Fehlannahmen und erlaubt fachlich begründete Sonderfälle.</w:t>
      </w:r>
    </w:p>
    <w:tbl>
      <w:tblPr>
        <w:tblStyle w:val="Tabellenraster"/>
        <w:tblW w:w="9640" w:type="dxa"/>
        <w:tblInd w:w="120" w:type="dxa"/>
        <w:tblLayout w:type="fixed"/>
        <w:tblLook w:val="04A0" w:firstRow="1" w:lastRow="0" w:firstColumn="1" w:lastColumn="0" w:noHBand="0" w:noVBand="1"/>
      </w:tblPr>
      <w:tblGrid>
        <w:gridCol w:w="1800"/>
        <w:gridCol w:w="4490"/>
        <w:gridCol w:w="3350"/>
      </w:tblGrid>
      <w:tr w14:paraId="61534EA1" w14:textId="77777777">
        <w:trPr>
          <w:cantSplit/>
          <w:tblHeader/>
        </w:trPr>
        <w:tc>
          <w:tcPr>
            <w:tcW w:w="1800" w:type="dxa"/>
            <w:shd w:val="clear" w:color="auto" w:fill="122C40"/>
            <w:tcMar>
              <w:top w:w="90" w:type="dxa"/>
              <w:left w:w="120" w:type="dxa"/>
              <w:bottom w:w="90" w:type="dxa"/>
              <w:right w:w="120" w:type="dxa"/>
            </w:tcMar>
            <w:vAlign w:val="center"/>
          </w:tcPr>
          <w:p w14:paraId="7A086DC5" w14:textId="77777777">
            <w:pPr>
              <w:spacing w:after="0"/>
            </w:pPr>
            <w:r>
              <w:rPr>
                <w:rFonts w:eastAsia="Arial"/>
                <w:b/>
                <w:color w:val="FFFFFF"/>
                <w:sz w:val="17"/>
              </w:rPr>
              <w:t>Parameter</w:t>
            </w:r>
          </w:p>
        </w:tc>
        <w:tc>
          <w:tcPr>
            <w:tcW w:w="4490" w:type="dxa"/>
            <w:shd w:val="clear" w:color="auto" w:fill="122C40"/>
            <w:tcMar>
              <w:top w:w="90" w:type="dxa"/>
              <w:left w:w="120" w:type="dxa"/>
              <w:bottom w:w="90" w:type="dxa"/>
              <w:right w:w="120" w:type="dxa"/>
            </w:tcMar>
            <w:vAlign w:val="center"/>
          </w:tcPr>
          <w:p w14:paraId="30680B70" w14:textId="77777777">
            <w:pPr>
              <w:spacing w:after="0"/>
            </w:pPr>
            <w:r>
              <w:rPr>
                <w:rFonts w:eastAsia="Arial"/>
                <w:b/>
                <w:color w:val="FFFFFF"/>
                <w:sz w:val="17"/>
              </w:rPr>
              <w:t>Automatische Herleitung</w:t>
            </w:r>
          </w:p>
        </w:tc>
        <w:tc>
          <w:tcPr>
            <w:tcW w:w="3350" w:type="dxa"/>
            <w:shd w:val="clear" w:color="auto" w:fill="122C40"/>
            <w:tcMar>
              <w:top w:w="90" w:type="dxa"/>
              <w:left w:w="120" w:type="dxa"/>
              <w:bottom w:w="90" w:type="dxa"/>
              <w:right w:w="120" w:type="dxa"/>
            </w:tcMar>
            <w:vAlign w:val="center"/>
          </w:tcPr>
          <w:p w14:paraId="228B9EAE" w14:textId="77777777">
            <w:pPr>
              <w:spacing w:after="0"/>
            </w:pPr>
            <w:r>
              <w:rPr>
                <w:rFonts w:eastAsia="Arial"/>
                <w:b/>
                <w:color w:val="FFFFFF"/>
                <w:sz w:val="17"/>
              </w:rPr>
              <w:t>Übersteuerung</w:t>
            </w:r>
          </w:p>
        </w:tc>
      </w:tr>
      <w:tr w14:paraId="34D3B48B" w14:textId="77777777">
        <w:trPr>
          <w:cantSplit/>
        </w:trPr>
        <w:tc>
          <w:tcPr>
            <w:tcW w:w="1800" w:type="dxa"/>
            <w:tcMar>
              <w:top w:w="75" w:type="dxa"/>
              <w:left w:w="120" w:type="dxa"/>
              <w:bottom w:w="75" w:type="dxa"/>
              <w:right w:w="120" w:type="dxa"/>
            </w:tcMar>
            <w:vAlign w:val="center"/>
          </w:tcPr>
          <w:p w14:paraId="53FC5306" w14:textId="77777777">
            <w:pPr>
              <w:spacing w:after="0"/>
            </w:pPr>
            <w:r>
              <w:rPr>
                <w:rFonts w:eastAsia="Arial"/>
                <w:sz w:val="16"/>
              </w:rPr>
              <w:t>Gerichtsferien</w:t>
            </w:r>
          </w:p>
        </w:tc>
        <w:tc>
          <w:tcPr>
            <w:tcW w:w="4490" w:type="dxa"/>
            <w:tcMar>
              <w:top w:w="75" w:type="dxa"/>
              <w:left w:w="120" w:type="dxa"/>
              <w:bottom w:w="75" w:type="dxa"/>
              <w:right w:w="120" w:type="dxa"/>
            </w:tcMar>
            <w:vAlign w:val="center"/>
          </w:tcPr>
          <w:p w14:paraId="1209F389" w14:textId="77777777">
            <w:pPr>
              <w:spacing w:after="0"/>
            </w:pPr>
            <w:r>
              <w:rPr>
                <w:rFonts w:eastAsia="Arial"/>
                <w:sz w:val="16"/>
              </w:rPr>
              <w:t>Rechtsprofil plus Verfahrensart</w:t>
            </w:r>
          </w:p>
        </w:tc>
        <w:tc>
          <w:tcPr>
            <w:tcW w:w="3350" w:type="dxa"/>
            <w:tcMar>
              <w:top w:w="75" w:type="dxa"/>
              <w:left w:w="120" w:type="dxa"/>
              <w:bottom w:w="75" w:type="dxa"/>
              <w:right w:w="120" w:type="dxa"/>
            </w:tcMar>
            <w:vAlign w:val="center"/>
          </w:tcPr>
          <w:p w14:paraId="22D086E5" w14:textId="77777777">
            <w:pPr>
              <w:spacing w:after="0"/>
            </w:pPr>
            <w:r>
              <w:rPr>
                <w:rFonts w:eastAsia="Arial"/>
                <w:sz w:val="16"/>
              </w:rPr>
              <w:t>An, aus oder alternatives Ausnahmeprofil</w:t>
            </w:r>
          </w:p>
        </w:tc>
      </w:tr>
      <w:tr w14:paraId="46A10187" w14:textId="77777777">
        <w:trPr>
          <w:cantSplit/>
        </w:trPr>
        <w:tc>
          <w:tcPr>
            <w:tcW w:w="1800" w:type="dxa"/>
            <w:shd w:val="clear" w:color="auto" w:fill="F6F7F5"/>
            <w:tcMar>
              <w:top w:w="75" w:type="dxa"/>
              <w:left w:w="120" w:type="dxa"/>
              <w:bottom w:w="75" w:type="dxa"/>
              <w:right w:w="120" w:type="dxa"/>
            </w:tcMar>
            <w:vAlign w:val="center"/>
          </w:tcPr>
          <w:p w14:paraId="38C1F890" w14:textId="77777777">
            <w:pPr>
              <w:spacing w:after="0"/>
            </w:pPr>
            <w:r>
              <w:rPr>
                <w:rFonts w:eastAsia="Arial"/>
                <w:sz w:val="16"/>
              </w:rPr>
              <w:t>Feiertagsgebiet</w:t>
            </w:r>
          </w:p>
        </w:tc>
        <w:tc>
          <w:tcPr>
            <w:tcW w:w="4490" w:type="dxa"/>
            <w:shd w:val="clear" w:color="auto" w:fill="F6F7F5"/>
            <w:tcMar>
              <w:top w:w="75" w:type="dxa"/>
              <w:left w:w="120" w:type="dxa"/>
              <w:bottom w:w="75" w:type="dxa"/>
              <w:right w:w="120" w:type="dxa"/>
            </w:tcMar>
            <w:vAlign w:val="center"/>
          </w:tcPr>
          <w:p w14:paraId="04696B68" w14:textId="77777777">
            <w:pPr>
              <w:spacing w:after="0"/>
            </w:pPr>
            <w:r>
              <w:rPr>
                <w:rFonts w:eastAsia="Arial"/>
                <w:sz w:val="16"/>
              </w:rPr>
              <w:t>Rechtsprofil plus Behörde oder Partei/Vertretung</w:t>
            </w:r>
          </w:p>
        </w:tc>
        <w:tc>
          <w:tcPr>
            <w:tcW w:w="3350" w:type="dxa"/>
            <w:shd w:val="clear" w:color="auto" w:fill="F6F7F5"/>
            <w:tcMar>
              <w:top w:w="75" w:type="dxa"/>
              <w:left w:w="120" w:type="dxa"/>
              <w:bottom w:w="75" w:type="dxa"/>
              <w:right w:w="120" w:type="dxa"/>
            </w:tcMar>
            <w:vAlign w:val="center"/>
          </w:tcPr>
          <w:p w14:paraId="5B4A2602" w14:textId="77777777">
            <w:pPr>
              <w:spacing w:after="0"/>
            </w:pPr>
            <w:r>
              <w:rPr>
                <w:rFonts w:eastAsia="Arial"/>
                <w:sz w:val="16"/>
              </w:rPr>
              <w:t>Kanton und optional Gemeinde</w:t>
            </w:r>
          </w:p>
        </w:tc>
      </w:tr>
      <w:tr w14:paraId="7973DAFC" w14:textId="77777777">
        <w:trPr>
          <w:cantSplit/>
        </w:trPr>
        <w:tc>
          <w:tcPr>
            <w:tcW w:w="1800" w:type="dxa"/>
            <w:tcMar>
              <w:top w:w="75" w:type="dxa"/>
              <w:left w:w="120" w:type="dxa"/>
              <w:bottom w:w="75" w:type="dxa"/>
              <w:right w:w="120" w:type="dxa"/>
            </w:tcMar>
            <w:vAlign w:val="center"/>
          </w:tcPr>
          <w:p w14:paraId="29C479FA" w14:textId="77777777">
            <w:pPr>
              <w:spacing w:after="0"/>
            </w:pPr>
            <w:r>
              <w:rPr>
                <w:rFonts w:eastAsia="Arial"/>
                <w:sz w:val="16"/>
              </w:rPr>
              <w:t>Zustellfiktion</w:t>
            </w:r>
          </w:p>
        </w:tc>
        <w:tc>
          <w:tcPr>
            <w:tcW w:w="4490" w:type="dxa"/>
            <w:tcMar>
              <w:top w:w="75" w:type="dxa"/>
              <w:left w:w="120" w:type="dxa"/>
              <w:bottom w:w="75" w:type="dxa"/>
              <w:right w:w="120" w:type="dxa"/>
            </w:tcMar>
            <w:vAlign w:val="center"/>
          </w:tcPr>
          <w:p w14:paraId="71882ECE" w14:textId="77777777">
            <w:pPr>
              <w:spacing w:after="0"/>
            </w:pPr>
            <w:r>
              <w:rPr>
                <w:rFonts w:eastAsia="Arial"/>
                <w:sz w:val="16"/>
              </w:rPr>
              <w:t>Zustellart plus Rechtsstand</w:t>
            </w:r>
          </w:p>
        </w:tc>
        <w:tc>
          <w:tcPr>
            <w:tcW w:w="3350" w:type="dxa"/>
            <w:tcMar>
              <w:top w:w="75" w:type="dxa"/>
              <w:left w:w="120" w:type="dxa"/>
              <w:bottom w:w="75" w:type="dxa"/>
              <w:right w:w="120" w:type="dxa"/>
            </w:tcMar>
            <w:vAlign w:val="center"/>
          </w:tcPr>
          <w:p w14:paraId="10787D84" w14:textId="77777777">
            <w:pPr>
              <w:spacing w:after="0"/>
            </w:pPr>
            <w:r>
              <w:rPr>
                <w:rFonts w:eastAsia="Arial"/>
                <w:sz w:val="16"/>
              </w:rPr>
              <w:t>Rechtlich wirksames Datum</w:t>
            </w:r>
          </w:p>
        </w:tc>
      </w:tr>
      <w:tr w14:paraId="3A72EDE1" w14:textId="77777777">
        <w:trPr>
          <w:cantSplit/>
        </w:trPr>
        <w:tc>
          <w:tcPr>
            <w:tcW w:w="1800" w:type="dxa"/>
            <w:shd w:val="clear" w:color="auto" w:fill="F6F7F5"/>
            <w:tcMar>
              <w:top w:w="75" w:type="dxa"/>
              <w:left w:w="120" w:type="dxa"/>
              <w:bottom w:w="75" w:type="dxa"/>
              <w:right w:w="120" w:type="dxa"/>
            </w:tcMar>
            <w:vAlign w:val="center"/>
          </w:tcPr>
          <w:p w14:paraId="6CA4F1ED" w14:textId="77777777">
            <w:pPr>
              <w:spacing w:after="0"/>
            </w:pPr>
            <w:r>
              <w:rPr>
                <w:rFonts w:eastAsia="Arial"/>
                <w:sz w:val="16"/>
              </w:rPr>
              <w:t>Regelversion</w:t>
            </w:r>
          </w:p>
        </w:tc>
        <w:tc>
          <w:tcPr>
            <w:tcW w:w="4490" w:type="dxa"/>
            <w:shd w:val="clear" w:color="auto" w:fill="F6F7F5"/>
            <w:tcMar>
              <w:top w:w="75" w:type="dxa"/>
              <w:left w:w="120" w:type="dxa"/>
              <w:bottom w:w="75" w:type="dxa"/>
              <w:right w:w="120" w:type="dxa"/>
            </w:tcMar>
            <w:vAlign w:val="center"/>
          </w:tcPr>
          <w:p w14:paraId="0EE1FF05" w14:textId="77777777">
            <w:pPr>
              <w:spacing w:after="0"/>
            </w:pPr>
            <w:r>
              <w:rPr>
                <w:rFonts w:eastAsia="Arial"/>
                <w:sz w:val="16"/>
              </w:rPr>
              <w:t>Gültigkeit am Zustelldatum</w:t>
            </w:r>
          </w:p>
        </w:tc>
        <w:tc>
          <w:tcPr>
            <w:tcW w:w="3350" w:type="dxa"/>
            <w:shd w:val="clear" w:color="auto" w:fill="F6F7F5"/>
            <w:tcMar>
              <w:top w:w="75" w:type="dxa"/>
              <w:left w:w="120" w:type="dxa"/>
              <w:bottom w:w="75" w:type="dxa"/>
              <w:right w:w="120" w:type="dxa"/>
            </w:tcMar>
            <w:vAlign w:val="center"/>
          </w:tcPr>
          <w:p w14:paraId="0F012847" w14:textId="77777777">
            <w:pPr>
              <w:spacing w:after="0"/>
            </w:pPr>
            <w:r>
              <w:rPr>
                <w:rFonts w:eastAsia="Arial"/>
                <w:sz w:val="16"/>
              </w:rPr>
              <w:t>Nur durch berechtigte Fachrolle</w:t>
            </w:r>
          </w:p>
        </w:tc>
      </w:tr>
    </w:tbl>
    <w:p w14:paraId="661CB285" w14:textId="77777777">
      <w:pPr>
        <w:spacing w:after="20"/>
      </w:pPr>
    </w:p>
    <w:p w14:paraId="75F973BA" w14:textId="77777777">
      <w:pPr>
        <w:spacing w:after="0"/>
      </w:pPr>
      <w:r>
        <w:br w:type="page"/>
      </w:r>
    </w:p>
    <w:p w14:paraId="7DD9977C" w14:textId="77777777">
      <w:pPr>
        <w:pStyle w:val="berschrift1"/>
      </w:pPr>
      <w:r>
        <w:lastRenderedPageBreak/>
        <w:t>4 Lösungsarchitektur</w:t>
      </w:r>
    </w:p>
    <w:p w14:paraId="1F956610" w14:textId="77777777">
      <w:pPr>
        <w:pStyle w:val="berschrift2"/>
      </w:pPr>
      <w:r>
        <w:t>4.1 Technologieentscheid</w:t>
      </w:r>
    </w:p>
    <w:tbl>
      <w:tblPr>
        <w:tblW w:w="9520" w:type="dxa"/>
        <w:tblInd w:w="180" w:type="dxa"/>
        <w:tblLayout w:type="fixed"/>
        <w:tblLook w:val="04A0" w:firstRow="1" w:lastRow="0" w:firstColumn="1" w:lastColumn="0" w:noHBand="0" w:noVBand="1"/>
      </w:tblPr>
      <w:tblGrid>
        <w:gridCol w:w="9520"/>
      </w:tblGrid>
      <w:tr w14:paraId="60638DDD" w14:textId="77777777">
        <w:tc>
          <w:tcPr>
            <w:tcW w:w="9520" w:type="dxa"/>
            <w:tcBorders>
              <w:left w:val="single" w:sz="18" w:space="0" w:color="C46A3A"/>
            </w:tcBorders>
            <w:shd w:val="clear" w:color="auto" w:fill="E7EEEE"/>
            <w:tcMar>
              <w:top w:w="130" w:type="dxa"/>
              <w:left w:w="180" w:type="dxa"/>
              <w:bottom w:w="130" w:type="dxa"/>
              <w:right w:w="160" w:type="dxa"/>
            </w:tcMar>
          </w:tcPr>
          <w:p w14:paraId="41792A96" w14:textId="77777777">
            <w:pPr>
              <w:spacing w:after="0"/>
            </w:pPr>
            <w:r>
              <w:rPr>
                <w:rFonts w:eastAsia="Arial"/>
                <w:b/>
                <w:color w:val="122C40"/>
              </w:rPr>
              <w:t xml:space="preserve">Empfohlene Lösung  </w:t>
            </w:r>
            <w:r>
              <w:rPr>
                <w:rFonts w:eastAsia="Arial"/>
              </w:rPr>
              <w:t>Ein SharePoint-Framework-Webpart mit React und Fluent UI. Der Rechenkern ist eine eigenständige TypeScript-Bibliothek. SharePoint hostet die Anwendung. Ein austauschbarer Provider liefert die versionierten Regelsätze im Pilot aus GitHub und später aus einem tenantinternen SharePoint-Mirror. Teams zeigt dieselbe Komponente als Tab. Es gibt keinen separaten Server und keine eigene Datenbank.</w:t>
            </w:r>
          </w:p>
        </w:tc>
      </w:tr>
    </w:tbl>
    <w:p w14:paraId="66463B2A" w14:textId="77777777">
      <w:pPr>
        <w:spacing w:after="20"/>
      </w:pPr>
    </w:p>
    <w:p w14:paraId="2F5898F8" w14:textId="77777777">
      <w:r>
        <w:t>SPFx ist der passende Nenner zwischen SharePoint und Teams. Microsoft dokumentiert die Bereitstellung derselben SPFx-Komponente als Teams-Tab. Site Collection App Catalogs erlauben eine dezentrale Bereitstellung auf ausgewählten Sites. Fluent UI ist das offizielle Frontend-System für Microsoft 365 und SharePoint. Quellen: [Q9] bis [Q12].</w:t>
      </w:r>
    </w:p>
    <w:tbl>
      <w:tblPr>
        <w:tblW w:w="9520" w:type="dxa"/>
        <w:tblInd w:w="180" w:type="dxa"/>
        <w:tblLayout w:type="fixed"/>
        <w:tblLook w:val="04A0" w:firstRow="1" w:lastRow="0" w:firstColumn="1" w:lastColumn="0" w:noHBand="0" w:noVBand="1"/>
      </w:tblPr>
      <w:tblGrid>
        <w:gridCol w:w="9520"/>
      </w:tblGrid>
      <w:tr w14:paraId="633F2C65" w14:textId="77777777">
        <w:tc>
          <w:tcPr>
            <w:tcW w:w="9520" w:type="dxa"/>
            <w:tcBorders>
              <w:left w:val="single" w:sz="18" w:space="0" w:color="2F6F73"/>
            </w:tcBorders>
            <w:shd w:val="clear" w:color="auto" w:fill="E7EEEE"/>
            <w:tcMar>
              <w:top w:w="130" w:type="dxa"/>
              <w:left w:w="180" w:type="dxa"/>
              <w:bottom w:w="130" w:type="dxa"/>
              <w:right w:w="160" w:type="dxa"/>
            </w:tcMar>
          </w:tcPr>
          <w:p w14:paraId="74F12C58" w14:textId="77777777">
            <w:pPr>
              <w:spacing w:after="0"/>
            </w:pPr>
            <w:r>
              <w:rPr>
                <w:rFonts w:eastAsia="Arial"/>
                <w:b/>
                <w:color w:val="122C40"/>
              </w:rPr>
              <w:t xml:space="preserve">Mirrorfähige Datenversorgung  </w:t>
            </w:r>
            <w:r>
              <w:rPr>
                <w:rFonts w:eastAsia="Arial"/>
              </w:rPr>
              <w:t>Die Anwendung wird von Anfang an gegen eine einheitliche ReleaseProvider-Schnittstelle entwickelt. Für steimer.ch kommt ein GitHubReleaseProvider zum Einsatz. Zieltenants können später ohne Änderung des Rechenkerns auf einen SharePointMirrorProvider wechseln. Beide Varianten verwenden dasselbe signierte Schema, dieselbe Release-ID und dieselbe Prüfsumme. Das GUI zeigt Quelle, Version und Prüfstatus an.</w:t>
            </w:r>
          </w:p>
        </w:tc>
      </w:tr>
    </w:tbl>
    <w:p w14:paraId="09970546" w14:textId="77777777">
      <w:pPr>
        <w:spacing w:after="20"/>
      </w:pPr>
    </w:p>
    <w:tbl>
      <w:tblPr>
        <w:tblStyle w:val="Tabellenraster"/>
        <w:tblW w:w="9640" w:type="dxa"/>
        <w:tblInd w:w="150" w:type="dxa"/>
        <w:tblLayout w:type="fixed"/>
        <w:tblLook w:val="04A0" w:firstRow="1" w:lastRow="0" w:firstColumn="1" w:lastColumn="0" w:noHBand="0" w:noVBand="1"/>
      </w:tblPr>
      <w:tblGrid>
        <w:gridCol w:w="3214"/>
        <w:gridCol w:w="3213"/>
        <w:gridCol w:w="3213"/>
      </w:tblGrid>
      <w:tr w14:paraId="12F18BBE" w14:textId="77777777">
        <w:tc>
          <w:tcPr>
            <w:tcW w:w="3214" w:type="dxa"/>
            <w:shd w:val="clear" w:color="auto" w:fill="E7EEEE"/>
            <w:tcMar>
              <w:top w:w="150" w:type="dxa"/>
              <w:left w:w="150" w:type="dxa"/>
              <w:bottom w:w="150" w:type="dxa"/>
              <w:right w:w="150" w:type="dxa"/>
            </w:tcMar>
            <w:vAlign w:val="center"/>
          </w:tcPr>
          <w:p w14:paraId="01B1F519" w14:textId="77777777">
            <w:pPr>
              <w:spacing w:after="60"/>
            </w:pPr>
            <w:r>
              <w:rPr>
                <w:rFonts w:eastAsia="Arial"/>
                <w:b/>
                <w:color w:val="122C40"/>
                <w:sz w:val="18"/>
              </w:rPr>
              <w:t>1  Eingabe und Defaults</w:t>
            </w:r>
          </w:p>
          <w:p w14:paraId="23146912" w14:textId="77777777">
            <w:pPr>
              <w:spacing w:after="0"/>
            </w:pPr>
            <w:r>
              <w:rPr>
                <w:rFonts w:eastAsia="Arial"/>
                <w:sz w:val="16"/>
              </w:rPr>
              <w:t>Zustelldatum, Tage, Verfahrensrecht, Verfahrenstyp und massgebender Ort</w:t>
            </w:r>
          </w:p>
        </w:tc>
        <w:tc>
          <w:tcPr>
            <w:tcW w:w="3213" w:type="dxa"/>
            <w:shd w:val="clear" w:color="auto" w:fill="E7EEEE"/>
            <w:tcMar>
              <w:top w:w="150" w:type="dxa"/>
              <w:left w:w="150" w:type="dxa"/>
              <w:bottom w:w="150" w:type="dxa"/>
              <w:right w:w="150" w:type="dxa"/>
            </w:tcMar>
            <w:vAlign w:val="center"/>
          </w:tcPr>
          <w:p w14:paraId="610F98BA" w14:textId="77777777">
            <w:pPr>
              <w:spacing w:after="60"/>
            </w:pPr>
            <w:r>
              <w:rPr>
                <w:rFonts w:eastAsia="Arial"/>
                <w:b/>
                <w:color w:val="122C40"/>
                <w:sz w:val="18"/>
              </w:rPr>
              <w:t>2  Kontextauflösung</w:t>
            </w:r>
          </w:p>
          <w:p w14:paraId="2E630976" w14:textId="77777777">
            <w:pPr>
              <w:spacing w:after="0"/>
            </w:pPr>
            <w:r>
              <w:rPr>
                <w:rFonts w:eastAsia="Arial"/>
                <w:sz w:val="16"/>
              </w:rPr>
              <w:t>Automatische Wahl von Gesetzesprofil, Ferienregeln und Feiertagsgebiet</w:t>
            </w:r>
          </w:p>
        </w:tc>
        <w:tc>
          <w:tcPr>
            <w:tcW w:w="3213" w:type="dxa"/>
            <w:shd w:val="clear" w:color="auto" w:fill="F6F7F5"/>
            <w:tcMar>
              <w:top w:w="150" w:type="dxa"/>
              <w:left w:w="150" w:type="dxa"/>
              <w:bottom w:w="150" w:type="dxa"/>
              <w:right w:w="150" w:type="dxa"/>
            </w:tcMar>
            <w:vAlign w:val="center"/>
          </w:tcPr>
          <w:p w14:paraId="286ED14E" w14:textId="77777777">
            <w:pPr>
              <w:spacing w:after="60"/>
            </w:pPr>
            <w:r>
              <w:rPr>
                <w:rFonts w:eastAsia="Arial"/>
                <w:b/>
                <w:color w:val="122C40"/>
                <w:sz w:val="18"/>
              </w:rPr>
              <w:t>3  Regel-Engine</w:t>
            </w:r>
          </w:p>
          <w:p w14:paraId="3E606438" w14:textId="77777777">
            <w:pPr>
              <w:spacing w:after="0"/>
            </w:pPr>
            <w:r>
              <w:rPr>
                <w:rFonts w:eastAsia="Arial"/>
                <w:sz w:val="16"/>
              </w:rPr>
              <w:t>Versionierte Rechtsregeln mit Gültigkeitszeitraum und Ausnahmeprofil</w:t>
            </w:r>
          </w:p>
        </w:tc>
      </w:tr>
      <w:tr w14:paraId="5B1994E0" w14:textId="77777777">
        <w:tc>
          <w:tcPr>
            <w:tcW w:w="3214" w:type="dxa"/>
            <w:shd w:val="clear" w:color="auto" w:fill="F6F7F5"/>
            <w:tcMar>
              <w:top w:w="150" w:type="dxa"/>
              <w:left w:w="150" w:type="dxa"/>
              <w:bottom w:w="150" w:type="dxa"/>
              <w:right w:w="150" w:type="dxa"/>
            </w:tcMar>
            <w:vAlign w:val="center"/>
          </w:tcPr>
          <w:p w14:paraId="578AB1DE" w14:textId="77777777">
            <w:pPr>
              <w:spacing w:after="60"/>
            </w:pPr>
            <w:r>
              <w:rPr>
                <w:rFonts w:eastAsia="Arial"/>
                <w:b/>
                <w:color w:val="122C40"/>
                <w:sz w:val="18"/>
              </w:rPr>
              <w:t>4  Datums-Engine</w:t>
            </w:r>
          </w:p>
          <w:p w14:paraId="7ED6742D" w14:textId="77777777">
            <w:pPr>
              <w:spacing w:after="0"/>
            </w:pPr>
            <w:r>
              <w:rPr>
                <w:rFonts w:eastAsia="Arial"/>
                <w:sz w:val="16"/>
              </w:rPr>
              <w:t>Kalendertage, Stillstandsperioden, Feiertage und Verschiebung auf Werktag</w:t>
            </w:r>
          </w:p>
        </w:tc>
        <w:tc>
          <w:tcPr>
            <w:tcW w:w="3213" w:type="dxa"/>
            <w:shd w:val="clear" w:color="auto" w:fill="E7EEEE"/>
            <w:tcMar>
              <w:top w:w="150" w:type="dxa"/>
              <w:left w:w="150" w:type="dxa"/>
              <w:bottom w:w="150" w:type="dxa"/>
              <w:right w:w="150" w:type="dxa"/>
            </w:tcMar>
            <w:vAlign w:val="center"/>
          </w:tcPr>
          <w:p w14:paraId="0433DD16" w14:textId="77777777">
            <w:pPr>
              <w:spacing w:after="60"/>
            </w:pPr>
            <w:r>
              <w:rPr>
                <w:rFonts w:eastAsia="Arial"/>
                <w:b/>
                <w:color w:val="122C40"/>
                <w:sz w:val="18"/>
              </w:rPr>
              <w:t>5  Ergebnis und Nachweis</w:t>
            </w:r>
          </w:p>
          <w:p w14:paraId="54B53656" w14:textId="77777777">
            <w:pPr>
              <w:spacing w:after="0"/>
            </w:pPr>
            <w:r>
              <w:rPr>
                <w:rFonts w:eastAsia="Arial"/>
                <w:sz w:val="16"/>
              </w:rPr>
              <w:t>Fristende, Rechenschritte, angewandte Quellen, Overrides und Datenstand</w:t>
            </w:r>
          </w:p>
        </w:tc>
        <w:tc>
          <w:tcPr>
            <w:tcW w:w="3213" w:type="dxa"/>
            <w:shd w:val="clear" w:color="auto" w:fill="E7EEEE"/>
            <w:tcMar>
              <w:top w:w="150" w:type="dxa"/>
              <w:left w:w="150" w:type="dxa"/>
              <w:bottom w:w="150" w:type="dxa"/>
              <w:right w:w="150" w:type="dxa"/>
            </w:tcMar>
            <w:vAlign w:val="center"/>
          </w:tcPr>
          <w:p w14:paraId="46F25490" w14:textId="77777777">
            <w:pPr>
              <w:spacing w:after="60"/>
            </w:pPr>
            <w:r>
              <w:rPr>
                <w:rFonts w:eastAsia="Arial"/>
                <w:b/>
                <w:color w:val="122C40"/>
                <w:sz w:val="18"/>
              </w:rPr>
              <w:t>6  Datenquellen und Defaults</w:t>
            </w:r>
          </w:p>
          <w:p w14:paraId="59A2F18D" w14:textId="77777777">
            <w:pPr>
              <w:spacing w:after="0"/>
            </w:pPr>
            <w:r>
              <w:rPr>
                <w:rFonts w:eastAsia="Arial"/>
                <w:sz w:val="16"/>
              </w:rPr>
              <w:t>Austauschbarer GitHub- oder SharePoint-Mirror, lokale Browser-Defaults</w:t>
            </w:r>
          </w:p>
        </w:tc>
      </w:tr>
    </w:tbl>
    <w:p w14:paraId="7F71295E" w14:textId="77777777">
      <w:pPr>
        <w:spacing w:after="20"/>
      </w:pPr>
    </w:p>
    <w:p w14:paraId="334CECBE" w14:textId="77777777">
      <w:pPr>
        <w:pStyle w:val="BrandSmall"/>
      </w:pPr>
      <w:r>
        <w:t>Abbildung 1: Logische Schichten der empfohlenen Lösung. Quelle: eigene Darstellung, Stand 28. August 2026.</w:t>
      </w:r>
    </w:p>
    <w:p w14:paraId="2922F696" w14:textId="77777777">
      <w:pPr>
        <w:spacing w:after="0"/>
      </w:pPr>
      <w:r>
        <w:br w:type="page"/>
      </w:r>
    </w:p>
    <w:p w14:paraId="3D5AAFDC" w14:textId="77777777">
      <w:pPr>
        <w:pStyle w:val="berschrift2"/>
      </w:pPr>
      <w:r>
        <w:lastRenderedPageBreak/>
        <w:t>4.2 Komponenten</w:t>
      </w:r>
    </w:p>
    <w:tbl>
      <w:tblPr>
        <w:tblStyle w:val="Tabellenraster"/>
        <w:tblW w:w="9640" w:type="dxa"/>
        <w:tblInd w:w="120" w:type="dxa"/>
        <w:tblLayout w:type="fixed"/>
        <w:tblLook w:val="04A0" w:firstRow="1" w:lastRow="0" w:firstColumn="1" w:lastColumn="0" w:noHBand="0" w:noVBand="1"/>
      </w:tblPr>
      <w:tblGrid>
        <w:gridCol w:w="2000"/>
        <w:gridCol w:w="4500"/>
        <w:gridCol w:w="3140"/>
      </w:tblGrid>
      <w:tr w14:paraId="478455FE" w14:textId="77777777">
        <w:trPr>
          <w:cantSplit/>
          <w:tblHeader/>
        </w:trPr>
        <w:tc>
          <w:tcPr>
            <w:tcW w:w="2000" w:type="dxa"/>
            <w:shd w:val="clear" w:color="auto" w:fill="122C40"/>
            <w:tcMar>
              <w:top w:w="90" w:type="dxa"/>
              <w:left w:w="120" w:type="dxa"/>
              <w:bottom w:w="90" w:type="dxa"/>
              <w:right w:w="120" w:type="dxa"/>
            </w:tcMar>
            <w:vAlign w:val="center"/>
          </w:tcPr>
          <w:p w14:paraId="5B195CD1" w14:textId="77777777">
            <w:pPr>
              <w:spacing w:after="0"/>
            </w:pPr>
            <w:r>
              <w:rPr>
                <w:rFonts w:eastAsia="Arial"/>
                <w:b/>
                <w:color w:val="FFFFFF"/>
                <w:sz w:val="17"/>
              </w:rPr>
              <w:t>Komponente</w:t>
            </w:r>
          </w:p>
        </w:tc>
        <w:tc>
          <w:tcPr>
            <w:tcW w:w="4500" w:type="dxa"/>
            <w:shd w:val="clear" w:color="auto" w:fill="122C40"/>
            <w:tcMar>
              <w:top w:w="90" w:type="dxa"/>
              <w:left w:w="120" w:type="dxa"/>
              <w:bottom w:w="90" w:type="dxa"/>
              <w:right w:w="120" w:type="dxa"/>
            </w:tcMar>
            <w:vAlign w:val="center"/>
          </w:tcPr>
          <w:p w14:paraId="770AAC38" w14:textId="77777777">
            <w:pPr>
              <w:spacing w:after="0"/>
            </w:pPr>
            <w:r>
              <w:rPr>
                <w:rFonts w:eastAsia="Arial"/>
                <w:b/>
                <w:color w:val="FFFFFF"/>
                <w:sz w:val="17"/>
              </w:rPr>
              <w:t>Aufgabe</w:t>
            </w:r>
          </w:p>
        </w:tc>
        <w:tc>
          <w:tcPr>
            <w:tcW w:w="3140" w:type="dxa"/>
            <w:shd w:val="clear" w:color="auto" w:fill="122C40"/>
            <w:tcMar>
              <w:top w:w="90" w:type="dxa"/>
              <w:left w:w="120" w:type="dxa"/>
              <w:bottom w:w="90" w:type="dxa"/>
              <w:right w:w="120" w:type="dxa"/>
            </w:tcMar>
            <w:vAlign w:val="center"/>
          </w:tcPr>
          <w:p w14:paraId="6F7DC891" w14:textId="77777777">
            <w:pPr>
              <w:spacing w:after="0"/>
            </w:pPr>
            <w:r>
              <w:rPr>
                <w:rFonts w:eastAsia="Arial"/>
                <w:b/>
                <w:color w:val="FFFFFF"/>
                <w:sz w:val="17"/>
              </w:rPr>
              <w:t>Technik</w:t>
            </w:r>
          </w:p>
        </w:tc>
      </w:tr>
      <w:tr w14:paraId="3B0D2C20" w14:textId="77777777">
        <w:trPr>
          <w:cantSplit/>
        </w:trPr>
        <w:tc>
          <w:tcPr>
            <w:tcW w:w="2000" w:type="dxa"/>
            <w:tcMar>
              <w:top w:w="75" w:type="dxa"/>
              <w:left w:w="120" w:type="dxa"/>
              <w:bottom w:w="75" w:type="dxa"/>
              <w:right w:w="120" w:type="dxa"/>
            </w:tcMar>
            <w:vAlign w:val="center"/>
          </w:tcPr>
          <w:p w14:paraId="3AE3B9BB" w14:textId="77777777">
            <w:pPr>
              <w:spacing w:after="0"/>
            </w:pPr>
            <w:r>
              <w:rPr>
                <w:rFonts w:eastAsia="Arial"/>
                <w:sz w:val="16"/>
              </w:rPr>
              <w:t>Fristen-Webpart</w:t>
            </w:r>
          </w:p>
        </w:tc>
        <w:tc>
          <w:tcPr>
            <w:tcW w:w="4500" w:type="dxa"/>
            <w:tcMar>
              <w:top w:w="75" w:type="dxa"/>
              <w:left w:w="120" w:type="dxa"/>
              <w:bottom w:w="75" w:type="dxa"/>
              <w:right w:w="120" w:type="dxa"/>
            </w:tcMar>
            <w:vAlign w:val="center"/>
          </w:tcPr>
          <w:p w14:paraId="4D590736" w14:textId="77777777">
            <w:pPr>
              <w:spacing w:after="0"/>
            </w:pPr>
            <w:r>
              <w:rPr>
                <w:rFonts w:eastAsia="Arial"/>
                <w:sz w:val="16"/>
              </w:rPr>
              <w:t>Eingabe, automatische Auswahl, Ergebnis und Rechenspur</w:t>
            </w:r>
          </w:p>
        </w:tc>
        <w:tc>
          <w:tcPr>
            <w:tcW w:w="3140" w:type="dxa"/>
            <w:tcMar>
              <w:top w:w="75" w:type="dxa"/>
              <w:left w:w="120" w:type="dxa"/>
              <w:bottom w:w="75" w:type="dxa"/>
              <w:right w:w="120" w:type="dxa"/>
            </w:tcMar>
            <w:vAlign w:val="center"/>
          </w:tcPr>
          <w:p w14:paraId="6B767902" w14:textId="77777777">
            <w:pPr>
              <w:spacing w:after="0"/>
            </w:pPr>
            <w:r>
              <w:rPr>
                <w:rFonts w:eastAsia="Arial"/>
                <w:sz w:val="16"/>
              </w:rPr>
              <w:t>SPFx, React, Fluent UI</w:t>
            </w:r>
          </w:p>
        </w:tc>
      </w:tr>
      <w:tr w14:paraId="279913B4" w14:textId="77777777">
        <w:trPr>
          <w:cantSplit/>
        </w:trPr>
        <w:tc>
          <w:tcPr>
            <w:tcW w:w="2000" w:type="dxa"/>
            <w:shd w:val="clear" w:color="auto" w:fill="F6F7F5"/>
            <w:tcMar>
              <w:top w:w="75" w:type="dxa"/>
              <w:left w:w="120" w:type="dxa"/>
              <w:bottom w:w="75" w:type="dxa"/>
              <w:right w:w="120" w:type="dxa"/>
            </w:tcMar>
            <w:vAlign w:val="center"/>
          </w:tcPr>
          <w:p w14:paraId="03629EC5" w14:textId="77777777">
            <w:pPr>
              <w:spacing w:after="0"/>
            </w:pPr>
            <w:r>
              <w:rPr>
                <w:rFonts w:eastAsia="Arial"/>
                <w:sz w:val="16"/>
              </w:rPr>
              <w:t>Context Resolver</w:t>
            </w:r>
          </w:p>
        </w:tc>
        <w:tc>
          <w:tcPr>
            <w:tcW w:w="4500" w:type="dxa"/>
            <w:shd w:val="clear" w:color="auto" w:fill="F6F7F5"/>
            <w:tcMar>
              <w:top w:w="75" w:type="dxa"/>
              <w:left w:w="120" w:type="dxa"/>
              <w:bottom w:w="75" w:type="dxa"/>
              <w:right w:w="120" w:type="dxa"/>
            </w:tcMar>
            <w:vAlign w:val="center"/>
          </w:tcPr>
          <w:p w14:paraId="7971A88E" w14:textId="77777777">
            <w:pPr>
              <w:spacing w:after="0"/>
            </w:pPr>
            <w:r>
              <w:rPr>
                <w:rFonts w:eastAsia="Arial"/>
                <w:sz w:val="16"/>
              </w:rPr>
              <w:t>Ermittelt Rechtsprofil, Feiertagsort und Ausnahmeprofil</w:t>
            </w:r>
          </w:p>
        </w:tc>
        <w:tc>
          <w:tcPr>
            <w:tcW w:w="3140" w:type="dxa"/>
            <w:shd w:val="clear" w:color="auto" w:fill="F6F7F5"/>
            <w:tcMar>
              <w:top w:w="75" w:type="dxa"/>
              <w:left w:w="120" w:type="dxa"/>
              <w:bottom w:w="75" w:type="dxa"/>
              <w:right w:w="120" w:type="dxa"/>
            </w:tcMar>
            <w:vAlign w:val="center"/>
          </w:tcPr>
          <w:p w14:paraId="185C4A3F" w14:textId="77777777">
            <w:pPr>
              <w:spacing w:after="0"/>
            </w:pPr>
            <w:r>
              <w:rPr>
                <w:rFonts w:eastAsia="Arial"/>
                <w:sz w:val="16"/>
              </w:rPr>
              <w:t>Pure TypeScript</w:t>
            </w:r>
          </w:p>
        </w:tc>
      </w:tr>
      <w:tr w14:paraId="53C7AB4E" w14:textId="77777777">
        <w:trPr>
          <w:cantSplit/>
        </w:trPr>
        <w:tc>
          <w:tcPr>
            <w:tcW w:w="2000" w:type="dxa"/>
            <w:tcMar>
              <w:top w:w="75" w:type="dxa"/>
              <w:left w:w="120" w:type="dxa"/>
              <w:bottom w:w="75" w:type="dxa"/>
              <w:right w:w="120" w:type="dxa"/>
            </w:tcMar>
            <w:vAlign w:val="center"/>
          </w:tcPr>
          <w:p w14:paraId="36959870" w14:textId="77777777">
            <w:pPr>
              <w:spacing w:after="0"/>
            </w:pPr>
            <w:r>
              <w:rPr>
                <w:rFonts w:eastAsia="Arial"/>
                <w:sz w:val="16"/>
              </w:rPr>
              <w:t>Rule Engine</w:t>
            </w:r>
          </w:p>
        </w:tc>
        <w:tc>
          <w:tcPr>
            <w:tcW w:w="4500" w:type="dxa"/>
            <w:tcMar>
              <w:top w:w="75" w:type="dxa"/>
              <w:left w:w="120" w:type="dxa"/>
              <w:bottom w:w="75" w:type="dxa"/>
              <w:right w:w="120" w:type="dxa"/>
            </w:tcMar>
            <w:vAlign w:val="center"/>
          </w:tcPr>
          <w:p w14:paraId="2405D56F" w14:textId="77777777">
            <w:pPr>
              <w:spacing w:after="0"/>
            </w:pPr>
            <w:r>
              <w:rPr>
                <w:rFonts w:eastAsia="Arial"/>
                <w:sz w:val="16"/>
              </w:rPr>
              <w:t>Wählt zeitlich gültige Regeln und Prioritäten</w:t>
            </w:r>
          </w:p>
        </w:tc>
        <w:tc>
          <w:tcPr>
            <w:tcW w:w="3140" w:type="dxa"/>
            <w:tcMar>
              <w:top w:w="75" w:type="dxa"/>
              <w:left w:w="120" w:type="dxa"/>
              <w:bottom w:w="75" w:type="dxa"/>
              <w:right w:w="120" w:type="dxa"/>
            </w:tcMar>
            <w:vAlign w:val="center"/>
          </w:tcPr>
          <w:p w14:paraId="0ED9C783" w14:textId="77777777">
            <w:pPr>
              <w:spacing w:after="0"/>
            </w:pPr>
            <w:r>
              <w:rPr>
                <w:rFonts w:eastAsia="Arial"/>
                <w:sz w:val="16"/>
              </w:rPr>
              <w:t>Pure TypeScript, JSON Schema</w:t>
            </w:r>
          </w:p>
        </w:tc>
      </w:tr>
      <w:tr w14:paraId="5C9304ED" w14:textId="77777777">
        <w:trPr>
          <w:cantSplit/>
        </w:trPr>
        <w:tc>
          <w:tcPr>
            <w:tcW w:w="2000" w:type="dxa"/>
            <w:shd w:val="clear" w:color="auto" w:fill="F6F7F5"/>
            <w:tcMar>
              <w:top w:w="75" w:type="dxa"/>
              <w:left w:w="120" w:type="dxa"/>
              <w:bottom w:w="75" w:type="dxa"/>
              <w:right w:w="120" w:type="dxa"/>
            </w:tcMar>
            <w:vAlign w:val="center"/>
          </w:tcPr>
          <w:p w14:paraId="2E03AA73" w14:textId="77777777">
            <w:pPr>
              <w:spacing w:after="0"/>
            </w:pPr>
            <w:r>
              <w:rPr>
                <w:rFonts w:eastAsia="Arial"/>
                <w:sz w:val="16"/>
              </w:rPr>
              <w:t>Date Engine</w:t>
            </w:r>
          </w:p>
        </w:tc>
        <w:tc>
          <w:tcPr>
            <w:tcW w:w="4500" w:type="dxa"/>
            <w:shd w:val="clear" w:color="auto" w:fill="F6F7F5"/>
            <w:tcMar>
              <w:top w:w="75" w:type="dxa"/>
              <w:left w:w="120" w:type="dxa"/>
              <w:bottom w:w="75" w:type="dxa"/>
              <w:right w:w="120" w:type="dxa"/>
            </w:tcMar>
            <w:vAlign w:val="center"/>
          </w:tcPr>
          <w:p w14:paraId="5DAED2D2" w14:textId="77777777">
            <w:pPr>
              <w:spacing w:after="0"/>
            </w:pPr>
            <w:r>
              <w:rPr>
                <w:rFonts w:eastAsia="Arial"/>
                <w:sz w:val="16"/>
              </w:rPr>
              <w:t>Zählt Kalendertage und Stillstandsperioden ohne Zeitzonenfehler</w:t>
            </w:r>
          </w:p>
        </w:tc>
        <w:tc>
          <w:tcPr>
            <w:tcW w:w="3140" w:type="dxa"/>
            <w:shd w:val="clear" w:color="auto" w:fill="F6F7F5"/>
            <w:tcMar>
              <w:top w:w="75" w:type="dxa"/>
              <w:left w:w="120" w:type="dxa"/>
              <w:bottom w:w="75" w:type="dxa"/>
              <w:right w:w="120" w:type="dxa"/>
            </w:tcMar>
            <w:vAlign w:val="center"/>
          </w:tcPr>
          <w:p w14:paraId="16DAA25A" w14:textId="77777777">
            <w:pPr>
              <w:spacing w:after="0"/>
            </w:pPr>
            <w:r>
              <w:rPr>
                <w:rFonts w:eastAsia="Arial"/>
                <w:sz w:val="16"/>
              </w:rPr>
              <w:t>ISO-Datumstyp, keine Uhrzeiten</w:t>
            </w:r>
          </w:p>
        </w:tc>
      </w:tr>
      <w:tr w14:paraId="08FC6CCB" w14:textId="77777777">
        <w:trPr>
          <w:cantSplit/>
        </w:trPr>
        <w:tc>
          <w:tcPr>
            <w:tcW w:w="2000" w:type="dxa"/>
            <w:tcMar>
              <w:top w:w="75" w:type="dxa"/>
              <w:left w:w="120" w:type="dxa"/>
              <w:bottom w:w="75" w:type="dxa"/>
              <w:right w:w="120" w:type="dxa"/>
            </w:tcMar>
            <w:vAlign w:val="center"/>
          </w:tcPr>
          <w:p w14:paraId="0F30D4B6" w14:textId="77777777">
            <w:pPr>
              <w:spacing w:after="0"/>
            </w:pPr>
            <w:r>
              <w:rPr>
                <w:rFonts w:eastAsia="Arial"/>
                <w:sz w:val="16"/>
              </w:rPr>
              <w:t>Regelsatzquelle</w:t>
            </w:r>
          </w:p>
        </w:tc>
        <w:tc>
          <w:tcPr>
            <w:tcW w:w="4500" w:type="dxa"/>
            <w:tcMar>
              <w:top w:w="75" w:type="dxa"/>
              <w:left w:w="120" w:type="dxa"/>
              <w:bottom w:w="75" w:type="dxa"/>
              <w:right w:w="120" w:type="dxa"/>
            </w:tcMar>
            <w:vAlign w:val="center"/>
          </w:tcPr>
          <w:p w14:paraId="5F5D1113" w14:textId="77777777">
            <w:pPr>
              <w:spacing w:after="0"/>
            </w:pPr>
            <w:r>
              <w:rPr>
                <w:rFonts w:eastAsia="Arial"/>
                <w:sz w:val="16"/>
              </w:rPr>
              <w:t>Liefert versionierte, signierte Rechts- und Kalenderdaten</w:t>
            </w:r>
          </w:p>
        </w:tc>
        <w:tc>
          <w:tcPr>
            <w:tcW w:w="3140" w:type="dxa"/>
            <w:tcMar>
              <w:top w:w="75" w:type="dxa"/>
              <w:left w:w="120" w:type="dxa"/>
              <w:bottom w:w="75" w:type="dxa"/>
              <w:right w:w="120" w:type="dxa"/>
            </w:tcMar>
            <w:vAlign w:val="center"/>
          </w:tcPr>
          <w:p w14:paraId="1064E045" w14:textId="77777777">
            <w:pPr>
              <w:spacing w:after="0"/>
            </w:pPr>
            <w:r>
              <w:rPr>
                <w:rFonts w:eastAsia="Arial"/>
                <w:sz w:val="16"/>
              </w:rPr>
              <w:t>Provider für GitHub oder SharePoint-Mirror</w:t>
            </w:r>
          </w:p>
        </w:tc>
      </w:tr>
      <w:tr w14:paraId="6AFE743F" w14:textId="77777777">
        <w:trPr>
          <w:cantSplit/>
        </w:trPr>
        <w:tc>
          <w:tcPr>
            <w:tcW w:w="2000" w:type="dxa"/>
            <w:shd w:val="clear" w:color="auto" w:fill="F6F7F5"/>
            <w:tcMar>
              <w:top w:w="75" w:type="dxa"/>
              <w:left w:w="120" w:type="dxa"/>
              <w:bottom w:w="75" w:type="dxa"/>
              <w:right w:w="120" w:type="dxa"/>
            </w:tcMar>
            <w:vAlign w:val="center"/>
          </w:tcPr>
          <w:p w14:paraId="56E66449" w14:textId="77777777">
            <w:pPr>
              <w:spacing w:after="0"/>
            </w:pPr>
            <w:r>
              <w:rPr>
                <w:rFonts w:eastAsia="Arial"/>
                <w:sz w:val="16"/>
              </w:rPr>
              <w:t>Defaultspeicher</w:t>
            </w:r>
          </w:p>
        </w:tc>
        <w:tc>
          <w:tcPr>
            <w:tcW w:w="4500" w:type="dxa"/>
            <w:shd w:val="clear" w:color="auto" w:fill="F6F7F5"/>
            <w:tcMar>
              <w:top w:w="75" w:type="dxa"/>
              <w:left w:w="120" w:type="dxa"/>
              <w:bottom w:w="75" w:type="dxa"/>
              <w:right w:w="120" w:type="dxa"/>
            </w:tcMar>
            <w:vAlign w:val="center"/>
          </w:tcPr>
          <w:p w14:paraId="5FA23BBB" w14:textId="77777777">
            <w:pPr>
              <w:spacing w:after="0"/>
            </w:pPr>
            <w:r>
              <w:rPr>
                <w:rFonts w:eastAsia="Arial"/>
                <w:sz w:val="16"/>
              </w:rPr>
              <w:t>Persönliche, nicht sensitive Voreinstellungen</w:t>
            </w:r>
          </w:p>
        </w:tc>
        <w:tc>
          <w:tcPr>
            <w:tcW w:w="3140" w:type="dxa"/>
            <w:shd w:val="clear" w:color="auto" w:fill="F6F7F5"/>
            <w:tcMar>
              <w:top w:w="75" w:type="dxa"/>
              <w:left w:w="120" w:type="dxa"/>
              <w:bottom w:w="75" w:type="dxa"/>
              <w:right w:w="120" w:type="dxa"/>
            </w:tcMar>
            <w:vAlign w:val="center"/>
          </w:tcPr>
          <w:p w14:paraId="6DDA4E65" w14:textId="77777777">
            <w:pPr>
              <w:spacing w:after="0"/>
            </w:pPr>
            <w:r>
              <w:rPr>
                <w:rFonts w:eastAsia="Arial"/>
                <w:sz w:val="16"/>
              </w:rPr>
              <w:t>Browser Local Storage im ersten Release</w:t>
            </w:r>
          </w:p>
        </w:tc>
      </w:tr>
      <w:tr w14:paraId="3A77B5DF" w14:textId="77777777">
        <w:trPr>
          <w:cantSplit/>
        </w:trPr>
        <w:tc>
          <w:tcPr>
            <w:tcW w:w="2000" w:type="dxa"/>
            <w:tcMar>
              <w:top w:w="75" w:type="dxa"/>
              <w:left w:w="120" w:type="dxa"/>
              <w:bottom w:w="75" w:type="dxa"/>
              <w:right w:w="120" w:type="dxa"/>
            </w:tcMar>
            <w:vAlign w:val="center"/>
          </w:tcPr>
          <w:p w14:paraId="3EBE82F5" w14:textId="77777777">
            <w:pPr>
              <w:spacing w:after="0"/>
            </w:pPr>
            <w:r>
              <w:rPr>
                <w:rFonts w:eastAsia="Arial"/>
                <w:sz w:val="16"/>
              </w:rPr>
              <w:t>Jahresaktualisierung</w:t>
            </w:r>
          </w:p>
        </w:tc>
        <w:tc>
          <w:tcPr>
            <w:tcW w:w="4500" w:type="dxa"/>
            <w:tcMar>
              <w:top w:w="75" w:type="dxa"/>
              <w:left w:w="120" w:type="dxa"/>
              <w:bottom w:w="75" w:type="dxa"/>
              <w:right w:w="120" w:type="dxa"/>
            </w:tcMar>
            <w:vAlign w:val="center"/>
          </w:tcPr>
          <w:p w14:paraId="2DB2C467" w14:textId="77777777">
            <w:pPr>
              <w:spacing w:after="0"/>
            </w:pPr>
            <w:r>
              <w:rPr>
                <w:rFonts w:eastAsia="Arial"/>
                <w:sz w:val="16"/>
              </w:rPr>
              <w:t>Veröffentlicht oder spiegelt das freigegebene Datenrelease</w:t>
            </w:r>
          </w:p>
        </w:tc>
        <w:tc>
          <w:tcPr>
            <w:tcW w:w="3140" w:type="dxa"/>
            <w:tcMar>
              <w:top w:w="75" w:type="dxa"/>
              <w:left w:w="120" w:type="dxa"/>
              <w:bottom w:w="75" w:type="dxa"/>
              <w:right w:w="120" w:type="dxa"/>
            </w:tcMar>
            <w:vAlign w:val="center"/>
          </w:tcPr>
          <w:p w14:paraId="3E255D43" w14:textId="77777777">
            <w:pPr>
              <w:spacing w:after="0"/>
            </w:pPr>
            <w:r>
              <w:rPr>
                <w:rFonts w:eastAsia="Arial"/>
                <w:sz w:val="16"/>
              </w:rPr>
              <w:t>GitHub im Pilot, später Power Automate oder manueller Mirror-Import</w:t>
            </w:r>
          </w:p>
        </w:tc>
      </w:tr>
      <w:tr w14:paraId="1057CA0F" w14:textId="77777777">
        <w:trPr>
          <w:cantSplit/>
        </w:trPr>
        <w:tc>
          <w:tcPr>
            <w:tcW w:w="2000" w:type="dxa"/>
            <w:shd w:val="clear" w:color="auto" w:fill="F6F7F5"/>
            <w:tcMar>
              <w:top w:w="75" w:type="dxa"/>
              <w:left w:w="120" w:type="dxa"/>
              <w:bottom w:w="75" w:type="dxa"/>
              <w:right w:w="120" w:type="dxa"/>
            </w:tcMar>
            <w:vAlign w:val="center"/>
          </w:tcPr>
          <w:p w14:paraId="1D890062" w14:textId="77777777">
            <w:pPr>
              <w:spacing w:after="0"/>
            </w:pPr>
            <w:r>
              <w:rPr>
                <w:rFonts w:eastAsia="Arial"/>
                <w:sz w:val="16"/>
              </w:rPr>
              <w:t>Open-Source-Repository</w:t>
            </w:r>
          </w:p>
        </w:tc>
        <w:tc>
          <w:tcPr>
            <w:tcW w:w="4500" w:type="dxa"/>
            <w:shd w:val="clear" w:color="auto" w:fill="F6F7F5"/>
            <w:tcMar>
              <w:top w:w="75" w:type="dxa"/>
              <w:left w:w="120" w:type="dxa"/>
              <w:bottom w:w="75" w:type="dxa"/>
              <w:right w:w="120" w:type="dxa"/>
            </w:tcMar>
            <w:vAlign w:val="center"/>
          </w:tcPr>
          <w:p w14:paraId="2BE0774F" w14:textId="77777777">
            <w:pPr>
              <w:spacing w:after="0"/>
            </w:pPr>
            <w:r>
              <w:rPr>
                <w:rFonts w:eastAsia="Arial"/>
                <w:sz w:val="16"/>
              </w:rPr>
              <w:t>Code, Datenquellen, Tests, Releases und Issues</w:t>
            </w:r>
          </w:p>
        </w:tc>
        <w:tc>
          <w:tcPr>
            <w:tcW w:w="3140" w:type="dxa"/>
            <w:shd w:val="clear" w:color="auto" w:fill="F6F7F5"/>
            <w:tcMar>
              <w:top w:w="75" w:type="dxa"/>
              <w:left w:w="120" w:type="dxa"/>
              <w:bottom w:w="75" w:type="dxa"/>
              <w:right w:w="120" w:type="dxa"/>
            </w:tcMar>
            <w:vAlign w:val="center"/>
          </w:tcPr>
          <w:p w14:paraId="5D4DE505" w14:textId="77777777">
            <w:pPr>
              <w:spacing w:after="0"/>
            </w:pPr>
            <w:r>
              <w:rPr>
                <w:rFonts w:eastAsia="Arial"/>
                <w:sz w:val="16"/>
              </w:rPr>
              <w:t>GitHub</w:t>
            </w:r>
          </w:p>
        </w:tc>
      </w:tr>
    </w:tbl>
    <w:p w14:paraId="12EF61BE" w14:textId="77777777">
      <w:pPr>
        <w:spacing w:after="20"/>
      </w:pPr>
    </w:p>
    <w:p w14:paraId="048563A9" w14:textId="77777777">
      <w:pPr>
        <w:pStyle w:val="berschrift2"/>
      </w:pPr>
      <w:r>
        <w:t>4.3 Grundsätze der Implementierung</w:t>
      </w:r>
    </w:p>
    <w:p w14:paraId="0C4CEF43" w14:textId="77777777">
      <w:pPr>
        <w:pStyle w:val="Aufzhlungszeichen"/>
      </w:pPr>
      <w:r>
        <w:t>Date-only rechnen. JavaScript-Zeitstempel und Sommerzeit dürfen das Datum nicht verschieben.</w:t>
      </w:r>
    </w:p>
    <w:p w14:paraId="7E839EE6" w14:textId="77777777">
      <w:pPr>
        <w:pStyle w:val="Aufzhlungszeichen"/>
      </w:pPr>
      <w:r>
        <w:t>Regel-Engine und GUI strikt trennen. Derselbe Rechenkern muss in Unit Tests und später in weiteren Oberflächen laufen.</w:t>
      </w:r>
    </w:p>
    <w:p w14:paraId="1A73DB49" w14:textId="77777777">
      <w:pPr>
        <w:pStyle w:val="Aufzhlungszeichen"/>
      </w:pPr>
      <w:r>
        <w:t>Keine personenbezogenen Falldaten speichern. Die Berechnung benötigt weder Namen noch Aktenzeichen.</w:t>
      </w:r>
    </w:p>
    <w:p w14:paraId="69B0516A" w14:textId="77777777">
      <w:pPr>
        <w:pStyle w:val="Aufzhlungszeichen"/>
      </w:pPr>
      <w:r>
        <w:t>Alle Ergebnisse sind reproduzierbar durch Eingaben, Regelversion und Kalenderdatenversion.</w:t>
      </w:r>
    </w:p>
    <w:p w14:paraId="2C303DCE" w14:textId="77777777">
      <w:pPr>
        <w:pStyle w:val="Aufzhlungszeichen"/>
      </w:pPr>
      <w:r>
        <w:t>Die Datenquelle nur über die ReleaseProvider-Schnittstelle anbinden. Der Rechenkern kennt weder GitHub noch SharePoint.</w:t>
      </w:r>
    </w:p>
    <w:p w14:paraId="51BFC9B2" w14:textId="77777777">
      <w:pPr>
        <w:pStyle w:val="Aufzhlungszeichen"/>
      </w:pPr>
      <w:r>
        <w:t>Abhängigkeiten klein halten, Versionen pinnen und Software-Bill-of-Materials erzeugen.</w:t>
      </w:r>
    </w:p>
    <w:p w14:paraId="45A9A4E7" w14:textId="77777777">
      <w:pPr>
        <w:pStyle w:val="berschrift2"/>
      </w:pPr>
      <w:r>
        <w:t>4.4 Variantenbewertung</w:t>
      </w:r>
    </w:p>
    <w:tbl>
      <w:tblPr>
        <w:tblStyle w:val="Tabellenraster"/>
        <w:tblW w:w="9640" w:type="dxa"/>
        <w:tblInd w:w="120" w:type="dxa"/>
        <w:tblLayout w:type="fixed"/>
        <w:tblLook w:val="04A0" w:firstRow="1" w:lastRow="0" w:firstColumn="1" w:lastColumn="0" w:noHBand="0" w:noVBand="1"/>
      </w:tblPr>
      <w:tblGrid>
        <w:gridCol w:w="1950"/>
        <w:gridCol w:w="2600"/>
        <w:gridCol w:w="2600"/>
        <w:gridCol w:w="2490"/>
      </w:tblGrid>
      <w:tr w14:paraId="4FDD70B7" w14:textId="77777777">
        <w:trPr>
          <w:cantSplit/>
          <w:tblHeader/>
        </w:trPr>
        <w:tc>
          <w:tcPr>
            <w:tcW w:w="1950" w:type="dxa"/>
            <w:shd w:val="clear" w:color="auto" w:fill="122C40"/>
            <w:tcMar>
              <w:top w:w="90" w:type="dxa"/>
              <w:left w:w="120" w:type="dxa"/>
              <w:bottom w:w="90" w:type="dxa"/>
              <w:right w:w="120" w:type="dxa"/>
            </w:tcMar>
            <w:vAlign w:val="center"/>
          </w:tcPr>
          <w:p w14:paraId="182819B2" w14:textId="77777777">
            <w:pPr>
              <w:spacing w:after="0"/>
            </w:pPr>
            <w:r>
              <w:rPr>
                <w:rFonts w:eastAsia="Arial"/>
                <w:b/>
                <w:color w:val="FFFFFF"/>
                <w:sz w:val="17"/>
              </w:rPr>
              <w:t>Kriterium</w:t>
            </w:r>
          </w:p>
        </w:tc>
        <w:tc>
          <w:tcPr>
            <w:tcW w:w="2600" w:type="dxa"/>
            <w:shd w:val="clear" w:color="auto" w:fill="122C40"/>
            <w:tcMar>
              <w:top w:w="90" w:type="dxa"/>
              <w:left w:w="120" w:type="dxa"/>
              <w:bottom w:w="90" w:type="dxa"/>
              <w:right w:w="120" w:type="dxa"/>
            </w:tcMar>
            <w:vAlign w:val="center"/>
          </w:tcPr>
          <w:p w14:paraId="556E8B18" w14:textId="77777777">
            <w:pPr>
              <w:spacing w:after="0"/>
            </w:pPr>
            <w:r>
              <w:rPr>
                <w:rFonts w:eastAsia="Arial"/>
                <w:b/>
                <w:color w:val="FFFFFF"/>
                <w:sz w:val="17"/>
              </w:rPr>
              <w:t>SPFx + SharePoint</w:t>
            </w:r>
          </w:p>
        </w:tc>
        <w:tc>
          <w:tcPr>
            <w:tcW w:w="2600" w:type="dxa"/>
            <w:shd w:val="clear" w:color="auto" w:fill="122C40"/>
            <w:tcMar>
              <w:top w:w="90" w:type="dxa"/>
              <w:left w:w="120" w:type="dxa"/>
              <w:bottom w:w="90" w:type="dxa"/>
              <w:right w:w="120" w:type="dxa"/>
            </w:tcMar>
            <w:vAlign w:val="center"/>
          </w:tcPr>
          <w:p w14:paraId="0CDAF1DC" w14:textId="77777777">
            <w:pPr>
              <w:spacing w:after="0"/>
            </w:pPr>
            <w:r>
              <w:rPr>
                <w:rFonts w:eastAsia="Arial"/>
                <w:b/>
                <w:color w:val="FFFFFF"/>
                <w:sz w:val="17"/>
              </w:rPr>
              <w:t>Power Apps</w:t>
            </w:r>
          </w:p>
        </w:tc>
        <w:tc>
          <w:tcPr>
            <w:tcW w:w="2490" w:type="dxa"/>
            <w:shd w:val="clear" w:color="auto" w:fill="122C40"/>
            <w:tcMar>
              <w:top w:w="90" w:type="dxa"/>
              <w:left w:w="120" w:type="dxa"/>
              <w:bottom w:w="90" w:type="dxa"/>
              <w:right w:w="120" w:type="dxa"/>
            </w:tcMar>
            <w:vAlign w:val="center"/>
          </w:tcPr>
          <w:p w14:paraId="467D4C1B" w14:textId="77777777">
            <w:pPr>
              <w:spacing w:after="0"/>
            </w:pPr>
            <w:r>
              <w:rPr>
                <w:rFonts w:eastAsia="Arial"/>
                <w:b/>
                <w:color w:val="FFFFFF"/>
                <w:sz w:val="17"/>
              </w:rPr>
              <w:t>Separate Web-App</w:t>
            </w:r>
          </w:p>
        </w:tc>
      </w:tr>
      <w:tr w14:paraId="41763CB8" w14:textId="77777777">
        <w:trPr>
          <w:cantSplit/>
        </w:trPr>
        <w:tc>
          <w:tcPr>
            <w:tcW w:w="1950" w:type="dxa"/>
            <w:tcMar>
              <w:top w:w="75" w:type="dxa"/>
              <w:left w:w="120" w:type="dxa"/>
              <w:bottom w:w="75" w:type="dxa"/>
              <w:right w:w="120" w:type="dxa"/>
            </w:tcMar>
            <w:vAlign w:val="center"/>
          </w:tcPr>
          <w:p w14:paraId="7D39EC33" w14:textId="77777777">
            <w:pPr>
              <w:spacing w:after="0"/>
            </w:pPr>
            <w:r>
              <w:rPr>
                <w:rFonts w:eastAsia="Arial"/>
                <w:sz w:val="16"/>
              </w:rPr>
              <w:t>M365-Integration</w:t>
            </w:r>
          </w:p>
        </w:tc>
        <w:tc>
          <w:tcPr>
            <w:tcW w:w="2600" w:type="dxa"/>
            <w:tcMar>
              <w:top w:w="75" w:type="dxa"/>
              <w:left w:w="120" w:type="dxa"/>
              <w:bottom w:w="75" w:type="dxa"/>
              <w:right w:w="120" w:type="dxa"/>
            </w:tcMar>
            <w:vAlign w:val="center"/>
          </w:tcPr>
          <w:p w14:paraId="32276AEC" w14:textId="77777777">
            <w:pPr>
              <w:spacing w:after="0"/>
            </w:pPr>
            <w:r>
              <w:rPr>
                <w:rFonts w:eastAsia="Arial"/>
                <w:sz w:val="16"/>
              </w:rPr>
              <w:t>Sehr gut. SharePoint und Teams nativ</w:t>
            </w:r>
          </w:p>
        </w:tc>
        <w:tc>
          <w:tcPr>
            <w:tcW w:w="2600" w:type="dxa"/>
            <w:tcMar>
              <w:top w:w="75" w:type="dxa"/>
              <w:left w:w="120" w:type="dxa"/>
              <w:bottom w:w="75" w:type="dxa"/>
              <w:right w:w="120" w:type="dxa"/>
            </w:tcMar>
            <w:vAlign w:val="center"/>
          </w:tcPr>
          <w:p w14:paraId="2D3DA618" w14:textId="77777777">
            <w:pPr>
              <w:spacing w:after="0"/>
            </w:pPr>
            <w:r>
              <w:rPr>
                <w:rFonts w:eastAsia="Arial"/>
                <w:sz w:val="16"/>
              </w:rPr>
              <w:t>Sehr gut</w:t>
            </w:r>
          </w:p>
        </w:tc>
        <w:tc>
          <w:tcPr>
            <w:tcW w:w="2490" w:type="dxa"/>
            <w:tcMar>
              <w:top w:w="75" w:type="dxa"/>
              <w:left w:w="120" w:type="dxa"/>
              <w:bottom w:w="75" w:type="dxa"/>
              <w:right w:w="120" w:type="dxa"/>
            </w:tcMar>
            <w:vAlign w:val="center"/>
          </w:tcPr>
          <w:p w14:paraId="3119AFB3" w14:textId="77777777">
            <w:pPr>
              <w:spacing w:after="0"/>
            </w:pPr>
            <w:r>
              <w:rPr>
                <w:rFonts w:eastAsia="Arial"/>
                <w:sz w:val="16"/>
              </w:rPr>
              <w:t>Mittel. Wrapper und Hosting nötig</w:t>
            </w:r>
          </w:p>
        </w:tc>
      </w:tr>
      <w:tr w14:paraId="23226D39" w14:textId="77777777">
        <w:trPr>
          <w:cantSplit/>
        </w:trPr>
        <w:tc>
          <w:tcPr>
            <w:tcW w:w="1950" w:type="dxa"/>
            <w:shd w:val="clear" w:color="auto" w:fill="F6F7F5"/>
            <w:tcMar>
              <w:top w:w="75" w:type="dxa"/>
              <w:left w:w="120" w:type="dxa"/>
              <w:bottom w:w="75" w:type="dxa"/>
              <w:right w:w="120" w:type="dxa"/>
            </w:tcMar>
            <w:vAlign w:val="center"/>
          </w:tcPr>
          <w:p w14:paraId="70043EC0" w14:textId="77777777">
            <w:pPr>
              <w:spacing w:after="0"/>
            </w:pPr>
            <w:r>
              <w:rPr>
                <w:rFonts w:eastAsia="Arial"/>
                <w:sz w:val="16"/>
              </w:rPr>
              <w:t>Tenant-Deployment</w:t>
            </w:r>
          </w:p>
        </w:tc>
        <w:tc>
          <w:tcPr>
            <w:tcW w:w="2600" w:type="dxa"/>
            <w:shd w:val="clear" w:color="auto" w:fill="F6F7F5"/>
            <w:tcMar>
              <w:top w:w="75" w:type="dxa"/>
              <w:left w:w="120" w:type="dxa"/>
              <w:bottom w:w="75" w:type="dxa"/>
              <w:right w:w="120" w:type="dxa"/>
            </w:tcMar>
            <w:vAlign w:val="center"/>
          </w:tcPr>
          <w:p w14:paraId="6DE838C5" w14:textId="77777777">
            <w:pPr>
              <w:spacing w:after="0"/>
            </w:pPr>
            <w:r>
              <w:rPr>
                <w:rFonts w:eastAsia="Arial"/>
                <w:sz w:val="16"/>
              </w:rPr>
              <w:t>Gut. Ein .sppkg, App-Katalog nötig</w:t>
            </w:r>
          </w:p>
        </w:tc>
        <w:tc>
          <w:tcPr>
            <w:tcW w:w="2600" w:type="dxa"/>
            <w:shd w:val="clear" w:color="auto" w:fill="F6F7F5"/>
            <w:tcMar>
              <w:top w:w="75" w:type="dxa"/>
              <w:left w:w="120" w:type="dxa"/>
              <w:bottom w:w="75" w:type="dxa"/>
              <w:right w:w="120" w:type="dxa"/>
            </w:tcMar>
            <w:vAlign w:val="center"/>
          </w:tcPr>
          <w:p w14:paraId="00D6C280" w14:textId="77777777">
            <w:pPr>
              <w:spacing w:after="0"/>
            </w:pPr>
            <w:r>
              <w:rPr>
                <w:rFonts w:eastAsia="Arial"/>
                <w:sz w:val="16"/>
              </w:rPr>
              <w:t>Mittel. Solution-Import und Umgebungsabhängigkeiten</w:t>
            </w:r>
          </w:p>
        </w:tc>
        <w:tc>
          <w:tcPr>
            <w:tcW w:w="2490" w:type="dxa"/>
            <w:shd w:val="clear" w:color="auto" w:fill="F6F7F5"/>
            <w:tcMar>
              <w:top w:w="75" w:type="dxa"/>
              <w:left w:w="120" w:type="dxa"/>
              <w:bottom w:w="75" w:type="dxa"/>
              <w:right w:w="120" w:type="dxa"/>
            </w:tcMar>
            <w:vAlign w:val="center"/>
          </w:tcPr>
          <w:p w14:paraId="49F04F63" w14:textId="77777777">
            <w:pPr>
              <w:spacing w:after="0"/>
            </w:pPr>
            <w:r>
              <w:rPr>
                <w:rFonts w:eastAsia="Arial"/>
                <w:sz w:val="16"/>
              </w:rPr>
              <w:t>Schwach. Azure oder externer Host</w:t>
            </w:r>
          </w:p>
        </w:tc>
      </w:tr>
      <w:tr w14:paraId="4EB50AEE" w14:textId="77777777">
        <w:trPr>
          <w:cantSplit/>
        </w:trPr>
        <w:tc>
          <w:tcPr>
            <w:tcW w:w="1950" w:type="dxa"/>
            <w:tcMar>
              <w:top w:w="75" w:type="dxa"/>
              <w:left w:w="120" w:type="dxa"/>
              <w:bottom w:w="75" w:type="dxa"/>
              <w:right w:w="120" w:type="dxa"/>
            </w:tcMar>
            <w:vAlign w:val="center"/>
          </w:tcPr>
          <w:p w14:paraId="7AC4E3FE" w14:textId="77777777">
            <w:pPr>
              <w:spacing w:after="0"/>
            </w:pPr>
            <w:r>
              <w:rPr>
                <w:rFonts w:eastAsia="Arial"/>
                <w:sz w:val="16"/>
              </w:rPr>
              <w:t>Open Source</w:t>
            </w:r>
          </w:p>
        </w:tc>
        <w:tc>
          <w:tcPr>
            <w:tcW w:w="2600" w:type="dxa"/>
            <w:tcMar>
              <w:top w:w="75" w:type="dxa"/>
              <w:left w:w="120" w:type="dxa"/>
              <w:bottom w:w="75" w:type="dxa"/>
              <w:right w:w="120" w:type="dxa"/>
            </w:tcMar>
            <w:vAlign w:val="center"/>
          </w:tcPr>
          <w:p w14:paraId="6E6B81A1" w14:textId="77777777">
            <w:pPr>
              <w:spacing w:after="0"/>
            </w:pPr>
            <w:r>
              <w:rPr>
                <w:rFonts w:eastAsia="Arial"/>
                <w:sz w:val="16"/>
              </w:rPr>
              <w:t>Gut. Vollständiger Quellcode</w:t>
            </w:r>
          </w:p>
        </w:tc>
        <w:tc>
          <w:tcPr>
            <w:tcW w:w="2600" w:type="dxa"/>
            <w:tcMar>
              <w:top w:w="75" w:type="dxa"/>
              <w:left w:w="120" w:type="dxa"/>
              <w:bottom w:w="75" w:type="dxa"/>
              <w:right w:w="120" w:type="dxa"/>
            </w:tcMar>
            <w:vAlign w:val="center"/>
          </w:tcPr>
          <w:p w14:paraId="2D58EF28" w14:textId="77777777">
            <w:pPr>
              <w:spacing w:after="0"/>
            </w:pPr>
            <w:r>
              <w:rPr>
                <w:rFonts w:eastAsia="Arial"/>
                <w:sz w:val="16"/>
              </w:rPr>
              <w:t>Schwach bis mittel. Exportartefakte schwer prüfbar</w:t>
            </w:r>
          </w:p>
        </w:tc>
        <w:tc>
          <w:tcPr>
            <w:tcW w:w="2490" w:type="dxa"/>
            <w:tcMar>
              <w:top w:w="75" w:type="dxa"/>
              <w:left w:w="120" w:type="dxa"/>
              <w:bottom w:w="75" w:type="dxa"/>
              <w:right w:w="120" w:type="dxa"/>
            </w:tcMar>
            <w:vAlign w:val="center"/>
          </w:tcPr>
          <w:p w14:paraId="47DB9A23" w14:textId="77777777">
            <w:pPr>
              <w:spacing w:after="0"/>
            </w:pPr>
            <w:r>
              <w:rPr>
                <w:rFonts w:eastAsia="Arial"/>
                <w:sz w:val="16"/>
              </w:rPr>
              <w:t>Sehr gut</w:t>
            </w:r>
          </w:p>
        </w:tc>
      </w:tr>
      <w:tr w14:paraId="533A50FF" w14:textId="77777777">
        <w:trPr>
          <w:cantSplit/>
        </w:trPr>
        <w:tc>
          <w:tcPr>
            <w:tcW w:w="1950" w:type="dxa"/>
            <w:shd w:val="clear" w:color="auto" w:fill="F6F7F5"/>
            <w:tcMar>
              <w:top w:w="75" w:type="dxa"/>
              <w:left w:w="120" w:type="dxa"/>
              <w:bottom w:w="75" w:type="dxa"/>
              <w:right w:w="120" w:type="dxa"/>
            </w:tcMar>
            <w:vAlign w:val="center"/>
          </w:tcPr>
          <w:p w14:paraId="12711A9D" w14:textId="77777777">
            <w:pPr>
              <w:spacing w:after="0"/>
            </w:pPr>
            <w:r>
              <w:rPr>
                <w:rFonts w:eastAsia="Arial"/>
                <w:sz w:val="16"/>
              </w:rPr>
              <w:t>Deterministische Tests</w:t>
            </w:r>
          </w:p>
        </w:tc>
        <w:tc>
          <w:tcPr>
            <w:tcW w:w="2600" w:type="dxa"/>
            <w:shd w:val="clear" w:color="auto" w:fill="F6F7F5"/>
            <w:tcMar>
              <w:top w:w="75" w:type="dxa"/>
              <w:left w:w="120" w:type="dxa"/>
              <w:bottom w:w="75" w:type="dxa"/>
              <w:right w:w="120" w:type="dxa"/>
            </w:tcMar>
            <w:vAlign w:val="center"/>
          </w:tcPr>
          <w:p w14:paraId="1816BDD2" w14:textId="77777777">
            <w:pPr>
              <w:spacing w:after="0"/>
            </w:pPr>
            <w:r>
              <w:rPr>
                <w:rFonts w:eastAsia="Arial"/>
                <w:sz w:val="16"/>
              </w:rPr>
              <w:t>Sehr gut</w:t>
            </w:r>
          </w:p>
        </w:tc>
        <w:tc>
          <w:tcPr>
            <w:tcW w:w="2600" w:type="dxa"/>
            <w:shd w:val="clear" w:color="auto" w:fill="F6F7F5"/>
            <w:tcMar>
              <w:top w:w="75" w:type="dxa"/>
              <w:left w:w="120" w:type="dxa"/>
              <w:bottom w:w="75" w:type="dxa"/>
              <w:right w:w="120" w:type="dxa"/>
            </w:tcMar>
            <w:vAlign w:val="center"/>
          </w:tcPr>
          <w:p w14:paraId="3B7CF163" w14:textId="77777777">
            <w:pPr>
              <w:spacing w:after="0"/>
            </w:pPr>
            <w:r>
              <w:rPr>
                <w:rFonts w:eastAsia="Arial"/>
                <w:sz w:val="16"/>
              </w:rPr>
              <w:t>Mittel</w:t>
            </w:r>
          </w:p>
        </w:tc>
        <w:tc>
          <w:tcPr>
            <w:tcW w:w="2490" w:type="dxa"/>
            <w:shd w:val="clear" w:color="auto" w:fill="F6F7F5"/>
            <w:tcMar>
              <w:top w:w="75" w:type="dxa"/>
              <w:left w:w="120" w:type="dxa"/>
              <w:bottom w:w="75" w:type="dxa"/>
              <w:right w:w="120" w:type="dxa"/>
            </w:tcMar>
            <w:vAlign w:val="center"/>
          </w:tcPr>
          <w:p w14:paraId="43454379" w14:textId="77777777">
            <w:pPr>
              <w:spacing w:after="0"/>
            </w:pPr>
            <w:r>
              <w:rPr>
                <w:rFonts w:eastAsia="Arial"/>
                <w:sz w:val="16"/>
              </w:rPr>
              <w:t>Sehr gut</w:t>
            </w:r>
          </w:p>
        </w:tc>
      </w:tr>
      <w:tr w14:paraId="76808FFF" w14:textId="77777777">
        <w:trPr>
          <w:cantSplit/>
        </w:trPr>
        <w:tc>
          <w:tcPr>
            <w:tcW w:w="1950" w:type="dxa"/>
            <w:tcMar>
              <w:top w:w="75" w:type="dxa"/>
              <w:left w:w="120" w:type="dxa"/>
              <w:bottom w:w="75" w:type="dxa"/>
              <w:right w:w="120" w:type="dxa"/>
            </w:tcMar>
            <w:vAlign w:val="center"/>
          </w:tcPr>
          <w:p w14:paraId="7F4230E2" w14:textId="77777777">
            <w:pPr>
              <w:spacing w:after="0"/>
            </w:pPr>
            <w:r>
              <w:rPr>
                <w:rFonts w:eastAsia="Arial"/>
                <w:sz w:val="16"/>
              </w:rPr>
              <w:t>Admin- und Lizenzlast</w:t>
            </w:r>
          </w:p>
        </w:tc>
        <w:tc>
          <w:tcPr>
            <w:tcW w:w="2600" w:type="dxa"/>
            <w:tcMar>
              <w:top w:w="75" w:type="dxa"/>
              <w:left w:w="120" w:type="dxa"/>
              <w:bottom w:w="75" w:type="dxa"/>
              <w:right w:w="120" w:type="dxa"/>
            </w:tcMar>
            <w:vAlign w:val="center"/>
          </w:tcPr>
          <w:p w14:paraId="295A3DAC" w14:textId="77777777">
            <w:pPr>
              <w:spacing w:after="0"/>
            </w:pPr>
            <w:r>
              <w:rPr>
                <w:rFonts w:eastAsia="Arial"/>
                <w:sz w:val="16"/>
              </w:rPr>
              <w:t>Gering nach Erstfreigabe</w:t>
            </w:r>
          </w:p>
        </w:tc>
        <w:tc>
          <w:tcPr>
            <w:tcW w:w="2600" w:type="dxa"/>
            <w:tcMar>
              <w:top w:w="75" w:type="dxa"/>
              <w:left w:w="120" w:type="dxa"/>
              <w:bottom w:w="75" w:type="dxa"/>
              <w:right w:w="120" w:type="dxa"/>
            </w:tcMar>
            <w:vAlign w:val="center"/>
          </w:tcPr>
          <w:p w14:paraId="05FCB4CC" w14:textId="77777777">
            <w:pPr>
              <w:spacing w:after="0"/>
            </w:pPr>
            <w:r>
              <w:rPr>
                <w:rFonts w:eastAsia="Arial"/>
                <w:sz w:val="16"/>
              </w:rPr>
              <w:t>Mittel. Power-Platform-Governance</w:t>
            </w:r>
          </w:p>
        </w:tc>
        <w:tc>
          <w:tcPr>
            <w:tcW w:w="2490" w:type="dxa"/>
            <w:tcMar>
              <w:top w:w="75" w:type="dxa"/>
              <w:left w:w="120" w:type="dxa"/>
              <w:bottom w:w="75" w:type="dxa"/>
              <w:right w:w="120" w:type="dxa"/>
            </w:tcMar>
            <w:vAlign w:val="center"/>
          </w:tcPr>
          <w:p w14:paraId="4AB0AA42" w14:textId="77777777">
            <w:pPr>
              <w:spacing w:after="0"/>
            </w:pPr>
            <w:r>
              <w:rPr>
                <w:rFonts w:eastAsia="Arial"/>
                <w:sz w:val="16"/>
              </w:rPr>
              <w:t>Hoch</w:t>
            </w:r>
          </w:p>
        </w:tc>
      </w:tr>
      <w:tr w14:paraId="7786395B" w14:textId="77777777">
        <w:trPr>
          <w:cantSplit/>
        </w:trPr>
        <w:tc>
          <w:tcPr>
            <w:tcW w:w="1950" w:type="dxa"/>
            <w:shd w:val="clear" w:color="auto" w:fill="F6F7F5"/>
            <w:tcMar>
              <w:top w:w="75" w:type="dxa"/>
              <w:left w:w="120" w:type="dxa"/>
              <w:bottom w:w="75" w:type="dxa"/>
              <w:right w:w="120" w:type="dxa"/>
            </w:tcMar>
            <w:vAlign w:val="center"/>
          </w:tcPr>
          <w:p w14:paraId="3D212AAA" w14:textId="77777777">
            <w:pPr>
              <w:spacing w:after="0"/>
            </w:pPr>
            <w:r>
              <w:rPr>
                <w:rFonts w:eastAsia="Arial"/>
                <w:sz w:val="16"/>
              </w:rPr>
              <w:t>Empfehlung</w:t>
            </w:r>
          </w:p>
        </w:tc>
        <w:tc>
          <w:tcPr>
            <w:tcW w:w="2600" w:type="dxa"/>
            <w:shd w:val="clear" w:color="auto" w:fill="F6F7F5"/>
            <w:tcMar>
              <w:top w:w="75" w:type="dxa"/>
              <w:left w:w="120" w:type="dxa"/>
              <w:bottom w:w="75" w:type="dxa"/>
              <w:right w:w="120" w:type="dxa"/>
            </w:tcMar>
            <w:vAlign w:val="center"/>
          </w:tcPr>
          <w:p w14:paraId="3C6E8D5B" w14:textId="77777777">
            <w:pPr>
              <w:spacing w:after="0"/>
            </w:pPr>
            <w:r>
              <w:rPr>
                <w:rFonts w:eastAsia="Arial"/>
                <w:sz w:val="16"/>
              </w:rPr>
              <w:t>Bevorzugt</w:t>
            </w:r>
          </w:p>
        </w:tc>
        <w:tc>
          <w:tcPr>
            <w:tcW w:w="2600" w:type="dxa"/>
            <w:shd w:val="clear" w:color="auto" w:fill="F6F7F5"/>
            <w:tcMar>
              <w:top w:w="75" w:type="dxa"/>
              <w:left w:w="120" w:type="dxa"/>
              <w:bottom w:w="75" w:type="dxa"/>
              <w:right w:w="120" w:type="dxa"/>
            </w:tcMar>
            <w:vAlign w:val="center"/>
          </w:tcPr>
          <w:p w14:paraId="7831AE7A" w14:textId="77777777">
            <w:pPr>
              <w:spacing w:after="0"/>
            </w:pPr>
            <w:r>
              <w:rPr>
                <w:rFonts w:eastAsia="Arial"/>
                <w:sz w:val="16"/>
              </w:rPr>
              <w:t>Nicht für den Rechenkern</w:t>
            </w:r>
          </w:p>
        </w:tc>
        <w:tc>
          <w:tcPr>
            <w:tcW w:w="2490" w:type="dxa"/>
            <w:shd w:val="clear" w:color="auto" w:fill="F6F7F5"/>
            <w:tcMar>
              <w:top w:w="75" w:type="dxa"/>
              <w:left w:w="120" w:type="dxa"/>
              <w:bottom w:w="75" w:type="dxa"/>
              <w:right w:w="120" w:type="dxa"/>
            </w:tcMar>
            <w:vAlign w:val="center"/>
          </w:tcPr>
          <w:p w14:paraId="24FF7708" w14:textId="77777777">
            <w:pPr>
              <w:spacing w:after="0"/>
            </w:pPr>
            <w:r>
              <w:rPr>
                <w:rFonts w:eastAsia="Arial"/>
                <w:sz w:val="16"/>
              </w:rPr>
              <w:t>Nur ausserhalb der M365-Vorgabe</w:t>
            </w:r>
          </w:p>
        </w:tc>
      </w:tr>
    </w:tbl>
    <w:p w14:paraId="735354E3" w14:textId="77777777">
      <w:pPr>
        <w:spacing w:after="20"/>
      </w:pPr>
    </w:p>
    <w:p w14:paraId="5EEC79D4" w14:textId="77777777">
      <w:pPr>
        <w:spacing w:after="0"/>
      </w:pPr>
      <w:r>
        <w:br w:type="page"/>
      </w:r>
    </w:p>
    <w:p w14:paraId="310AB37A" w14:textId="77777777">
      <w:pPr>
        <w:pStyle w:val="berschrift1"/>
      </w:pPr>
      <w:r>
        <w:lastRenderedPageBreak/>
        <w:t>5 Bedienkonzept</w:t>
      </w:r>
    </w:p>
    <w:p w14:paraId="029413A9" w14:textId="77777777">
      <w:pPr>
        <w:pStyle w:val="berschrift2"/>
      </w:pPr>
      <w:r>
        <w:t>5.1 Aufbau des GUI</w:t>
      </w:r>
    </w:p>
    <w:tbl>
      <w:tblPr>
        <w:tblStyle w:val="Tabellenraster"/>
        <w:tblW w:w="9640" w:type="dxa"/>
        <w:tblInd w:w="120" w:type="dxa"/>
        <w:tblLayout w:type="fixed"/>
        <w:tblLook w:val="04A0" w:firstRow="1" w:lastRow="0" w:firstColumn="1" w:lastColumn="0" w:noHBand="0" w:noVBand="1"/>
      </w:tblPr>
      <w:tblGrid>
        <w:gridCol w:w="1650"/>
        <w:gridCol w:w="4550"/>
        <w:gridCol w:w="3440"/>
      </w:tblGrid>
      <w:tr w14:paraId="7E9A3F8E" w14:textId="77777777">
        <w:trPr>
          <w:cantSplit/>
          <w:tblHeader/>
        </w:trPr>
        <w:tc>
          <w:tcPr>
            <w:tcW w:w="1650" w:type="dxa"/>
            <w:shd w:val="clear" w:color="auto" w:fill="122C40"/>
            <w:tcMar>
              <w:top w:w="90" w:type="dxa"/>
              <w:left w:w="120" w:type="dxa"/>
              <w:bottom w:w="90" w:type="dxa"/>
              <w:right w:w="120" w:type="dxa"/>
            </w:tcMar>
            <w:vAlign w:val="center"/>
          </w:tcPr>
          <w:p w14:paraId="05C2E0B0" w14:textId="77777777">
            <w:pPr>
              <w:spacing w:after="0"/>
            </w:pPr>
            <w:r>
              <w:rPr>
                <w:rFonts w:eastAsia="Arial"/>
                <w:b/>
                <w:color w:val="FFFFFF"/>
                <w:sz w:val="17"/>
              </w:rPr>
              <w:t>Bereich</w:t>
            </w:r>
          </w:p>
        </w:tc>
        <w:tc>
          <w:tcPr>
            <w:tcW w:w="4550" w:type="dxa"/>
            <w:shd w:val="clear" w:color="auto" w:fill="122C40"/>
            <w:tcMar>
              <w:top w:w="90" w:type="dxa"/>
              <w:left w:w="120" w:type="dxa"/>
              <w:bottom w:w="90" w:type="dxa"/>
              <w:right w:w="120" w:type="dxa"/>
            </w:tcMar>
            <w:vAlign w:val="center"/>
          </w:tcPr>
          <w:p w14:paraId="20326C73" w14:textId="77777777">
            <w:pPr>
              <w:spacing w:after="0"/>
            </w:pPr>
            <w:r>
              <w:rPr>
                <w:rFonts w:eastAsia="Arial"/>
                <w:b/>
                <w:color w:val="FFFFFF"/>
                <w:sz w:val="17"/>
              </w:rPr>
              <w:t>Inhalt</w:t>
            </w:r>
          </w:p>
        </w:tc>
        <w:tc>
          <w:tcPr>
            <w:tcW w:w="3440" w:type="dxa"/>
            <w:shd w:val="clear" w:color="auto" w:fill="122C40"/>
            <w:tcMar>
              <w:top w:w="90" w:type="dxa"/>
              <w:left w:w="120" w:type="dxa"/>
              <w:bottom w:w="90" w:type="dxa"/>
              <w:right w:w="120" w:type="dxa"/>
            </w:tcMar>
            <w:vAlign w:val="center"/>
          </w:tcPr>
          <w:p w14:paraId="49773E34" w14:textId="77777777">
            <w:pPr>
              <w:spacing w:after="0"/>
            </w:pPr>
            <w:r>
              <w:rPr>
                <w:rFonts w:eastAsia="Arial"/>
                <w:b/>
                <w:color w:val="FFFFFF"/>
                <w:sz w:val="17"/>
              </w:rPr>
              <w:t>Verhalten</w:t>
            </w:r>
          </w:p>
        </w:tc>
      </w:tr>
      <w:tr w14:paraId="72EF2ED1" w14:textId="77777777">
        <w:trPr>
          <w:cantSplit/>
        </w:trPr>
        <w:tc>
          <w:tcPr>
            <w:tcW w:w="1650" w:type="dxa"/>
            <w:tcMar>
              <w:top w:w="75" w:type="dxa"/>
              <w:left w:w="120" w:type="dxa"/>
              <w:bottom w:w="75" w:type="dxa"/>
              <w:right w:w="120" w:type="dxa"/>
            </w:tcMar>
            <w:vAlign w:val="center"/>
          </w:tcPr>
          <w:p w14:paraId="7E8535A6" w14:textId="77777777">
            <w:pPr>
              <w:spacing w:after="0"/>
            </w:pPr>
            <w:r>
              <w:rPr>
                <w:rFonts w:eastAsia="Arial"/>
                <w:sz w:val="16"/>
              </w:rPr>
              <w:t>A Eingabe</w:t>
            </w:r>
          </w:p>
        </w:tc>
        <w:tc>
          <w:tcPr>
            <w:tcW w:w="4550" w:type="dxa"/>
            <w:tcMar>
              <w:top w:w="75" w:type="dxa"/>
              <w:left w:w="120" w:type="dxa"/>
              <w:bottom w:w="75" w:type="dxa"/>
              <w:right w:w="120" w:type="dxa"/>
            </w:tcMar>
            <w:vAlign w:val="center"/>
          </w:tcPr>
          <w:p w14:paraId="5768264D" w14:textId="77777777">
            <w:pPr>
              <w:spacing w:after="0"/>
            </w:pPr>
            <w:r>
              <w:rPr>
                <w:rFonts w:eastAsia="Arial"/>
                <w:sz w:val="16"/>
              </w:rPr>
              <w:t>Zustellung, Tage, Recht, Gemeinwesen</w:t>
            </w:r>
          </w:p>
        </w:tc>
        <w:tc>
          <w:tcPr>
            <w:tcW w:w="3440" w:type="dxa"/>
            <w:tcMar>
              <w:top w:w="75" w:type="dxa"/>
              <w:left w:w="120" w:type="dxa"/>
              <w:bottom w:w="75" w:type="dxa"/>
              <w:right w:w="120" w:type="dxa"/>
            </w:tcMar>
            <w:vAlign w:val="center"/>
          </w:tcPr>
          <w:p w14:paraId="519241B2" w14:textId="77777777">
            <w:pPr>
              <w:spacing w:after="0"/>
            </w:pPr>
            <w:r>
              <w:rPr>
                <w:rFonts w:eastAsia="Arial"/>
                <w:sz w:val="16"/>
              </w:rPr>
              <w:t>Vier Felder sichtbar, Defaults vorausgefüllt</w:t>
            </w:r>
          </w:p>
        </w:tc>
      </w:tr>
      <w:tr w14:paraId="4C9EA49F" w14:textId="77777777">
        <w:trPr>
          <w:cantSplit/>
        </w:trPr>
        <w:tc>
          <w:tcPr>
            <w:tcW w:w="1650" w:type="dxa"/>
            <w:shd w:val="clear" w:color="auto" w:fill="F6F7F5"/>
            <w:tcMar>
              <w:top w:w="75" w:type="dxa"/>
              <w:left w:w="120" w:type="dxa"/>
              <w:bottom w:w="75" w:type="dxa"/>
              <w:right w:w="120" w:type="dxa"/>
            </w:tcMar>
            <w:vAlign w:val="center"/>
          </w:tcPr>
          <w:p w14:paraId="5CE3EA01" w14:textId="77777777">
            <w:pPr>
              <w:spacing w:after="0"/>
            </w:pPr>
            <w:r>
              <w:rPr>
                <w:rFonts w:eastAsia="Arial"/>
                <w:sz w:val="16"/>
              </w:rPr>
              <w:t>B Automatisch gewählt</w:t>
            </w:r>
          </w:p>
        </w:tc>
        <w:tc>
          <w:tcPr>
            <w:tcW w:w="4550" w:type="dxa"/>
            <w:shd w:val="clear" w:color="auto" w:fill="F6F7F5"/>
            <w:tcMar>
              <w:top w:w="75" w:type="dxa"/>
              <w:left w:w="120" w:type="dxa"/>
              <w:bottom w:w="75" w:type="dxa"/>
              <w:right w:w="120" w:type="dxa"/>
            </w:tcMar>
            <w:vAlign w:val="center"/>
          </w:tcPr>
          <w:p w14:paraId="2E951FBA" w14:textId="77777777">
            <w:pPr>
              <w:spacing w:after="0"/>
            </w:pPr>
            <w:r>
              <w:rPr>
                <w:rFonts w:eastAsia="Arial"/>
                <w:sz w:val="16"/>
              </w:rPr>
              <w:t>Rechtsprofil, Ferien, Feiertagsgebiet, Datenstand</w:t>
            </w:r>
          </w:p>
        </w:tc>
        <w:tc>
          <w:tcPr>
            <w:tcW w:w="3440" w:type="dxa"/>
            <w:shd w:val="clear" w:color="auto" w:fill="F6F7F5"/>
            <w:tcMar>
              <w:top w:w="75" w:type="dxa"/>
              <w:left w:w="120" w:type="dxa"/>
              <w:bottom w:w="75" w:type="dxa"/>
              <w:right w:w="120" w:type="dxa"/>
            </w:tcMar>
            <w:vAlign w:val="center"/>
          </w:tcPr>
          <w:p w14:paraId="29EEE39C" w14:textId="77777777">
            <w:pPr>
              <w:spacing w:after="0"/>
            </w:pPr>
            <w:r>
              <w:rPr>
                <w:rFonts w:eastAsia="Arial"/>
                <w:sz w:val="16"/>
              </w:rPr>
              <w:t>Erklärbare Chips mit Quellenlink</w:t>
            </w:r>
          </w:p>
        </w:tc>
      </w:tr>
      <w:tr w14:paraId="4D211C0D" w14:textId="77777777">
        <w:trPr>
          <w:cantSplit/>
        </w:trPr>
        <w:tc>
          <w:tcPr>
            <w:tcW w:w="1650" w:type="dxa"/>
            <w:tcMar>
              <w:top w:w="75" w:type="dxa"/>
              <w:left w:w="120" w:type="dxa"/>
              <w:bottom w:w="75" w:type="dxa"/>
              <w:right w:w="120" w:type="dxa"/>
            </w:tcMar>
            <w:vAlign w:val="center"/>
          </w:tcPr>
          <w:p w14:paraId="7D1E5681" w14:textId="77777777">
            <w:pPr>
              <w:spacing w:after="0"/>
            </w:pPr>
            <w:r>
              <w:rPr>
                <w:rFonts w:eastAsia="Arial"/>
                <w:sz w:val="16"/>
              </w:rPr>
              <w:t>C Zusatzfragen</w:t>
            </w:r>
          </w:p>
        </w:tc>
        <w:tc>
          <w:tcPr>
            <w:tcW w:w="4550" w:type="dxa"/>
            <w:tcMar>
              <w:top w:w="75" w:type="dxa"/>
              <w:left w:w="120" w:type="dxa"/>
              <w:bottom w:w="75" w:type="dxa"/>
              <w:right w:w="120" w:type="dxa"/>
            </w:tcMar>
            <w:vAlign w:val="center"/>
          </w:tcPr>
          <w:p w14:paraId="0FE97E8A" w14:textId="77777777">
            <w:pPr>
              <w:spacing w:after="0"/>
            </w:pPr>
            <w:r>
              <w:rPr>
                <w:rFonts w:eastAsia="Arial"/>
                <w:sz w:val="16"/>
              </w:rPr>
              <w:t>Verfahrensart, Ort, Zustellart</w:t>
            </w:r>
          </w:p>
        </w:tc>
        <w:tc>
          <w:tcPr>
            <w:tcW w:w="3440" w:type="dxa"/>
            <w:tcMar>
              <w:top w:w="75" w:type="dxa"/>
              <w:left w:w="120" w:type="dxa"/>
              <w:bottom w:w="75" w:type="dxa"/>
              <w:right w:w="120" w:type="dxa"/>
            </w:tcMar>
            <w:vAlign w:val="center"/>
          </w:tcPr>
          <w:p w14:paraId="0BA8285D" w14:textId="77777777">
            <w:pPr>
              <w:spacing w:after="0"/>
            </w:pPr>
            <w:r>
              <w:rPr>
                <w:rFonts w:eastAsia="Arial"/>
                <w:sz w:val="16"/>
              </w:rPr>
              <w:t>Nur bei rechtlicher Relevanz eingeblendet</w:t>
            </w:r>
          </w:p>
        </w:tc>
      </w:tr>
      <w:tr w14:paraId="0125CD7F" w14:textId="77777777">
        <w:trPr>
          <w:cantSplit/>
        </w:trPr>
        <w:tc>
          <w:tcPr>
            <w:tcW w:w="1650" w:type="dxa"/>
            <w:shd w:val="clear" w:color="auto" w:fill="F6F7F5"/>
            <w:tcMar>
              <w:top w:w="75" w:type="dxa"/>
              <w:left w:w="120" w:type="dxa"/>
              <w:bottom w:w="75" w:type="dxa"/>
              <w:right w:w="120" w:type="dxa"/>
            </w:tcMar>
            <w:vAlign w:val="center"/>
          </w:tcPr>
          <w:p w14:paraId="0A3DF545" w14:textId="77777777">
            <w:pPr>
              <w:spacing w:after="0"/>
            </w:pPr>
            <w:r>
              <w:rPr>
                <w:rFonts w:eastAsia="Arial"/>
                <w:sz w:val="16"/>
              </w:rPr>
              <w:t>D Ergebnis</w:t>
            </w:r>
          </w:p>
        </w:tc>
        <w:tc>
          <w:tcPr>
            <w:tcW w:w="4550" w:type="dxa"/>
            <w:shd w:val="clear" w:color="auto" w:fill="F6F7F5"/>
            <w:tcMar>
              <w:top w:w="75" w:type="dxa"/>
              <w:left w:w="120" w:type="dxa"/>
              <w:bottom w:w="75" w:type="dxa"/>
              <w:right w:w="120" w:type="dxa"/>
            </w:tcMar>
            <w:vAlign w:val="center"/>
          </w:tcPr>
          <w:p w14:paraId="05F703AE" w14:textId="77777777">
            <w:pPr>
              <w:spacing w:after="0"/>
            </w:pPr>
            <w:r>
              <w:rPr>
                <w:rFonts w:eastAsia="Arial"/>
                <w:sz w:val="16"/>
              </w:rPr>
              <w:t>Fristbeginn, rechnerisches Ende, Verschiebung, endgültiges Ende</w:t>
            </w:r>
          </w:p>
        </w:tc>
        <w:tc>
          <w:tcPr>
            <w:tcW w:w="3440" w:type="dxa"/>
            <w:shd w:val="clear" w:color="auto" w:fill="F6F7F5"/>
            <w:tcMar>
              <w:top w:w="75" w:type="dxa"/>
              <w:left w:w="120" w:type="dxa"/>
              <w:bottom w:w="75" w:type="dxa"/>
              <w:right w:w="120" w:type="dxa"/>
            </w:tcMar>
            <w:vAlign w:val="center"/>
          </w:tcPr>
          <w:p w14:paraId="7054D2BF" w14:textId="77777777">
            <w:pPr>
              <w:spacing w:after="0"/>
            </w:pPr>
            <w:r>
              <w:rPr>
                <w:rFonts w:eastAsia="Arial"/>
                <w:sz w:val="16"/>
              </w:rPr>
              <w:t>Wichtigstes Datum klar hervorgehoben</w:t>
            </w:r>
          </w:p>
        </w:tc>
      </w:tr>
      <w:tr w14:paraId="43C184B7" w14:textId="77777777">
        <w:trPr>
          <w:cantSplit/>
        </w:trPr>
        <w:tc>
          <w:tcPr>
            <w:tcW w:w="1650" w:type="dxa"/>
            <w:tcMar>
              <w:top w:w="75" w:type="dxa"/>
              <w:left w:w="120" w:type="dxa"/>
              <w:bottom w:w="75" w:type="dxa"/>
              <w:right w:w="120" w:type="dxa"/>
            </w:tcMar>
            <w:vAlign w:val="center"/>
          </w:tcPr>
          <w:p w14:paraId="22492807" w14:textId="77777777">
            <w:pPr>
              <w:spacing w:after="0"/>
            </w:pPr>
            <w:r>
              <w:rPr>
                <w:rFonts w:eastAsia="Arial"/>
                <w:sz w:val="16"/>
              </w:rPr>
              <w:t>E Rechenspur</w:t>
            </w:r>
          </w:p>
        </w:tc>
        <w:tc>
          <w:tcPr>
            <w:tcW w:w="4550" w:type="dxa"/>
            <w:tcMar>
              <w:top w:w="75" w:type="dxa"/>
              <w:left w:w="120" w:type="dxa"/>
              <w:bottom w:w="75" w:type="dxa"/>
              <w:right w:w="120" w:type="dxa"/>
            </w:tcMar>
            <w:vAlign w:val="center"/>
          </w:tcPr>
          <w:p w14:paraId="6B91526F" w14:textId="77777777">
            <w:pPr>
              <w:spacing w:after="0"/>
            </w:pPr>
            <w:r>
              <w:rPr>
                <w:rFonts w:eastAsia="Arial"/>
                <w:sz w:val="16"/>
              </w:rPr>
              <w:t>Gezählte und ausgesetzte Tage, Feiertage, Overrides</w:t>
            </w:r>
          </w:p>
        </w:tc>
        <w:tc>
          <w:tcPr>
            <w:tcW w:w="3440" w:type="dxa"/>
            <w:tcMar>
              <w:top w:w="75" w:type="dxa"/>
              <w:left w:w="120" w:type="dxa"/>
              <w:bottom w:w="75" w:type="dxa"/>
              <w:right w:w="120" w:type="dxa"/>
            </w:tcMar>
            <w:vAlign w:val="center"/>
          </w:tcPr>
          <w:p w14:paraId="41145304" w14:textId="77777777">
            <w:pPr>
              <w:spacing w:after="0"/>
            </w:pPr>
            <w:r>
              <w:rPr>
                <w:rFonts w:eastAsia="Arial"/>
                <w:sz w:val="16"/>
              </w:rPr>
              <w:t>Aufklappbar und druckbar</w:t>
            </w:r>
          </w:p>
        </w:tc>
      </w:tr>
      <w:tr w14:paraId="5868089A" w14:textId="77777777">
        <w:trPr>
          <w:cantSplit/>
        </w:trPr>
        <w:tc>
          <w:tcPr>
            <w:tcW w:w="1650" w:type="dxa"/>
            <w:shd w:val="clear" w:color="auto" w:fill="F6F7F5"/>
            <w:tcMar>
              <w:top w:w="75" w:type="dxa"/>
              <w:left w:w="120" w:type="dxa"/>
              <w:bottom w:w="75" w:type="dxa"/>
              <w:right w:w="120" w:type="dxa"/>
            </w:tcMar>
            <w:vAlign w:val="center"/>
          </w:tcPr>
          <w:p w14:paraId="720D2629" w14:textId="77777777">
            <w:pPr>
              <w:spacing w:after="0"/>
            </w:pPr>
            <w:r>
              <w:rPr>
                <w:rFonts w:eastAsia="Arial"/>
                <w:sz w:val="16"/>
              </w:rPr>
              <w:t>F Hinweise</w:t>
            </w:r>
          </w:p>
        </w:tc>
        <w:tc>
          <w:tcPr>
            <w:tcW w:w="4550" w:type="dxa"/>
            <w:shd w:val="clear" w:color="auto" w:fill="F6F7F5"/>
            <w:tcMar>
              <w:top w:w="75" w:type="dxa"/>
              <w:left w:w="120" w:type="dxa"/>
              <w:bottom w:w="75" w:type="dxa"/>
              <w:right w:w="120" w:type="dxa"/>
            </w:tcMar>
            <w:vAlign w:val="center"/>
          </w:tcPr>
          <w:p w14:paraId="7D7DF03F" w14:textId="77777777">
            <w:pPr>
              <w:spacing w:after="0"/>
            </w:pPr>
            <w:r>
              <w:rPr>
                <w:rFonts w:eastAsia="Arial"/>
                <w:sz w:val="16"/>
              </w:rPr>
              <w:t>Geltungsumfang, Warnungen und Updatezustand</w:t>
            </w:r>
          </w:p>
        </w:tc>
        <w:tc>
          <w:tcPr>
            <w:tcW w:w="3440" w:type="dxa"/>
            <w:shd w:val="clear" w:color="auto" w:fill="F6F7F5"/>
            <w:tcMar>
              <w:top w:w="75" w:type="dxa"/>
              <w:left w:w="120" w:type="dxa"/>
              <w:bottom w:w="75" w:type="dxa"/>
              <w:right w:w="120" w:type="dxa"/>
            </w:tcMar>
            <w:vAlign w:val="center"/>
          </w:tcPr>
          <w:p w14:paraId="63769CBE" w14:textId="77777777">
            <w:pPr>
              <w:spacing w:after="0"/>
            </w:pPr>
            <w:r>
              <w:rPr>
                <w:rFonts w:eastAsia="Arial"/>
                <w:sz w:val="16"/>
              </w:rPr>
              <w:t>Nie als verdeckter Tooltip</w:t>
            </w:r>
          </w:p>
        </w:tc>
      </w:tr>
    </w:tbl>
    <w:p w14:paraId="2A1EE525" w14:textId="77777777">
      <w:pPr>
        <w:spacing w:after="20"/>
      </w:pPr>
    </w:p>
    <w:p w14:paraId="7E49972D" w14:textId="77777777">
      <w:pPr>
        <w:pStyle w:val="berschrift2"/>
      </w:pPr>
      <w:r>
        <w:t>5.2 Beispielhafte Ergebnisdarstellung</w:t>
      </w:r>
    </w:p>
    <w:tbl>
      <w:tblPr>
        <w:tblW w:w="9520" w:type="dxa"/>
        <w:tblInd w:w="180" w:type="dxa"/>
        <w:tblLayout w:type="fixed"/>
        <w:tblLook w:val="04A0" w:firstRow="1" w:lastRow="0" w:firstColumn="1" w:lastColumn="0" w:noHBand="0" w:noVBand="1"/>
      </w:tblPr>
      <w:tblGrid>
        <w:gridCol w:w="9520"/>
      </w:tblGrid>
      <w:tr w14:paraId="0493AA19" w14:textId="77777777">
        <w:tc>
          <w:tcPr>
            <w:tcW w:w="9520" w:type="dxa"/>
            <w:tcBorders>
              <w:left w:val="single" w:sz="18" w:space="0" w:color="C46A3A"/>
            </w:tcBorders>
            <w:shd w:val="clear" w:color="auto" w:fill="E7EEEE"/>
            <w:tcMar>
              <w:top w:w="130" w:type="dxa"/>
              <w:left w:w="180" w:type="dxa"/>
              <w:bottom w:w="130" w:type="dxa"/>
              <w:right w:w="160" w:type="dxa"/>
            </w:tcMar>
          </w:tcPr>
          <w:p w14:paraId="68399846" w14:textId="77777777">
            <w:pPr>
              <w:spacing w:after="0"/>
            </w:pPr>
            <w:r>
              <w:rPr>
                <w:rFonts w:eastAsia="Arial"/>
                <w:b/>
                <w:color w:val="122C40"/>
              </w:rPr>
              <w:t xml:space="preserve">Fristende  </w:t>
            </w:r>
            <w:r>
              <w:rPr>
                <w:rFonts w:eastAsia="Arial"/>
              </w:rPr>
              <w:t>Montag, 12. Oktober 2026. Rechnerisches Ende: Samstag, 10. Oktober 2026. Verschiebung um zwei Tage, weil das rechnerische Ende auf einen Samstag fiel.</w:t>
            </w:r>
          </w:p>
        </w:tc>
      </w:tr>
    </w:tbl>
    <w:p w14:paraId="2FF12D71" w14:textId="77777777">
      <w:pPr>
        <w:spacing w:after="20"/>
      </w:pPr>
    </w:p>
    <w:p w14:paraId="52690FE8" w14:textId="77777777">
      <w:pPr>
        <w:pStyle w:val="Aufzhlungszeichen"/>
      </w:pPr>
      <w:r>
        <w:t>Fristbeginn: Dienstag, 22. September 2026</w:t>
      </w:r>
    </w:p>
    <w:p w14:paraId="2394188A" w14:textId="77777777">
      <w:pPr>
        <w:pStyle w:val="Aufzhlungszeichen"/>
      </w:pPr>
      <w:r>
        <w:t>Angewandt: StPO, keine Gerichtsferien</w:t>
      </w:r>
    </w:p>
    <w:p w14:paraId="037E3722" w14:textId="77777777">
      <w:pPr>
        <w:pStyle w:val="Aufzhlungszeichen"/>
      </w:pPr>
      <w:r>
        <w:t>Feiertagsgebiet: Kanton Bern, automatisch aus Sitz der Vertretung</w:t>
      </w:r>
    </w:p>
    <w:p w14:paraId="1C15D464" w14:textId="77777777">
      <w:pPr>
        <w:pStyle w:val="Aufzhlungszeichen"/>
      </w:pPr>
      <w:r>
        <w:t>Regelsatz: CH-PROC-2026.11, fachlich freigegeben am 14. November 2026</w:t>
      </w:r>
    </w:p>
    <w:p w14:paraId="0C81CD48" w14:textId="77777777">
      <w:pPr>
        <w:pStyle w:val="Aufzhlungszeichen"/>
      </w:pPr>
      <w:r>
        <w:t>Übersteuerungen: keine</w:t>
      </w:r>
    </w:p>
    <w:p w14:paraId="6AAD0B89" w14:textId="77777777">
      <w:pPr>
        <w:pStyle w:val="berschrift2"/>
      </w:pPr>
      <w:r>
        <w:t>5.3 Persönliche Defaults</w:t>
      </w:r>
    </w:p>
    <w:p w14:paraId="0BA07272" w14:textId="77777777">
      <w:r>
        <w:t>Im ersten Release werden Verfahrensrecht, Gemeinwesen, Feiertagsort und Standardfrist ausschliesslich lokal im Browser gespeichert. Das braucht keine zusätzliche Berechtigung und speichert keine Falldaten. Eine Synchronisierung zwischen Geräten oder Browserprofilen bleibt ausserhalb des ersten Releases.</w:t>
      </w:r>
    </w:p>
    <w:p w14:paraId="25533391" w14:textId="77777777">
      <w:pPr>
        <w:pStyle w:val="berschrift2"/>
      </w:pPr>
      <w:r>
        <w:t>5.4 Barrierefreiheit</w:t>
      </w:r>
    </w:p>
    <w:p w14:paraId="03EE0557" w14:textId="77777777">
      <w:r>
        <w:t>eCH-0059 Version 3.0 stützt sich auf WCAG 2.1. Konformität AA wird als Abnahmekriterium übernommen. Dazu gehören Tastaturbedienung, sichtbarer Fokus, verbundene Labels und Fehlermeldungen, ausreichende Kontraste, Screenreader-taugliche Statusmeldungen und keine reine Farbcodierung. Quelle: [Q15].</w:t>
      </w:r>
    </w:p>
    <w:tbl>
      <w:tblPr>
        <w:tblW w:w="9520" w:type="dxa"/>
        <w:tblInd w:w="180" w:type="dxa"/>
        <w:tblLayout w:type="fixed"/>
        <w:tblLook w:val="04A0" w:firstRow="1" w:lastRow="0" w:firstColumn="1" w:lastColumn="0" w:noHBand="0" w:noVBand="1"/>
      </w:tblPr>
      <w:tblGrid>
        <w:gridCol w:w="9520"/>
      </w:tblGrid>
      <w:tr w14:paraId="502A2BE1" w14:textId="77777777">
        <w:tc>
          <w:tcPr>
            <w:tcW w:w="9520" w:type="dxa"/>
            <w:tcBorders>
              <w:left w:val="single" w:sz="18" w:space="0" w:color="2F6F73"/>
            </w:tcBorders>
            <w:shd w:val="clear" w:color="auto" w:fill="E7EEEE"/>
            <w:tcMar>
              <w:top w:w="130" w:type="dxa"/>
              <w:left w:w="180" w:type="dxa"/>
              <w:bottom w:w="130" w:type="dxa"/>
              <w:right w:w="160" w:type="dxa"/>
            </w:tcMar>
          </w:tcPr>
          <w:p w14:paraId="5D4F8EE7" w14:textId="77777777">
            <w:pPr>
              <w:spacing w:after="0"/>
            </w:pPr>
            <w:r>
              <w:rPr>
                <w:rFonts w:eastAsia="Arial"/>
                <w:b/>
                <w:color w:val="122C40"/>
              </w:rPr>
              <w:t xml:space="preserve">eCH-Abweichung  </w:t>
            </w:r>
            <w:r>
              <w:rPr>
                <w:rFonts w:eastAsia="Arial"/>
              </w:rPr>
              <w:t>eCH-0059 wird als verbindliches Qualitätsziel übernommen. Die rechtliche Verbindlichkeit kann je einsetzendem Gemeinwesen unterschiedlich sein.</w:t>
            </w:r>
          </w:p>
        </w:tc>
      </w:tr>
    </w:tbl>
    <w:p w14:paraId="7CE22928" w14:textId="77777777">
      <w:pPr>
        <w:spacing w:after="20"/>
      </w:pPr>
    </w:p>
    <w:p w14:paraId="0B51DC3F" w14:textId="77777777">
      <w:pPr>
        <w:spacing w:after="0"/>
      </w:pPr>
      <w:r>
        <w:br w:type="page"/>
      </w:r>
    </w:p>
    <w:p w14:paraId="5E7B01FA" w14:textId="77777777">
      <w:pPr>
        <w:pStyle w:val="berschrift2"/>
      </w:pPr>
      <w:r>
        <w:lastRenderedPageBreak/>
        <w:t>5.5 Sprachen</w:t>
      </w:r>
    </w:p>
    <w:p w14:paraId="3007AA4A" w14:textId="77777777">
      <w:r>
        <w:t>Release 1.0 wird vollständig auf Deutsch und Französisch bereitgestellt. UI, Hilfetexte und Rechenspur liegen in externen Sprachkatalogen. Die M365-Spracheinstellung ist der Default, eine Übersteuerung bleibt möglich. Rechtlich relevante Texte werden je Sprache fachlich geprüft. Weitere Sprachen sind vorbereitet, aber nicht Teil des ersten Releases.</w:t>
      </w:r>
    </w:p>
    <w:p w14:paraId="311CA3E3" w14:textId="77777777">
      <w:pPr>
        <w:spacing w:after="0"/>
      </w:pPr>
      <w:r>
        <w:br w:type="page"/>
      </w:r>
    </w:p>
    <w:p w14:paraId="32C80E7D" w14:textId="77777777">
      <w:pPr>
        <w:pStyle w:val="berschrift1"/>
      </w:pPr>
      <w:r>
        <w:lastRenderedPageBreak/>
        <w:t>6 Daten und jährliche Aktualisierung</w:t>
      </w:r>
    </w:p>
    <w:p w14:paraId="3FE08EC7" w14:textId="77777777">
      <w:pPr>
        <w:pStyle w:val="berschrift2"/>
      </w:pPr>
      <w:r>
        <w:t>6.1 Datenmodell</w:t>
      </w:r>
    </w:p>
    <w:tbl>
      <w:tblPr>
        <w:tblStyle w:val="Tabellenraster"/>
        <w:tblW w:w="9640" w:type="dxa"/>
        <w:tblInd w:w="120" w:type="dxa"/>
        <w:tblLayout w:type="fixed"/>
        <w:tblLook w:val="04A0" w:firstRow="1" w:lastRow="0" w:firstColumn="1" w:lastColumn="0" w:noHBand="0" w:noVBand="1"/>
      </w:tblPr>
      <w:tblGrid>
        <w:gridCol w:w="1850"/>
        <w:gridCol w:w="4700"/>
        <w:gridCol w:w="3090"/>
      </w:tblGrid>
      <w:tr w14:paraId="5CE72DBA" w14:textId="77777777">
        <w:trPr>
          <w:cantSplit/>
          <w:tblHeader/>
        </w:trPr>
        <w:tc>
          <w:tcPr>
            <w:tcW w:w="1850" w:type="dxa"/>
            <w:shd w:val="clear" w:color="auto" w:fill="122C40"/>
            <w:tcMar>
              <w:top w:w="90" w:type="dxa"/>
              <w:left w:w="120" w:type="dxa"/>
              <w:bottom w:w="90" w:type="dxa"/>
              <w:right w:w="120" w:type="dxa"/>
            </w:tcMar>
            <w:vAlign w:val="center"/>
          </w:tcPr>
          <w:p w14:paraId="24D23911" w14:textId="77777777">
            <w:pPr>
              <w:spacing w:after="0"/>
            </w:pPr>
            <w:r>
              <w:rPr>
                <w:rFonts w:eastAsia="Arial"/>
                <w:b/>
                <w:color w:val="FFFFFF"/>
                <w:sz w:val="17"/>
              </w:rPr>
              <w:t>Entität</w:t>
            </w:r>
          </w:p>
        </w:tc>
        <w:tc>
          <w:tcPr>
            <w:tcW w:w="4700" w:type="dxa"/>
            <w:shd w:val="clear" w:color="auto" w:fill="122C40"/>
            <w:tcMar>
              <w:top w:w="90" w:type="dxa"/>
              <w:left w:w="120" w:type="dxa"/>
              <w:bottom w:w="90" w:type="dxa"/>
              <w:right w:w="120" w:type="dxa"/>
            </w:tcMar>
            <w:vAlign w:val="center"/>
          </w:tcPr>
          <w:p w14:paraId="2FE413AC" w14:textId="77777777">
            <w:pPr>
              <w:spacing w:after="0"/>
            </w:pPr>
            <w:r>
              <w:rPr>
                <w:rFonts w:eastAsia="Arial"/>
                <w:b/>
                <w:color w:val="FFFFFF"/>
                <w:sz w:val="17"/>
              </w:rPr>
              <w:t>Wesentliche Felder</w:t>
            </w:r>
          </w:p>
        </w:tc>
        <w:tc>
          <w:tcPr>
            <w:tcW w:w="3090" w:type="dxa"/>
            <w:shd w:val="clear" w:color="auto" w:fill="122C40"/>
            <w:tcMar>
              <w:top w:w="90" w:type="dxa"/>
              <w:left w:w="120" w:type="dxa"/>
              <w:bottom w:w="90" w:type="dxa"/>
              <w:right w:w="120" w:type="dxa"/>
            </w:tcMar>
            <w:vAlign w:val="center"/>
          </w:tcPr>
          <w:p w14:paraId="5BD386CC" w14:textId="77777777">
            <w:pPr>
              <w:spacing w:after="0"/>
            </w:pPr>
            <w:r>
              <w:rPr>
                <w:rFonts w:eastAsia="Arial"/>
                <w:b/>
                <w:color w:val="FFFFFF"/>
                <w:sz w:val="17"/>
              </w:rPr>
              <w:t>Zweck</w:t>
            </w:r>
          </w:p>
        </w:tc>
      </w:tr>
      <w:tr w14:paraId="4A2F5C80" w14:textId="77777777">
        <w:trPr>
          <w:cantSplit/>
        </w:trPr>
        <w:tc>
          <w:tcPr>
            <w:tcW w:w="1850" w:type="dxa"/>
            <w:tcMar>
              <w:top w:w="75" w:type="dxa"/>
              <w:left w:w="120" w:type="dxa"/>
              <w:bottom w:w="75" w:type="dxa"/>
              <w:right w:w="120" w:type="dxa"/>
            </w:tcMar>
            <w:vAlign w:val="center"/>
          </w:tcPr>
          <w:p w14:paraId="2BD22ECF" w14:textId="77777777">
            <w:pPr>
              <w:spacing w:after="0"/>
            </w:pPr>
            <w:r>
              <w:rPr>
                <w:rFonts w:eastAsia="Arial"/>
                <w:sz w:val="16"/>
              </w:rPr>
              <w:t>LegalProfile</w:t>
            </w:r>
          </w:p>
        </w:tc>
        <w:tc>
          <w:tcPr>
            <w:tcW w:w="4700" w:type="dxa"/>
            <w:tcMar>
              <w:top w:w="75" w:type="dxa"/>
              <w:left w:w="120" w:type="dxa"/>
              <w:bottom w:w="75" w:type="dxa"/>
              <w:right w:w="120" w:type="dxa"/>
            </w:tcMar>
            <w:vAlign w:val="center"/>
          </w:tcPr>
          <w:p w14:paraId="395A86CD" w14:textId="77777777">
            <w:pPr>
              <w:spacing w:after="0"/>
            </w:pPr>
            <w:r>
              <w:rPr>
                <w:rFonts w:eastAsia="Arial"/>
                <w:sz w:val="16"/>
              </w:rPr>
              <w:t>ID, Erlass, Artikel, gültig ab/bis, Priorität</w:t>
            </w:r>
          </w:p>
        </w:tc>
        <w:tc>
          <w:tcPr>
            <w:tcW w:w="3090" w:type="dxa"/>
            <w:tcMar>
              <w:top w:w="75" w:type="dxa"/>
              <w:left w:w="120" w:type="dxa"/>
              <w:bottom w:w="75" w:type="dxa"/>
              <w:right w:w="120" w:type="dxa"/>
            </w:tcMar>
            <w:vAlign w:val="center"/>
          </w:tcPr>
          <w:p w14:paraId="60F24AE0" w14:textId="77777777">
            <w:pPr>
              <w:spacing w:after="0"/>
            </w:pPr>
            <w:r>
              <w:rPr>
                <w:rFonts w:eastAsia="Arial"/>
                <w:sz w:val="16"/>
              </w:rPr>
              <w:t>Rechtsregeln zeitlich versionieren</w:t>
            </w:r>
          </w:p>
        </w:tc>
      </w:tr>
      <w:tr w14:paraId="6B8F18DF" w14:textId="77777777">
        <w:trPr>
          <w:cantSplit/>
        </w:trPr>
        <w:tc>
          <w:tcPr>
            <w:tcW w:w="1850" w:type="dxa"/>
            <w:shd w:val="clear" w:color="auto" w:fill="F6F7F5"/>
            <w:tcMar>
              <w:top w:w="75" w:type="dxa"/>
              <w:left w:w="120" w:type="dxa"/>
              <w:bottom w:w="75" w:type="dxa"/>
              <w:right w:w="120" w:type="dxa"/>
            </w:tcMar>
            <w:vAlign w:val="center"/>
          </w:tcPr>
          <w:p w14:paraId="15FC6E46" w14:textId="77777777">
            <w:pPr>
              <w:spacing w:after="0"/>
            </w:pPr>
            <w:r>
              <w:rPr>
                <w:rFonts w:eastAsia="Arial"/>
                <w:sz w:val="16"/>
              </w:rPr>
              <w:t>ProcedureException</w:t>
            </w:r>
          </w:p>
        </w:tc>
        <w:tc>
          <w:tcPr>
            <w:tcW w:w="4700" w:type="dxa"/>
            <w:shd w:val="clear" w:color="auto" w:fill="F6F7F5"/>
            <w:tcMar>
              <w:top w:w="75" w:type="dxa"/>
              <w:left w:w="120" w:type="dxa"/>
              <w:bottom w:w="75" w:type="dxa"/>
              <w:right w:w="120" w:type="dxa"/>
            </w:tcMar>
            <w:vAlign w:val="center"/>
          </w:tcPr>
          <w:p w14:paraId="101F29C2" w14:textId="77777777">
            <w:pPr>
              <w:spacing w:after="0"/>
            </w:pPr>
            <w:r>
              <w:rPr>
                <w:rFonts w:eastAsia="Arial"/>
                <w:sz w:val="16"/>
              </w:rPr>
              <w:t>Profil, Verfahrensart, Stillstand ja/nein, Quelle</w:t>
            </w:r>
          </w:p>
        </w:tc>
        <w:tc>
          <w:tcPr>
            <w:tcW w:w="3090" w:type="dxa"/>
            <w:shd w:val="clear" w:color="auto" w:fill="F6F7F5"/>
            <w:tcMar>
              <w:top w:w="75" w:type="dxa"/>
              <w:left w:w="120" w:type="dxa"/>
              <w:bottom w:w="75" w:type="dxa"/>
              <w:right w:w="120" w:type="dxa"/>
            </w:tcMar>
            <w:vAlign w:val="center"/>
          </w:tcPr>
          <w:p w14:paraId="16919F0B" w14:textId="77777777">
            <w:pPr>
              <w:spacing w:after="0"/>
            </w:pPr>
            <w:r>
              <w:rPr>
                <w:rFonts w:eastAsia="Arial"/>
                <w:sz w:val="16"/>
              </w:rPr>
              <w:t>Ausnahmen explizit abbilden</w:t>
            </w:r>
          </w:p>
        </w:tc>
      </w:tr>
      <w:tr w14:paraId="6A19BAA4" w14:textId="77777777">
        <w:trPr>
          <w:cantSplit/>
        </w:trPr>
        <w:tc>
          <w:tcPr>
            <w:tcW w:w="1850" w:type="dxa"/>
            <w:tcMar>
              <w:top w:w="75" w:type="dxa"/>
              <w:left w:w="120" w:type="dxa"/>
              <w:bottom w:w="75" w:type="dxa"/>
              <w:right w:w="120" w:type="dxa"/>
            </w:tcMar>
            <w:vAlign w:val="center"/>
          </w:tcPr>
          <w:p w14:paraId="6BBA25D6" w14:textId="77777777">
            <w:pPr>
              <w:spacing w:after="0"/>
            </w:pPr>
            <w:r>
              <w:rPr>
                <w:rFonts w:eastAsia="Arial"/>
                <w:sz w:val="16"/>
              </w:rPr>
              <w:t>HolidayRule</w:t>
            </w:r>
          </w:p>
        </w:tc>
        <w:tc>
          <w:tcPr>
            <w:tcW w:w="4700" w:type="dxa"/>
            <w:tcMar>
              <w:top w:w="75" w:type="dxa"/>
              <w:left w:w="120" w:type="dxa"/>
              <w:bottom w:w="75" w:type="dxa"/>
              <w:right w:w="120" w:type="dxa"/>
            </w:tcMar>
            <w:vAlign w:val="center"/>
          </w:tcPr>
          <w:p w14:paraId="5F4A6220" w14:textId="77777777">
            <w:pPr>
              <w:spacing w:after="0"/>
            </w:pPr>
            <w:r>
              <w:rPr>
                <w:rFonts w:eastAsia="Arial"/>
                <w:sz w:val="16"/>
              </w:rPr>
              <w:t>Gebiet, Name, Datumsregel, Status, Quelle</w:t>
            </w:r>
          </w:p>
        </w:tc>
        <w:tc>
          <w:tcPr>
            <w:tcW w:w="3090" w:type="dxa"/>
            <w:tcMar>
              <w:top w:w="75" w:type="dxa"/>
              <w:left w:w="120" w:type="dxa"/>
              <w:bottom w:w="75" w:type="dxa"/>
              <w:right w:w="120" w:type="dxa"/>
            </w:tcMar>
            <w:vAlign w:val="center"/>
          </w:tcPr>
          <w:p w14:paraId="43A3484E" w14:textId="77777777">
            <w:pPr>
              <w:spacing w:after="0"/>
            </w:pPr>
            <w:r>
              <w:rPr>
                <w:rFonts w:eastAsia="Arial"/>
                <w:sz w:val="16"/>
              </w:rPr>
              <w:t>Wiederkehrende Feiertage berechnen</w:t>
            </w:r>
          </w:p>
        </w:tc>
      </w:tr>
      <w:tr w14:paraId="171DF123" w14:textId="77777777">
        <w:trPr>
          <w:cantSplit/>
        </w:trPr>
        <w:tc>
          <w:tcPr>
            <w:tcW w:w="1850" w:type="dxa"/>
            <w:shd w:val="clear" w:color="auto" w:fill="F6F7F5"/>
            <w:tcMar>
              <w:top w:w="75" w:type="dxa"/>
              <w:left w:w="120" w:type="dxa"/>
              <w:bottom w:w="75" w:type="dxa"/>
              <w:right w:w="120" w:type="dxa"/>
            </w:tcMar>
            <w:vAlign w:val="center"/>
          </w:tcPr>
          <w:p w14:paraId="781A0B67" w14:textId="77777777">
            <w:pPr>
              <w:spacing w:after="0"/>
            </w:pPr>
            <w:r>
              <w:rPr>
                <w:rFonts w:eastAsia="Arial"/>
                <w:sz w:val="16"/>
              </w:rPr>
              <w:t>HolidayDate</w:t>
            </w:r>
          </w:p>
        </w:tc>
        <w:tc>
          <w:tcPr>
            <w:tcW w:w="4700" w:type="dxa"/>
            <w:shd w:val="clear" w:color="auto" w:fill="F6F7F5"/>
            <w:tcMar>
              <w:top w:w="75" w:type="dxa"/>
              <w:left w:w="120" w:type="dxa"/>
              <w:bottom w:w="75" w:type="dxa"/>
              <w:right w:w="120" w:type="dxa"/>
            </w:tcMar>
            <w:vAlign w:val="center"/>
          </w:tcPr>
          <w:p w14:paraId="1A3468DA" w14:textId="77777777">
            <w:pPr>
              <w:spacing w:after="0"/>
            </w:pPr>
            <w:r>
              <w:rPr>
                <w:rFonts w:eastAsia="Arial"/>
                <w:sz w:val="16"/>
              </w:rPr>
              <w:t>ISO-Datum, Gebiet, Bezeichnung, Release</w:t>
            </w:r>
          </w:p>
        </w:tc>
        <w:tc>
          <w:tcPr>
            <w:tcW w:w="3090" w:type="dxa"/>
            <w:shd w:val="clear" w:color="auto" w:fill="F6F7F5"/>
            <w:tcMar>
              <w:top w:w="75" w:type="dxa"/>
              <w:left w:w="120" w:type="dxa"/>
              <w:bottom w:w="75" w:type="dxa"/>
              <w:right w:w="120" w:type="dxa"/>
            </w:tcMar>
            <w:vAlign w:val="center"/>
          </w:tcPr>
          <w:p w14:paraId="67A74564" w14:textId="77777777">
            <w:pPr>
              <w:spacing w:after="0"/>
            </w:pPr>
            <w:r>
              <w:rPr>
                <w:rFonts w:eastAsia="Arial"/>
                <w:sz w:val="16"/>
              </w:rPr>
              <w:t>Konkrete Daten für Prüfung und Anzeige</w:t>
            </w:r>
          </w:p>
        </w:tc>
      </w:tr>
      <w:tr w14:paraId="7C3039E0" w14:textId="77777777">
        <w:trPr>
          <w:cantSplit/>
        </w:trPr>
        <w:tc>
          <w:tcPr>
            <w:tcW w:w="1850" w:type="dxa"/>
            <w:tcMar>
              <w:top w:w="75" w:type="dxa"/>
              <w:left w:w="120" w:type="dxa"/>
              <w:bottom w:w="75" w:type="dxa"/>
              <w:right w:w="120" w:type="dxa"/>
            </w:tcMar>
            <w:vAlign w:val="center"/>
          </w:tcPr>
          <w:p w14:paraId="72B87D17" w14:textId="77777777">
            <w:pPr>
              <w:spacing w:after="0"/>
            </w:pPr>
            <w:r>
              <w:rPr>
                <w:rFonts w:eastAsia="Arial"/>
                <w:sz w:val="16"/>
              </w:rPr>
              <w:t>SuspensionPeriod</w:t>
            </w:r>
          </w:p>
        </w:tc>
        <w:tc>
          <w:tcPr>
            <w:tcW w:w="4700" w:type="dxa"/>
            <w:tcMar>
              <w:top w:w="75" w:type="dxa"/>
              <w:left w:w="120" w:type="dxa"/>
              <w:bottom w:w="75" w:type="dxa"/>
              <w:right w:w="120" w:type="dxa"/>
            </w:tcMar>
            <w:vAlign w:val="center"/>
          </w:tcPr>
          <w:p w14:paraId="2AA3D018" w14:textId="77777777">
            <w:pPr>
              <w:spacing w:after="0"/>
            </w:pPr>
            <w:r>
              <w:rPr>
                <w:rFonts w:eastAsia="Arial"/>
                <w:sz w:val="16"/>
              </w:rPr>
              <w:t>Startregel, Endregel, Ausnahmeprofil</w:t>
            </w:r>
          </w:p>
        </w:tc>
        <w:tc>
          <w:tcPr>
            <w:tcW w:w="3090" w:type="dxa"/>
            <w:tcMar>
              <w:top w:w="75" w:type="dxa"/>
              <w:left w:w="120" w:type="dxa"/>
              <w:bottom w:w="75" w:type="dxa"/>
              <w:right w:w="120" w:type="dxa"/>
            </w:tcMar>
            <w:vAlign w:val="center"/>
          </w:tcPr>
          <w:p w14:paraId="69730268" w14:textId="77777777">
            <w:pPr>
              <w:spacing w:after="0"/>
            </w:pPr>
            <w:r>
              <w:rPr>
                <w:rFonts w:eastAsia="Arial"/>
                <w:sz w:val="16"/>
              </w:rPr>
              <w:t>Gerichtsferien berechnen</w:t>
            </w:r>
          </w:p>
        </w:tc>
      </w:tr>
      <w:tr w14:paraId="5C623B78" w14:textId="77777777">
        <w:trPr>
          <w:cantSplit/>
        </w:trPr>
        <w:tc>
          <w:tcPr>
            <w:tcW w:w="1850" w:type="dxa"/>
            <w:shd w:val="clear" w:color="auto" w:fill="F6F7F5"/>
            <w:tcMar>
              <w:top w:w="75" w:type="dxa"/>
              <w:left w:w="120" w:type="dxa"/>
              <w:bottom w:w="75" w:type="dxa"/>
              <w:right w:w="120" w:type="dxa"/>
            </w:tcMar>
            <w:vAlign w:val="center"/>
          </w:tcPr>
          <w:p w14:paraId="61294E5E" w14:textId="77777777">
            <w:pPr>
              <w:spacing w:after="0"/>
            </w:pPr>
            <w:r>
              <w:rPr>
                <w:rFonts w:eastAsia="Arial"/>
                <w:sz w:val="16"/>
              </w:rPr>
              <w:t>DataRelease</w:t>
            </w:r>
          </w:p>
        </w:tc>
        <w:tc>
          <w:tcPr>
            <w:tcW w:w="4700" w:type="dxa"/>
            <w:shd w:val="clear" w:color="auto" w:fill="F6F7F5"/>
            <w:tcMar>
              <w:top w:w="75" w:type="dxa"/>
              <w:left w:w="120" w:type="dxa"/>
              <w:bottom w:w="75" w:type="dxa"/>
              <w:right w:w="120" w:type="dxa"/>
            </w:tcMar>
            <w:vAlign w:val="center"/>
          </w:tcPr>
          <w:p w14:paraId="08B06011" w14:textId="77777777">
            <w:pPr>
              <w:spacing w:after="0"/>
            </w:pPr>
            <w:r>
              <w:rPr>
                <w:rFonts w:eastAsia="Arial"/>
                <w:sz w:val="16"/>
              </w:rPr>
              <w:t>Version, erstellt, geprüft, Signatur, Abdeckung</w:t>
            </w:r>
          </w:p>
        </w:tc>
        <w:tc>
          <w:tcPr>
            <w:tcW w:w="3090" w:type="dxa"/>
            <w:shd w:val="clear" w:color="auto" w:fill="F6F7F5"/>
            <w:tcMar>
              <w:top w:w="75" w:type="dxa"/>
              <w:left w:w="120" w:type="dxa"/>
              <w:bottom w:w="75" w:type="dxa"/>
              <w:right w:w="120" w:type="dxa"/>
            </w:tcMar>
            <w:vAlign w:val="center"/>
          </w:tcPr>
          <w:p w14:paraId="71621F93" w14:textId="77777777">
            <w:pPr>
              <w:spacing w:after="0"/>
            </w:pPr>
            <w:r>
              <w:rPr>
                <w:rFonts w:eastAsia="Arial"/>
                <w:sz w:val="16"/>
              </w:rPr>
              <w:t>Nachvollziehbaren Datenstand liefern</w:t>
            </w:r>
          </w:p>
        </w:tc>
      </w:tr>
      <w:tr w14:paraId="09D9F3E9" w14:textId="77777777">
        <w:trPr>
          <w:cantSplit/>
        </w:trPr>
        <w:tc>
          <w:tcPr>
            <w:tcW w:w="1850" w:type="dxa"/>
            <w:tcMar>
              <w:top w:w="75" w:type="dxa"/>
              <w:left w:w="120" w:type="dxa"/>
              <w:bottom w:w="75" w:type="dxa"/>
              <w:right w:w="120" w:type="dxa"/>
            </w:tcMar>
            <w:vAlign w:val="center"/>
          </w:tcPr>
          <w:p w14:paraId="3F90482E" w14:textId="77777777">
            <w:pPr>
              <w:spacing w:after="0"/>
            </w:pPr>
            <w:r>
              <w:rPr>
                <w:rFonts w:eastAsia="Arial"/>
                <w:sz w:val="16"/>
              </w:rPr>
              <w:t>CalculationTrace</w:t>
            </w:r>
          </w:p>
        </w:tc>
        <w:tc>
          <w:tcPr>
            <w:tcW w:w="4700" w:type="dxa"/>
            <w:tcMar>
              <w:top w:w="75" w:type="dxa"/>
              <w:left w:w="120" w:type="dxa"/>
              <w:bottom w:w="75" w:type="dxa"/>
              <w:right w:w="120" w:type="dxa"/>
            </w:tcMar>
            <w:vAlign w:val="center"/>
          </w:tcPr>
          <w:p w14:paraId="1D2DE188" w14:textId="77777777">
            <w:pPr>
              <w:spacing w:after="0"/>
            </w:pPr>
            <w:r>
              <w:rPr>
                <w:rFonts w:eastAsia="Arial"/>
                <w:sz w:val="16"/>
              </w:rPr>
              <w:t>Eingaben, Regeln, Zwischenschritte, Ergebnis</w:t>
            </w:r>
          </w:p>
        </w:tc>
        <w:tc>
          <w:tcPr>
            <w:tcW w:w="3090" w:type="dxa"/>
            <w:tcMar>
              <w:top w:w="75" w:type="dxa"/>
              <w:left w:w="120" w:type="dxa"/>
              <w:bottom w:w="75" w:type="dxa"/>
              <w:right w:w="120" w:type="dxa"/>
            </w:tcMar>
            <w:vAlign w:val="center"/>
          </w:tcPr>
          <w:p w14:paraId="0431E990" w14:textId="77777777">
            <w:pPr>
              <w:spacing w:after="0"/>
            </w:pPr>
            <w:r>
              <w:rPr>
                <w:rFonts w:eastAsia="Arial"/>
                <w:sz w:val="16"/>
              </w:rPr>
              <w:t>Reproduzierbarkeit und Export</w:t>
            </w:r>
          </w:p>
        </w:tc>
      </w:tr>
    </w:tbl>
    <w:p w14:paraId="096EE6C6" w14:textId="77777777">
      <w:pPr>
        <w:spacing w:after="20"/>
      </w:pPr>
    </w:p>
    <w:p w14:paraId="7E97E516" w14:textId="77777777">
      <w:pPr>
        <w:pStyle w:val="berschrift2"/>
      </w:pPr>
      <w:r>
        <w:t>6.2 Feiertage</w:t>
      </w:r>
    </w:p>
    <w:p w14:paraId="243C6ECF" w14:textId="77777777">
      <w:r>
        <w:t>Der 1. August ist der einzige eidgenössische Feiertag. Die übrigen anerkannten Feiertage beruhen auf kantonalem und teilweise regionalem Recht. Das Bundesamt für Justiz stellt ein Verzeichnis bereit, weist aber selbst darauf hin, dass die konsolidierte Liste den Stand 1. Januar 2011 abbildet und nicht die kantonalen Rechtsgrundlagen ersetzt. Für eine verlässliche App braucht es deshalb pro Gebiet eine dokumentierte Primärquelle und eine Gültigkeitsperiode. Quellen: [Q6] und [Q7].</w:t>
      </w:r>
    </w:p>
    <w:p w14:paraId="3D73D1BE" w14:textId="77777777">
      <w:pPr>
        <w:pStyle w:val="Aufzhlungszeichen"/>
      </w:pPr>
      <w:r>
        <w:t>Feste Feiertage werden über Monat und Tag beschrieben.</w:t>
      </w:r>
    </w:p>
    <w:p w14:paraId="1F4237FF" w14:textId="77777777">
      <w:pPr>
        <w:pStyle w:val="Aufzhlungszeichen"/>
      </w:pPr>
      <w:r>
        <w:t>Bewegliche Feiertage werden relativ zu Ostern berechnet.</w:t>
      </w:r>
    </w:p>
    <w:p w14:paraId="4A6B0089" w14:textId="77777777">
      <w:pPr>
        <w:pStyle w:val="Aufzhlungszeichen"/>
      </w:pPr>
      <w:r>
        <w:t>Regionale Feiertage tragen eine Gebietsebene bis Gemeinde, Bezirk oder Gerichtskreis.</w:t>
      </w:r>
    </w:p>
    <w:p w14:paraId="06006BE1" w14:textId="77777777">
      <w:pPr>
        <w:pStyle w:val="Aufzhlungszeichen"/>
      </w:pPr>
      <w:r>
        <w:t>Jeder Eintrag enthält Rechtsgrundlage, Quellen-URL, Prüfdatum und Freigabestatus.</w:t>
      </w:r>
    </w:p>
    <w:p w14:paraId="59373DA0" w14:textId="77777777">
      <w:pPr>
        <w:pStyle w:val="Aufzhlungszeichen"/>
      </w:pPr>
      <w:r>
        <w:t>Ungeprüfte oder widersprüchliche Daten werden nicht stillschweigend verwendet.</w:t>
      </w:r>
    </w:p>
    <w:p w14:paraId="37440761" w14:textId="77777777">
      <w:pPr>
        <w:pStyle w:val="berschrift2"/>
      </w:pPr>
      <w:r>
        <w:t>6.3 Jahresprozess per 15. November</w:t>
      </w:r>
    </w:p>
    <w:p w14:paraId="47DBEF6D" w14:textId="77777777">
      <w:pPr>
        <w:pStyle w:val="Listennummer"/>
        <w:numPr>
          <w:ilvl w:val="0"/>
          <w:numId w:val="14"/>
        </w:numPr>
      </w:pPr>
      <w:r>
        <w:t>David Steimer prüft als juristische Fachverantwortung Rechtsänderungen und Feiertagsgrundlagen für mindestens die beiden Folgejahre.</w:t>
      </w:r>
    </w:p>
    <w:p w14:paraId="5B7D049C" w14:textId="77777777">
      <w:pPr>
        <w:pStyle w:val="Listennummer"/>
        <w:numPr>
          <w:ilvl w:val="0"/>
          <w:numId w:val="14"/>
        </w:numPr>
      </w:pPr>
      <w:r>
        <w:t>Ein Generator materialisiert Feiertage und Stillstandsperioden für das laufende Jahr plus drei Folgejahre.</w:t>
      </w:r>
    </w:p>
    <w:p w14:paraId="6626B09B" w14:textId="77777777">
      <w:pPr>
        <w:pStyle w:val="Listennummer"/>
        <w:numPr>
          <w:ilvl w:val="0"/>
          <w:numId w:val="14"/>
        </w:numPr>
      </w:pPr>
      <w:r>
        <w:t>Automatisierte Grenzfalltests und Schema-Prüfungen laufen im Open-Source-Repository.</w:t>
      </w:r>
    </w:p>
    <w:p w14:paraId="755225A3" w14:textId="77777777">
      <w:pPr>
        <w:pStyle w:val="Listennummer"/>
        <w:numPr>
          <w:ilvl w:val="0"/>
          <w:numId w:val="14"/>
        </w:numPr>
      </w:pPr>
      <w:r>
        <w:t>David Steimer führt mit zeitlichem Abstand eine dokumentierte zweite Selbstprüfung anhand einer Freigabecheckliste durch.</w:t>
      </w:r>
    </w:p>
    <w:p w14:paraId="6B7ADDAA" w14:textId="77777777">
      <w:pPr>
        <w:pStyle w:val="Listennummer"/>
        <w:numPr>
          <w:ilvl w:val="0"/>
          <w:numId w:val="14"/>
        </w:numPr>
      </w:pPr>
      <w:r>
        <w:t>Das Release wird mit dem Prüfstatus «Selbstgeprüfter Pilot» signiert und mit Quellenverzeichnis veröffentlicht.</w:t>
      </w:r>
    </w:p>
    <w:p w14:paraId="6396C1E9" w14:textId="77777777">
      <w:pPr>
        <w:pStyle w:val="Listennummer"/>
        <w:numPr>
          <w:ilvl w:val="0"/>
          <w:numId w:val="14"/>
        </w:numPr>
      </w:pPr>
      <w:r>
        <w:t>Im steimer.ch-Pilot wird das Release über GitHub bereitgestellt. Spätere Zieltenants übernehmen dasselbe Artefakt in ihren SharePoint-Mirror.</w:t>
      </w:r>
    </w:p>
    <w:p w14:paraId="2999EAED" w14:textId="77777777">
      <w:pPr>
        <w:pStyle w:val="Listennummer"/>
        <w:numPr>
          <w:ilvl w:val="0"/>
          <w:numId w:val="14"/>
        </w:numPr>
      </w:pPr>
      <w:r>
        <w:t>Die App prüft Signatur, Schema, Abdeckung und Gültigkeit. Bei einem Fehler bleibt das letzte gültige Release aktiv und die Oberfläche zeigt eine Warnung.</w:t>
      </w:r>
    </w:p>
    <w:tbl>
      <w:tblPr>
        <w:tblW w:w="9520" w:type="dxa"/>
        <w:tblInd w:w="180" w:type="dxa"/>
        <w:tblLayout w:type="fixed"/>
        <w:tblLook w:val="04A0" w:firstRow="1" w:lastRow="0" w:firstColumn="1" w:lastColumn="0" w:noHBand="0" w:noVBand="1"/>
      </w:tblPr>
      <w:tblGrid>
        <w:gridCol w:w="9520"/>
      </w:tblGrid>
      <w:tr w14:paraId="094B4176" w14:textId="77777777">
        <w:tc>
          <w:tcPr>
            <w:tcW w:w="9520" w:type="dxa"/>
            <w:tcBorders>
              <w:left w:val="single" w:sz="18" w:space="0" w:color="C46A3A"/>
            </w:tcBorders>
            <w:shd w:val="clear" w:color="auto" w:fill="FFF4E8"/>
            <w:tcMar>
              <w:top w:w="130" w:type="dxa"/>
              <w:left w:w="180" w:type="dxa"/>
              <w:bottom w:w="130" w:type="dxa"/>
              <w:right w:w="160" w:type="dxa"/>
            </w:tcMar>
          </w:tcPr>
          <w:p w14:paraId="10D6536D" w14:textId="77777777">
            <w:pPr>
              <w:spacing w:after="0"/>
            </w:pPr>
            <w:r>
              <w:rPr>
                <w:rFonts w:eastAsia="Arial"/>
                <w:b/>
                <w:color w:val="122C40"/>
              </w:rPr>
              <w:t xml:space="preserve">Freigabe in der Einpersonenphase  </w:t>
            </w:r>
            <w:r>
              <w:rPr>
                <w:rFonts w:eastAsia="Arial"/>
              </w:rPr>
              <w:t>Die zeitlich getrennte Selbstprüfung ist eine transparente Kompensationsmassnahme. Sie ist kein Vieraugenprinzip. Sobald eine zweite qualifizierte Person verfügbar ist, wird die unabhängige Freigabe zum verbindlichen Release-Gate des Zielbetriebs.</w:t>
            </w:r>
          </w:p>
        </w:tc>
      </w:tr>
    </w:tbl>
    <w:p w14:paraId="271AFC93" w14:textId="77777777">
      <w:pPr>
        <w:spacing w:after="20"/>
      </w:pPr>
    </w:p>
    <w:p w14:paraId="5158496D" w14:textId="77777777">
      <w:pPr>
        <w:pStyle w:val="berschrift2"/>
      </w:pPr>
      <w:r>
        <w:lastRenderedPageBreak/>
        <w:t>6.4 Mirror-Import</w:t>
      </w:r>
    </w:p>
    <w:p w14:paraId="4305B303" w14:textId="77777777">
      <w:r>
        <w:t>Der GitHub- und der SharePoint-Konnektor sind in Power Automate als Standard-Konnektoren dokumentiert. Ein Tenant kann eine Verbindung dennoch durch DLP-Richtlinien sperren. Der Mirror lässt sich deshalb wahlweise durch einen verantworteten manuellen Dateiimport oder einen tenantinternen Power-Automate-Prozess aktualisieren. Quellen: [Q13] und [Q14].</w:t>
      </w:r>
    </w:p>
    <w:p w14:paraId="4CB160D1" w14:textId="77777777">
      <w:pPr>
        <w:pStyle w:val="berschrift2"/>
      </w:pPr>
      <w:r>
        <w:t>6.5 Änderungen unter dem Jahr</w:t>
      </w:r>
    </w:p>
    <w:tbl>
      <w:tblPr>
        <w:tblW w:w="9520" w:type="dxa"/>
        <w:tblInd w:w="180" w:type="dxa"/>
        <w:tblLayout w:type="fixed"/>
        <w:tblLook w:val="04A0" w:firstRow="1" w:lastRow="0" w:firstColumn="1" w:lastColumn="0" w:noHBand="0" w:noVBand="1"/>
      </w:tblPr>
      <w:tblGrid>
        <w:gridCol w:w="9520"/>
      </w:tblGrid>
      <w:tr w14:paraId="53E74DEF" w14:textId="77777777">
        <w:tc>
          <w:tcPr>
            <w:tcW w:w="9520" w:type="dxa"/>
            <w:tcBorders>
              <w:left w:val="single" w:sz="18" w:space="0" w:color="C46A3A"/>
            </w:tcBorders>
            <w:shd w:val="clear" w:color="auto" w:fill="FFF4E8"/>
            <w:tcMar>
              <w:top w:w="130" w:type="dxa"/>
              <w:left w:w="180" w:type="dxa"/>
              <w:bottom w:w="130" w:type="dxa"/>
              <w:right w:w="160" w:type="dxa"/>
            </w:tcMar>
          </w:tcPr>
          <w:p w14:paraId="4BDC0CE3" w14:textId="77777777">
            <w:pPr>
              <w:spacing w:after="0"/>
            </w:pPr>
            <w:r>
              <w:rPr>
                <w:rFonts w:eastAsia="Arial"/>
                <w:b/>
                <w:color w:val="122C40"/>
              </w:rPr>
              <w:t xml:space="preserve">Release-Regel  </w:t>
            </w:r>
            <w:r>
              <w:rPr>
                <w:rFonts w:eastAsia="Arial"/>
              </w:rPr>
              <w:t>Der 15. November ist das jährliche Mindestfenster, kein Änderungsmoratorium. Kurzfristige Gesetzesänderungen, neue Rechtsprechung oder fehlerhafte Feiertagsdaten lösen ein ausserordentliches Datenrelease aus.</w:t>
            </w:r>
          </w:p>
        </w:tc>
      </w:tr>
    </w:tbl>
    <w:p w14:paraId="6BA5B21F" w14:textId="77777777">
      <w:pPr>
        <w:spacing w:after="20"/>
      </w:pPr>
    </w:p>
    <w:p w14:paraId="4EAF4978" w14:textId="77777777">
      <w:r>
        <w:t>Das 2025 verabschiedete Bundesgesetz über die Zustellung von Sendungen an Wochenenden und Feiertagen zeigt den Bedarf für zeitlich versionierte Regeln. Die Referendumsfrist lief am 15. Januar 2026 unbenutzt ab. Im Februar 2026 war das Inkrafttreten noch nicht bestimmt. Die App muss geltendes und künftiges Recht nach Wirksamkeitsdatum auseinanderhalten. Quellen: [Q7] und [Q8].</w:t>
      </w:r>
    </w:p>
    <w:p w14:paraId="35A26453" w14:textId="77777777">
      <w:pPr>
        <w:spacing w:after="0"/>
      </w:pPr>
      <w:r>
        <w:br w:type="page"/>
      </w:r>
    </w:p>
    <w:p w14:paraId="31EF94ED" w14:textId="77777777">
      <w:pPr>
        <w:pStyle w:val="berschrift1"/>
      </w:pPr>
      <w:r>
        <w:lastRenderedPageBreak/>
        <w:t>7 Deployment und Betrieb</w:t>
      </w:r>
    </w:p>
    <w:p w14:paraId="4F311A98" w14:textId="77777777">
      <w:pPr>
        <w:pStyle w:val="berschrift2"/>
      </w:pPr>
      <w:r>
        <w:t>7.1 SharePoint-first als Standard</w:t>
      </w:r>
    </w:p>
    <w:p w14:paraId="29D61289" w14:textId="77777777">
      <w:pPr>
        <w:pStyle w:val="Listennummer"/>
        <w:numPr>
          <w:ilvl w:val="0"/>
          <w:numId w:val="15"/>
        </w:numPr>
      </w:pPr>
      <w:r>
        <w:t>SharePoint-Administration aktiviert einmalig einen Site Collection App Catalog oder verwendet den zentralen Tenant App Catalog.</w:t>
      </w:r>
    </w:p>
    <w:p w14:paraId="1491D908" w14:textId="77777777">
      <w:pPr>
        <w:pStyle w:val="Listennummer"/>
        <w:numPr>
          <w:ilvl w:val="0"/>
          <w:numId w:val="15"/>
        </w:numPr>
      </w:pPr>
      <w:r>
        <w:t>Eine Site-Administration lädt das signierte .sppkg hoch und genehmigt die clientseitige Lösung.</w:t>
      </w:r>
    </w:p>
    <w:p w14:paraId="3A3FB16B" w14:textId="77777777">
      <w:pPr>
        <w:pStyle w:val="Listennummer"/>
        <w:numPr>
          <w:ilvl w:val="0"/>
          <w:numId w:val="15"/>
        </w:numPr>
      </w:pPr>
      <w:r>
        <w:t>Die Fristenrechner-Webpart wird auf einer modernen SharePoint-Seite platziert.</w:t>
      </w:r>
    </w:p>
    <w:p w14:paraId="38862179" w14:textId="77777777">
      <w:pPr>
        <w:pStyle w:val="Listennummer"/>
        <w:numPr>
          <w:ilvl w:val="0"/>
          <w:numId w:val="15"/>
        </w:numPr>
      </w:pPr>
      <w:r>
        <w:t>Die SharePoint-Seite wird bei Bedarf als Tab in einem Team oder Kanal hinzugefügt.</w:t>
      </w:r>
    </w:p>
    <w:p w14:paraId="0CBF035D" w14:textId="77777777">
      <w:pPr>
        <w:pStyle w:val="Listennummer"/>
        <w:numPr>
          <w:ilvl w:val="0"/>
          <w:numId w:val="15"/>
        </w:numPr>
      </w:pPr>
      <w:r>
        <w:t>Optional wird der vorbereitete Power-Automate-Flow mit einer verantworteten Verbindung importiert.</w:t>
      </w:r>
    </w:p>
    <w:p w14:paraId="16F0C98D" w14:textId="77777777">
      <w:r>
        <w:t>Site Collection App Catalogs werden von einer SharePoint-Tenant-Administration für ausgewählte Sites aktiviert. Danach kann die Site-Administration Pakete lokal verwalten. Für eine dedizierte Teams-App gelten zusätzlich die Custom-App-Richtlinien des Tenants. Darum ist der SharePoint-first-Weg der adminärmste Standard. Quellen: [Q9] bis [Q11].</w:t>
      </w:r>
    </w:p>
    <w:p w14:paraId="2E70D3A1" w14:textId="77777777">
      <w:pPr>
        <w:pStyle w:val="berschrift2"/>
      </w:pPr>
      <w:r>
        <w:t>7.2 Zwei Bereitstellungsprofile</w:t>
      </w:r>
    </w:p>
    <w:tbl>
      <w:tblPr>
        <w:tblStyle w:val="Tabellenraster"/>
        <w:tblW w:w="9640" w:type="dxa"/>
        <w:tblInd w:w="120" w:type="dxa"/>
        <w:tblLayout w:type="fixed"/>
        <w:tblLook w:val="04A0" w:firstRow="1" w:lastRow="0" w:firstColumn="1" w:lastColumn="0" w:noHBand="0" w:noVBand="1"/>
      </w:tblPr>
      <w:tblGrid>
        <w:gridCol w:w="1700"/>
        <w:gridCol w:w="3600"/>
        <w:gridCol w:w="4340"/>
      </w:tblGrid>
      <w:tr w14:paraId="3108E9F2" w14:textId="77777777">
        <w:trPr>
          <w:cantSplit/>
          <w:tblHeader/>
        </w:trPr>
        <w:tc>
          <w:tcPr>
            <w:tcW w:w="1700" w:type="dxa"/>
            <w:shd w:val="clear" w:color="auto" w:fill="122C40"/>
            <w:tcMar>
              <w:top w:w="90" w:type="dxa"/>
              <w:left w:w="120" w:type="dxa"/>
              <w:bottom w:w="90" w:type="dxa"/>
              <w:right w:w="120" w:type="dxa"/>
            </w:tcMar>
            <w:vAlign w:val="center"/>
          </w:tcPr>
          <w:p w14:paraId="3973A42D" w14:textId="77777777">
            <w:pPr>
              <w:spacing w:after="0"/>
            </w:pPr>
            <w:r>
              <w:rPr>
                <w:rFonts w:eastAsia="Arial"/>
                <w:b/>
                <w:color w:val="FFFFFF"/>
                <w:sz w:val="17"/>
              </w:rPr>
              <w:t>Profil</w:t>
            </w:r>
          </w:p>
        </w:tc>
        <w:tc>
          <w:tcPr>
            <w:tcW w:w="3600" w:type="dxa"/>
            <w:shd w:val="clear" w:color="auto" w:fill="122C40"/>
            <w:tcMar>
              <w:top w:w="90" w:type="dxa"/>
              <w:left w:w="120" w:type="dxa"/>
              <w:bottom w:w="90" w:type="dxa"/>
              <w:right w:w="120" w:type="dxa"/>
            </w:tcMar>
            <w:vAlign w:val="center"/>
          </w:tcPr>
          <w:p w14:paraId="246E2046" w14:textId="77777777">
            <w:pPr>
              <w:spacing w:after="0"/>
            </w:pPr>
            <w:r>
              <w:rPr>
                <w:rFonts w:eastAsia="Arial"/>
                <w:b/>
                <w:color w:val="FFFFFF"/>
                <w:sz w:val="17"/>
              </w:rPr>
              <w:t>Voraussetzung</w:t>
            </w:r>
          </w:p>
        </w:tc>
        <w:tc>
          <w:tcPr>
            <w:tcW w:w="4340" w:type="dxa"/>
            <w:shd w:val="clear" w:color="auto" w:fill="122C40"/>
            <w:tcMar>
              <w:top w:w="90" w:type="dxa"/>
              <w:left w:w="120" w:type="dxa"/>
              <w:bottom w:w="90" w:type="dxa"/>
              <w:right w:w="120" w:type="dxa"/>
            </w:tcMar>
            <w:vAlign w:val="center"/>
          </w:tcPr>
          <w:p w14:paraId="2FD8F3AC" w14:textId="77777777">
            <w:pPr>
              <w:spacing w:after="0"/>
            </w:pPr>
            <w:r>
              <w:rPr>
                <w:rFonts w:eastAsia="Arial"/>
                <w:b/>
                <w:color w:val="FFFFFF"/>
                <w:sz w:val="17"/>
              </w:rPr>
              <w:t>Einsatz</w:t>
            </w:r>
          </w:p>
        </w:tc>
      </w:tr>
      <w:tr w14:paraId="01890061" w14:textId="77777777">
        <w:trPr>
          <w:cantSplit/>
        </w:trPr>
        <w:tc>
          <w:tcPr>
            <w:tcW w:w="1700" w:type="dxa"/>
            <w:tcMar>
              <w:top w:w="75" w:type="dxa"/>
              <w:left w:w="120" w:type="dxa"/>
              <w:bottom w:w="75" w:type="dxa"/>
              <w:right w:w="120" w:type="dxa"/>
            </w:tcMar>
            <w:vAlign w:val="center"/>
          </w:tcPr>
          <w:p w14:paraId="3E03C84C" w14:textId="77777777">
            <w:pPr>
              <w:spacing w:after="0"/>
            </w:pPr>
            <w:r>
              <w:rPr>
                <w:rFonts w:eastAsia="Arial"/>
                <w:sz w:val="16"/>
              </w:rPr>
              <w:t>A Site-lokal</w:t>
            </w:r>
          </w:p>
        </w:tc>
        <w:tc>
          <w:tcPr>
            <w:tcW w:w="3600" w:type="dxa"/>
            <w:tcMar>
              <w:top w:w="75" w:type="dxa"/>
              <w:left w:w="120" w:type="dxa"/>
              <w:bottom w:w="75" w:type="dxa"/>
              <w:right w:w="120" w:type="dxa"/>
            </w:tcMar>
            <w:vAlign w:val="center"/>
          </w:tcPr>
          <w:p w14:paraId="3227EE37" w14:textId="77777777">
            <w:pPr>
              <w:spacing w:after="0"/>
            </w:pPr>
            <w:r>
              <w:rPr>
                <w:rFonts w:eastAsia="Arial"/>
                <w:sz w:val="16"/>
              </w:rPr>
              <w:t>Aktivierter Site Collection App Catalog</w:t>
            </w:r>
          </w:p>
        </w:tc>
        <w:tc>
          <w:tcPr>
            <w:tcW w:w="4340" w:type="dxa"/>
            <w:tcMar>
              <w:top w:w="75" w:type="dxa"/>
              <w:left w:w="120" w:type="dxa"/>
              <w:bottom w:w="75" w:type="dxa"/>
              <w:right w:w="120" w:type="dxa"/>
            </w:tcMar>
            <w:vAlign w:val="center"/>
          </w:tcPr>
          <w:p w14:paraId="40EA8F51" w14:textId="77777777">
            <w:pPr>
              <w:spacing w:after="0"/>
            </w:pPr>
            <w:r>
              <w:rPr>
                <w:rFonts w:eastAsia="Arial"/>
                <w:sz w:val="16"/>
              </w:rPr>
              <w:t>Pilot, einzelne Organisation oder sensibles Tenant-Governance-Umfeld</w:t>
            </w:r>
          </w:p>
        </w:tc>
      </w:tr>
      <w:tr w14:paraId="171B5EA2" w14:textId="77777777">
        <w:trPr>
          <w:cantSplit/>
        </w:trPr>
        <w:tc>
          <w:tcPr>
            <w:tcW w:w="1700" w:type="dxa"/>
            <w:shd w:val="clear" w:color="auto" w:fill="F6F7F5"/>
            <w:tcMar>
              <w:top w:w="75" w:type="dxa"/>
              <w:left w:w="120" w:type="dxa"/>
              <w:bottom w:w="75" w:type="dxa"/>
              <w:right w:w="120" w:type="dxa"/>
            </w:tcMar>
            <w:vAlign w:val="center"/>
          </w:tcPr>
          <w:p w14:paraId="7FE03691" w14:textId="77777777">
            <w:pPr>
              <w:spacing w:after="0"/>
            </w:pPr>
            <w:r>
              <w:rPr>
                <w:rFonts w:eastAsia="Arial"/>
                <w:sz w:val="16"/>
              </w:rPr>
              <w:t>B Tenant-weit</w:t>
            </w:r>
          </w:p>
        </w:tc>
        <w:tc>
          <w:tcPr>
            <w:tcW w:w="3600" w:type="dxa"/>
            <w:shd w:val="clear" w:color="auto" w:fill="F6F7F5"/>
            <w:tcMar>
              <w:top w:w="75" w:type="dxa"/>
              <w:left w:w="120" w:type="dxa"/>
              <w:bottom w:w="75" w:type="dxa"/>
              <w:right w:w="120" w:type="dxa"/>
            </w:tcMar>
            <w:vAlign w:val="center"/>
          </w:tcPr>
          <w:p w14:paraId="579A54C2" w14:textId="77777777">
            <w:pPr>
              <w:spacing w:after="0"/>
            </w:pPr>
            <w:r>
              <w:rPr>
                <w:rFonts w:eastAsia="Arial"/>
                <w:sz w:val="16"/>
              </w:rPr>
              <w:t>Tenant App Catalog und zentrale Freigabe</w:t>
            </w:r>
          </w:p>
        </w:tc>
        <w:tc>
          <w:tcPr>
            <w:tcW w:w="4340" w:type="dxa"/>
            <w:shd w:val="clear" w:color="auto" w:fill="F6F7F5"/>
            <w:tcMar>
              <w:top w:w="75" w:type="dxa"/>
              <w:left w:w="120" w:type="dxa"/>
              <w:bottom w:w="75" w:type="dxa"/>
              <w:right w:w="120" w:type="dxa"/>
            </w:tcMar>
            <w:vAlign w:val="center"/>
          </w:tcPr>
          <w:p w14:paraId="56B27410" w14:textId="77777777">
            <w:pPr>
              <w:spacing w:after="0"/>
            </w:pPr>
            <w:r>
              <w:rPr>
                <w:rFonts w:eastAsia="Arial"/>
                <w:sz w:val="16"/>
              </w:rPr>
              <w:t>Breiter Rollout, zentrale Aktualisierung und optional dedizierte Teams-App</w:t>
            </w:r>
          </w:p>
        </w:tc>
      </w:tr>
    </w:tbl>
    <w:p w14:paraId="100A3802" w14:textId="77777777">
      <w:pPr>
        <w:spacing w:after="20"/>
      </w:pPr>
    </w:p>
    <w:p w14:paraId="73135F51" w14:textId="77777777">
      <w:pPr>
        <w:pStyle w:val="berschrift2"/>
      </w:pPr>
      <w:r>
        <w:t>7.3 Zwei Datenquellenprofile</w:t>
      </w:r>
    </w:p>
    <w:tbl>
      <w:tblPr>
        <w:tblStyle w:val="Tabellenraster"/>
        <w:tblW w:w="9640" w:type="dxa"/>
        <w:tblInd w:w="120" w:type="dxa"/>
        <w:tblLayout w:type="fixed"/>
        <w:tblLook w:val="04A0" w:firstRow="1" w:lastRow="0" w:firstColumn="1" w:lastColumn="0" w:noHBand="0" w:noVBand="1"/>
      </w:tblPr>
      <w:tblGrid>
        <w:gridCol w:w="2100"/>
        <w:gridCol w:w="3400"/>
        <w:gridCol w:w="4140"/>
      </w:tblGrid>
      <w:tr w14:paraId="40129319" w14:textId="77777777">
        <w:trPr>
          <w:cantSplit/>
          <w:tblHeader/>
        </w:trPr>
        <w:tc>
          <w:tcPr>
            <w:tcW w:w="2100" w:type="dxa"/>
            <w:shd w:val="clear" w:color="auto" w:fill="122C40"/>
            <w:tcMar>
              <w:top w:w="90" w:type="dxa"/>
              <w:left w:w="120" w:type="dxa"/>
              <w:bottom w:w="90" w:type="dxa"/>
              <w:right w:w="120" w:type="dxa"/>
            </w:tcMar>
            <w:vAlign w:val="center"/>
          </w:tcPr>
          <w:p w14:paraId="493CA847" w14:textId="77777777">
            <w:pPr>
              <w:spacing w:after="0"/>
            </w:pPr>
            <w:r>
              <w:rPr>
                <w:rFonts w:eastAsia="Arial"/>
                <w:b/>
                <w:color w:val="FFFFFF"/>
                <w:sz w:val="17"/>
              </w:rPr>
              <w:t>Profil</w:t>
            </w:r>
          </w:p>
        </w:tc>
        <w:tc>
          <w:tcPr>
            <w:tcW w:w="3400" w:type="dxa"/>
            <w:shd w:val="clear" w:color="auto" w:fill="122C40"/>
            <w:tcMar>
              <w:top w:w="90" w:type="dxa"/>
              <w:left w:w="120" w:type="dxa"/>
              <w:bottom w:w="90" w:type="dxa"/>
              <w:right w:w="120" w:type="dxa"/>
            </w:tcMar>
            <w:vAlign w:val="center"/>
          </w:tcPr>
          <w:p w14:paraId="37107D64" w14:textId="77777777">
            <w:pPr>
              <w:spacing w:after="0"/>
            </w:pPr>
            <w:r>
              <w:rPr>
                <w:rFonts w:eastAsia="Arial"/>
                <w:b/>
                <w:color w:val="FFFFFF"/>
                <w:sz w:val="17"/>
              </w:rPr>
              <w:t>Konfiguration</w:t>
            </w:r>
          </w:p>
        </w:tc>
        <w:tc>
          <w:tcPr>
            <w:tcW w:w="4140" w:type="dxa"/>
            <w:shd w:val="clear" w:color="auto" w:fill="122C40"/>
            <w:tcMar>
              <w:top w:w="90" w:type="dxa"/>
              <w:left w:w="120" w:type="dxa"/>
              <w:bottom w:w="90" w:type="dxa"/>
              <w:right w:w="120" w:type="dxa"/>
            </w:tcMar>
            <w:vAlign w:val="center"/>
          </w:tcPr>
          <w:p w14:paraId="0EA737C1" w14:textId="77777777">
            <w:pPr>
              <w:spacing w:after="0"/>
            </w:pPr>
            <w:r>
              <w:rPr>
                <w:rFonts w:eastAsia="Arial"/>
                <w:b/>
                <w:color w:val="FFFFFF"/>
                <w:sz w:val="17"/>
              </w:rPr>
              <w:t>Einsatz</w:t>
            </w:r>
          </w:p>
        </w:tc>
      </w:tr>
      <w:tr w14:paraId="1B432414" w14:textId="77777777">
        <w:trPr>
          <w:cantSplit/>
        </w:trPr>
        <w:tc>
          <w:tcPr>
            <w:tcW w:w="2100" w:type="dxa"/>
            <w:tcMar>
              <w:top w:w="75" w:type="dxa"/>
              <w:left w:w="120" w:type="dxa"/>
              <w:bottom w:w="75" w:type="dxa"/>
              <w:right w:w="120" w:type="dxa"/>
            </w:tcMar>
            <w:vAlign w:val="center"/>
          </w:tcPr>
          <w:p w14:paraId="23A1F176" w14:textId="77777777">
            <w:pPr>
              <w:spacing w:after="0"/>
            </w:pPr>
            <w:r>
              <w:rPr>
                <w:rFonts w:eastAsia="Arial"/>
                <w:sz w:val="16"/>
              </w:rPr>
              <w:t>A Public GitHub</w:t>
            </w:r>
          </w:p>
        </w:tc>
        <w:tc>
          <w:tcPr>
            <w:tcW w:w="3400" w:type="dxa"/>
            <w:tcMar>
              <w:top w:w="75" w:type="dxa"/>
              <w:left w:w="120" w:type="dxa"/>
              <w:bottom w:w="75" w:type="dxa"/>
              <w:right w:w="120" w:type="dxa"/>
            </w:tcMar>
            <w:vAlign w:val="center"/>
          </w:tcPr>
          <w:p w14:paraId="16B90B5E" w14:textId="77777777">
            <w:pPr>
              <w:spacing w:after="0"/>
            </w:pPr>
            <w:r>
              <w:rPr>
                <w:rFonts w:eastAsia="Arial"/>
                <w:sz w:val="16"/>
              </w:rPr>
              <w:t>ReleaseProvider = public-github</w:t>
            </w:r>
          </w:p>
        </w:tc>
        <w:tc>
          <w:tcPr>
            <w:tcW w:w="4140" w:type="dxa"/>
            <w:tcMar>
              <w:top w:w="75" w:type="dxa"/>
              <w:left w:w="120" w:type="dxa"/>
              <w:bottom w:w="75" w:type="dxa"/>
              <w:right w:w="120" w:type="dxa"/>
            </w:tcMar>
            <w:vAlign w:val="center"/>
          </w:tcPr>
          <w:p w14:paraId="53F5E446" w14:textId="77777777">
            <w:pPr>
              <w:spacing w:after="0"/>
            </w:pPr>
            <w:r>
              <w:rPr>
                <w:rFonts w:eastAsia="Arial"/>
                <w:sz w:val="16"/>
              </w:rPr>
              <w:t>steimer.ch-Pilot und offene Tests</w:t>
            </w:r>
          </w:p>
        </w:tc>
      </w:tr>
      <w:tr w14:paraId="6F658179" w14:textId="77777777">
        <w:trPr>
          <w:cantSplit/>
        </w:trPr>
        <w:tc>
          <w:tcPr>
            <w:tcW w:w="2100" w:type="dxa"/>
            <w:shd w:val="clear" w:color="auto" w:fill="F6F7F5"/>
            <w:tcMar>
              <w:top w:w="75" w:type="dxa"/>
              <w:left w:w="120" w:type="dxa"/>
              <w:bottom w:w="75" w:type="dxa"/>
              <w:right w:w="120" w:type="dxa"/>
            </w:tcMar>
            <w:vAlign w:val="center"/>
          </w:tcPr>
          <w:p w14:paraId="79CBD426" w14:textId="77777777">
            <w:pPr>
              <w:spacing w:after="0"/>
            </w:pPr>
            <w:r>
              <w:rPr>
                <w:rFonts w:eastAsia="Arial"/>
                <w:sz w:val="16"/>
              </w:rPr>
              <w:t>B SharePoint-Mirror</w:t>
            </w:r>
          </w:p>
        </w:tc>
        <w:tc>
          <w:tcPr>
            <w:tcW w:w="3400" w:type="dxa"/>
            <w:shd w:val="clear" w:color="auto" w:fill="F6F7F5"/>
            <w:tcMar>
              <w:top w:w="75" w:type="dxa"/>
              <w:left w:w="120" w:type="dxa"/>
              <w:bottom w:w="75" w:type="dxa"/>
              <w:right w:w="120" w:type="dxa"/>
            </w:tcMar>
            <w:vAlign w:val="center"/>
          </w:tcPr>
          <w:p w14:paraId="1B96C18C" w14:textId="77777777">
            <w:pPr>
              <w:spacing w:after="0"/>
            </w:pPr>
            <w:r>
              <w:rPr>
                <w:rFonts w:eastAsia="Arial"/>
                <w:sz w:val="16"/>
              </w:rPr>
              <w:t>ReleaseProvider = sharepoint-mirror</w:t>
            </w:r>
          </w:p>
        </w:tc>
        <w:tc>
          <w:tcPr>
            <w:tcW w:w="4140" w:type="dxa"/>
            <w:shd w:val="clear" w:color="auto" w:fill="F6F7F5"/>
            <w:tcMar>
              <w:top w:w="75" w:type="dxa"/>
              <w:left w:w="120" w:type="dxa"/>
              <w:bottom w:w="75" w:type="dxa"/>
              <w:right w:w="120" w:type="dxa"/>
            </w:tcMar>
            <w:vAlign w:val="center"/>
          </w:tcPr>
          <w:p w14:paraId="018BE890" w14:textId="77777777">
            <w:pPr>
              <w:spacing w:after="0"/>
            </w:pPr>
            <w:r>
              <w:rPr>
                <w:rFonts w:eastAsia="Arial"/>
                <w:sz w:val="16"/>
              </w:rPr>
              <w:t>Spätere Zieltenants mit interner Datenhaltung</w:t>
            </w:r>
          </w:p>
        </w:tc>
      </w:tr>
    </w:tbl>
    <w:p w14:paraId="242502C2" w14:textId="77777777">
      <w:pPr>
        <w:spacing w:after="20"/>
      </w:pPr>
    </w:p>
    <w:p w14:paraId="3AE79ED3" w14:textId="77777777">
      <w:pPr>
        <w:pStyle w:val="BrandSmall"/>
      </w:pPr>
      <w:r>
        <w:t>Beide Profile konsumieren dasselbe Releaseformat. Ein Wechsel ändert weder Rechenkern noch GUI. Die App zeigt Datenquelle, Release-ID und Prüfsumme in der Rechenspur.</w:t>
      </w:r>
    </w:p>
    <w:p w14:paraId="62C4D007" w14:textId="77777777">
      <w:pPr>
        <w:pStyle w:val="berschrift2"/>
      </w:pPr>
      <w:r>
        <w:t>7.4 Berechtigungen und Datenschutz</w:t>
      </w:r>
    </w:p>
    <w:p w14:paraId="336D9268" w14:textId="77777777">
      <w:pPr>
        <w:pStyle w:val="Aufzhlungszeichen"/>
      </w:pPr>
      <w:r>
        <w:t>Keine Microsoft-Graph-Berechtigung und keine Entra-App-Registrierung im Basisszenario.</w:t>
      </w:r>
    </w:p>
    <w:p w14:paraId="0D966EE9" w14:textId="77777777">
      <w:pPr>
        <w:pStyle w:val="Aufzhlungszeichen"/>
      </w:pPr>
      <w:r>
        <w:t>Nur Leserechte auf die freigegebene Regelsatzbibliothek für normale Benutzerinnen und Benutzer.</w:t>
      </w:r>
    </w:p>
    <w:p w14:paraId="5F298CED" w14:textId="77777777">
      <w:pPr>
        <w:pStyle w:val="Aufzhlungszeichen"/>
      </w:pPr>
      <w:r>
        <w:t>Schreibrechte auf Regelsätze nur für Produkt- und Fachverantwortung.</w:t>
      </w:r>
    </w:p>
    <w:p w14:paraId="58104759" w14:textId="77777777">
      <w:pPr>
        <w:pStyle w:val="Aufzhlungszeichen"/>
      </w:pPr>
      <w:r>
        <w:t>Keine Speicherung eingegebener Fristen, ausser eine Organisation aktiviert dies ausdrücklich als spätere Funktion.</w:t>
      </w:r>
    </w:p>
    <w:p w14:paraId="038E06B7" w14:textId="77777777">
      <w:pPr>
        <w:pStyle w:val="Aufzhlungszeichen"/>
      </w:pPr>
      <w:r>
        <w:t>Keine Telemetrie an STEIMER oder Dritte in der Standardkonfiguration.</w:t>
      </w:r>
    </w:p>
    <w:p w14:paraId="7AA444BD" w14:textId="77777777">
      <w:pPr>
        <w:spacing w:after="0"/>
      </w:pPr>
      <w:r>
        <w:br w:type="page"/>
      </w:r>
    </w:p>
    <w:p w14:paraId="0AEDF196" w14:textId="77777777">
      <w:pPr>
        <w:pStyle w:val="berschrift2"/>
      </w:pPr>
      <w:r>
        <w:lastRenderedPageBreak/>
        <w:t>7.5 Betriebsmodell</w:t>
      </w:r>
    </w:p>
    <w:tbl>
      <w:tblPr>
        <w:tblW w:w="9520" w:type="dxa"/>
        <w:tblInd w:w="180" w:type="dxa"/>
        <w:tblLayout w:type="fixed"/>
        <w:tblLook w:val="04A0" w:firstRow="1" w:lastRow="0" w:firstColumn="1" w:lastColumn="0" w:noHBand="0" w:noVBand="1"/>
      </w:tblPr>
      <w:tblGrid>
        <w:gridCol w:w="9520"/>
      </w:tblGrid>
      <w:tr w14:paraId="3F918051" w14:textId="77777777">
        <w:tc>
          <w:tcPr>
            <w:tcW w:w="9520" w:type="dxa"/>
            <w:tcBorders>
              <w:left w:val="single" w:sz="18" w:space="0" w:color="2F6F73"/>
            </w:tcBorders>
            <w:shd w:val="clear" w:color="auto" w:fill="E7EEEE"/>
            <w:tcMar>
              <w:top w:w="130" w:type="dxa"/>
              <w:left w:w="180" w:type="dxa"/>
              <w:bottom w:w="130" w:type="dxa"/>
              <w:right w:w="160" w:type="dxa"/>
            </w:tcMar>
          </w:tcPr>
          <w:p w14:paraId="6559C2C2" w14:textId="77777777">
            <w:pPr>
              <w:spacing w:after="0"/>
            </w:pPr>
            <w:r>
              <w:rPr>
                <w:rFonts w:eastAsia="Arial"/>
                <w:b/>
                <w:color w:val="122C40"/>
              </w:rPr>
              <w:t xml:space="preserve">Aktuelle Personalunion  </w:t>
            </w:r>
            <w:r>
              <w:rPr>
                <w:rFonts w:eastAsia="Arial"/>
              </w:rPr>
              <w:t>Die Rollen bleiben als logisches Zielbetriebsmodell getrennt. Bis auf Weiteres nimmt David Steimer sämtliche Funktionen wahr. Diese Personalunion beschleunigt Entscheide, schafft aber keine unabhängige Kontrolle und wird deshalb in Freigaben ausdrücklich ausgewiesen.</w:t>
            </w:r>
          </w:p>
        </w:tc>
      </w:tr>
    </w:tbl>
    <w:p w14:paraId="4BF47639" w14:textId="77777777">
      <w:pPr>
        <w:spacing w:after="20"/>
      </w:pPr>
    </w:p>
    <w:tbl>
      <w:tblPr>
        <w:tblStyle w:val="Tabellenraster"/>
        <w:tblW w:w="9640" w:type="dxa"/>
        <w:tblInd w:w="120" w:type="dxa"/>
        <w:tblLayout w:type="fixed"/>
        <w:tblLook w:val="04A0" w:firstRow="1" w:lastRow="0" w:firstColumn="1" w:lastColumn="0" w:noHBand="0" w:noVBand="1"/>
      </w:tblPr>
      <w:tblGrid>
        <w:gridCol w:w="1900"/>
        <w:gridCol w:w="5460"/>
        <w:gridCol w:w="2280"/>
      </w:tblGrid>
      <w:tr w14:paraId="3CC8BA66" w14:textId="77777777">
        <w:trPr>
          <w:cantSplit/>
          <w:tblHeader/>
        </w:trPr>
        <w:tc>
          <w:tcPr>
            <w:tcW w:w="1900" w:type="dxa"/>
            <w:shd w:val="clear" w:color="auto" w:fill="122C40"/>
            <w:tcMar>
              <w:top w:w="90" w:type="dxa"/>
              <w:left w:w="120" w:type="dxa"/>
              <w:bottom w:w="90" w:type="dxa"/>
              <w:right w:w="120" w:type="dxa"/>
            </w:tcMar>
            <w:vAlign w:val="center"/>
          </w:tcPr>
          <w:p w14:paraId="7C683787" w14:textId="77777777">
            <w:pPr>
              <w:spacing w:after="0"/>
            </w:pPr>
            <w:r>
              <w:rPr>
                <w:rFonts w:eastAsia="Arial"/>
                <w:b/>
                <w:color w:val="FFFFFF"/>
                <w:sz w:val="17"/>
              </w:rPr>
              <w:t>Rolle</w:t>
            </w:r>
          </w:p>
        </w:tc>
        <w:tc>
          <w:tcPr>
            <w:tcW w:w="5460" w:type="dxa"/>
            <w:shd w:val="clear" w:color="auto" w:fill="122C40"/>
            <w:tcMar>
              <w:top w:w="90" w:type="dxa"/>
              <w:left w:w="120" w:type="dxa"/>
              <w:bottom w:w="90" w:type="dxa"/>
              <w:right w:w="120" w:type="dxa"/>
            </w:tcMar>
            <w:vAlign w:val="center"/>
          </w:tcPr>
          <w:p w14:paraId="4527398B" w14:textId="77777777">
            <w:pPr>
              <w:spacing w:after="0"/>
            </w:pPr>
            <w:r>
              <w:rPr>
                <w:rFonts w:eastAsia="Arial"/>
                <w:b/>
                <w:color w:val="FFFFFF"/>
                <w:sz w:val="17"/>
              </w:rPr>
              <w:t>Zielverantwortung</w:t>
            </w:r>
          </w:p>
        </w:tc>
        <w:tc>
          <w:tcPr>
            <w:tcW w:w="2280" w:type="dxa"/>
            <w:shd w:val="clear" w:color="auto" w:fill="122C40"/>
            <w:tcMar>
              <w:top w:w="90" w:type="dxa"/>
              <w:left w:w="120" w:type="dxa"/>
              <w:bottom w:w="90" w:type="dxa"/>
              <w:right w:w="120" w:type="dxa"/>
            </w:tcMar>
            <w:vAlign w:val="center"/>
          </w:tcPr>
          <w:p w14:paraId="0CD75AF2" w14:textId="77777777">
            <w:pPr>
              <w:spacing w:after="0"/>
            </w:pPr>
            <w:r>
              <w:rPr>
                <w:rFonts w:eastAsia="Arial"/>
                <w:b/>
                <w:color w:val="FFFFFF"/>
                <w:sz w:val="17"/>
              </w:rPr>
              <w:t>Aktuelle Besetzung</w:t>
            </w:r>
          </w:p>
        </w:tc>
      </w:tr>
      <w:tr w14:paraId="1B6CCE1A" w14:textId="77777777">
        <w:trPr>
          <w:cantSplit/>
        </w:trPr>
        <w:tc>
          <w:tcPr>
            <w:tcW w:w="1900" w:type="dxa"/>
            <w:tcMar>
              <w:top w:w="75" w:type="dxa"/>
              <w:left w:w="120" w:type="dxa"/>
              <w:bottom w:w="75" w:type="dxa"/>
              <w:right w:w="120" w:type="dxa"/>
            </w:tcMar>
            <w:vAlign w:val="center"/>
          </w:tcPr>
          <w:p w14:paraId="7BA3B5A4" w14:textId="77777777">
            <w:pPr>
              <w:spacing w:after="0"/>
            </w:pPr>
            <w:r>
              <w:rPr>
                <w:rFonts w:eastAsia="Arial"/>
                <w:sz w:val="16"/>
              </w:rPr>
              <w:t>Produktverantwortung</w:t>
            </w:r>
          </w:p>
        </w:tc>
        <w:tc>
          <w:tcPr>
            <w:tcW w:w="5460" w:type="dxa"/>
            <w:tcMar>
              <w:top w:w="75" w:type="dxa"/>
              <w:left w:w="120" w:type="dxa"/>
              <w:bottom w:w="75" w:type="dxa"/>
              <w:right w:w="120" w:type="dxa"/>
            </w:tcMar>
            <w:vAlign w:val="center"/>
          </w:tcPr>
          <w:p w14:paraId="527C4592" w14:textId="77777777">
            <w:pPr>
              <w:spacing w:after="0"/>
            </w:pPr>
            <w:r>
              <w:rPr>
                <w:rFonts w:eastAsia="Arial"/>
                <w:sz w:val="16"/>
              </w:rPr>
              <w:t>Roadmap, Releases, Sicherheitsmeldungen und Entscheide</w:t>
            </w:r>
          </w:p>
        </w:tc>
        <w:tc>
          <w:tcPr>
            <w:tcW w:w="2280" w:type="dxa"/>
            <w:tcMar>
              <w:top w:w="75" w:type="dxa"/>
              <w:left w:w="120" w:type="dxa"/>
              <w:bottom w:w="75" w:type="dxa"/>
              <w:right w:w="120" w:type="dxa"/>
            </w:tcMar>
            <w:vAlign w:val="center"/>
          </w:tcPr>
          <w:p w14:paraId="0485C896" w14:textId="77777777">
            <w:pPr>
              <w:spacing w:after="0"/>
            </w:pPr>
            <w:r>
              <w:rPr>
                <w:rFonts w:eastAsia="Arial"/>
                <w:sz w:val="16"/>
              </w:rPr>
              <w:t>David Steimer</w:t>
            </w:r>
          </w:p>
        </w:tc>
      </w:tr>
      <w:tr w14:paraId="114D7080" w14:textId="77777777">
        <w:trPr>
          <w:cantSplit/>
        </w:trPr>
        <w:tc>
          <w:tcPr>
            <w:tcW w:w="1900" w:type="dxa"/>
            <w:shd w:val="clear" w:color="auto" w:fill="F6F7F5"/>
            <w:tcMar>
              <w:top w:w="75" w:type="dxa"/>
              <w:left w:w="120" w:type="dxa"/>
              <w:bottom w:w="75" w:type="dxa"/>
              <w:right w:w="120" w:type="dxa"/>
            </w:tcMar>
            <w:vAlign w:val="center"/>
          </w:tcPr>
          <w:p w14:paraId="382B8A58" w14:textId="77777777">
            <w:pPr>
              <w:spacing w:after="0"/>
            </w:pPr>
            <w:r>
              <w:rPr>
                <w:rFonts w:eastAsia="Arial"/>
                <w:sz w:val="16"/>
              </w:rPr>
              <w:t>Juristische Fachverantwortung</w:t>
            </w:r>
          </w:p>
        </w:tc>
        <w:tc>
          <w:tcPr>
            <w:tcW w:w="5460" w:type="dxa"/>
            <w:shd w:val="clear" w:color="auto" w:fill="F6F7F5"/>
            <w:tcMar>
              <w:top w:w="75" w:type="dxa"/>
              <w:left w:w="120" w:type="dxa"/>
              <w:bottom w:w="75" w:type="dxa"/>
              <w:right w:w="120" w:type="dxa"/>
            </w:tcMar>
            <w:vAlign w:val="center"/>
          </w:tcPr>
          <w:p w14:paraId="79673612" w14:textId="77777777">
            <w:pPr>
              <w:spacing w:after="0"/>
            </w:pPr>
            <w:r>
              <w:rPr>
                <w:rFonts w:eastAsia="Arial"/>
                <w:sz w:val="16"/>
              </w:rPr>
              <w:t>Rechtsprofile, Quellen, Fachprüfung und Incidents</w:t>
            </w:r>
          </w:p>
        </w:tc>
        <w:tc>
          <w:tcPr>
            <w:tcW w:w="2280" w:type="dxa"/>
            <w:shd w:val="clear" w:color="auto" w:fill="F6F7F5"/>
            <w:tcMar>
              <w:top w:w="75" w:type="dxa"/>
              <w:left w:w="120" w:type="dxa"/>
              <w:bottom w:w="75" w:type="dxa"/>
              <w:right w:w="120" w:type="dxa"/>
            </w:tcMar>
            <w:vAlign w:val="center"/>
          </w:tcPr>
          <w:p w14:paraId="07924428" w14:textId="77777777">
            <w:pPr>
              <w:spacing w:after="0"/>
            </w:pPr>
            <w:r>
              <w:rPr>
                <w:rFonts w:eastAsia="Arial"/>
                <w:sz w:val="16"/>
              </w:rPr>
              <w:t>David Steimer</w:t>
            </w:r>
          </w:p>
        </w:tc>
      </w:tr>
      <w:tr w14:paraId="75C52BFD" w14:textId="77777777">
        <w:trPr>
          <w:cantSplit/>
        </w:trPr>
        <w:tc>
          <w:tcPr>
            <w:tcW w:w="1900" w:type="dxa"/>
            <w:tcMar>
              <w:top w:w="75" w:type="dxa"/>
              <w:left w:w="120" w:type="dxa"/>
              <w:bottom w:w="75" w:type="dxa"/>
              <w:right w:w="120" w:type="dxa"/>
            </w:tcMar>
            <w:vAlign w:val="center"/>
          </w:tcPr>
          <w:p w14:paraId="62E19A4A" w14:textId="77777777">
            <w:pPr>
              <w:spacing w:after="0"/>
            </w:pPr>
            <w:r>
              <w:rPr>
                <w:rFonts w:eastAsia="Arial"/>
                <w:sz w:val="16"/>
              </w:rPr>
              <w:t>Technische Maintainer</w:t>
            </w:r>
          </w:p>
        </w:tc>
        <w:tc>
          <w:tcPr>
            <w:tcW w:w="5460" w:type="dxa"/>
            <w:tcMar>
              <w:top w:w="75" w:type="dxa"/>
              <w:left w:w="120" w:type="dxa"/>
              <w:bottom w:w="75" w:type="dxa"/>
              <w:right w:w="120" w:type="dxa"/>
            </w:tcMar>
            <w:vAlign w:val="center"/>
          </w:tcPr>
          <w:p w14:paraId="03E90724" w14:textId="77777777">
            <w:pPr>
              <w:spacing w:after="0"/>
            </w:pPr>
            <w:r>
              <w:rPr>
                <w:rFonts w:eastAsia="Arial"/>
                <w:sz w:val="16"/>
              </w:rPr>
              <w:t>Code, Abhängigkeiten, Build, Tests und signierte Pakete</w:t>
            </w:r>
          </w:p>
        </w:tc>
        <w:tc>
          <w:tcPr>
            <w:tcW w:w="2280" w:type="dxa"/>
            <w:tcMar>
              <w:top w:w="75" w:type="dxa"/>
              <w:left w:w="120" w:type="dxa"/>
              <w:bottom w:w="75" w:type="dxa"/>
              <w:right w:w="120" w:type="dxa"/>
            </w:tcMar>
            <w:vAlign w:val="center"/>
          </w:tcPr>
          <w:p w14:paraId="1DC3A607" w14:textId="77777777">
            <w:pPr>
              <w:spacing w:after="0"/>
            </w:pPr>
            <w:r>
              <w:rPr>
                <w:rFonts w:eastAsia="Arial"/>
                <w:sz w:val="16"/>
              </w:rPr>
              <w:t>David Steimer</w:t>
            </w:r>
          </w:p>
        </w:tc>
      </w:tr>
      <w:tr w14:paraId="25494761" w14:textId="77777777">
        <w:trPr>
          <w:cantSplit/>
        </w:trPr>
        <w:tc>
          <w:tcPr>
            <w:tcW w:w="1900" w:type="dxa"/>
            <w:shd w:val="clear" w:color="auto" w:fill="F6F7F5"/>
            <w:tcMar>
              <w:top w:w="75" w:type="dxa"/>
              <w:left w:w="120" w:type="dxa"/>
              <w:bottom w:w="75" w:type="dxa"/>
              <w:right w:w="120" w:type="dxa"/>
            </w:tcMar>
            <w:vAlign w:val="center"/>
          </w:tcPr>
          <w:p w14:paraId="283573C2" w14:textId="77777777">
            <w:pPr>
              <w:spacing w:after="0"/>
            </w:pPr>
            <w:r>
              <w:rPr>
                <w:rFonts w:eastAsia="Arial"/>
                <w:sz w:val="16"/>
              </w:rPr>
              <w:t>Tenant-Verantwortung</w:t>
            </w:r>
          </w:p>
        </w:tc>
        <w:tc>
          <w:tcPr>
            <w:tcW w:w="5460" w:type="dxa"/>
            <w:shd w:val="clear" w:color="auto" w:fill="F6F7F5"/>
            <w:tcMar>
              <w:top w:w="75" w:type="dxa"/>
              <w:left w:w="120" w:type="dxa"/>
              <w:bottom w:w="75" w:type="dxa"/>
              <w:right w:w="120" w:type="dxa"/>
            </w:tcMar>
            <w:vAlign w:val="center"/>
          </w:tcPr>
          <w:p w14:paraId="25A6B411" w14:textId="77777777">
            <w:pPr>
              <w:spacing w:after="0"/>
            </w:pPr>
            <w:r>
              <w:rPr>
                <w:rFonts w:eastAsia="Arial"/>
                <w:sz w:val="16"/>
              </w:rPr>
              <w:t>App-Katalog, DLP, Datenquelle, lokale Freigabe und Support</w:t>
            </w:r>
          </w:p>
        </w:tc>
        <w:tc>
          <w:tcPr>
            <w:tcW w:w="2280" w:type="dxa"/>
            <w:shd w:val="clear" w:color="auto" w:fill="F6F7F5"/>
            <w:tcMar>
              <w:top w:w="75" w:type="dxa"/>
              <w:left w:w="120" w:type="dxa"/>
              <w:bottom w:w="75" w:type="dxa"/>
              <w:right w:w="120" w:type="dxa"/>
            </w:tcMar>
            <w:vAlign w:val="center"/>
          </w:tcPr>
          <w:p w14:paraId="0756BACF" w14:textId="77777777">
            <w:pPr>
              <w:spacing w:after="0"/>
            </w:pPr>
            <w:r>
              <w:rPr>
                <w:rFonts w:eastAsia="Arial"/>
                <w:sz w:val="16"/>
              </w:rPr>
              <w:t>David Steimer für steimer.ch</w:t>
            </w:r>
          </w:p>
        </w:tc>
      </w:tr>
      <w:tr w14:paraId="4EB0DCB3" w14:textId="77777777">
        <w:trPr>
          <w:cantSplit/>
        </w:trPr>
        <w:tc>
          <w:tcPr>
            <w:tcW w:w="1900" w:type="dxa"/>
            <w:tcMar>
              <w:top w:w="75" w:type="dxa"/>
              <w:left w:w="120" w:type="dxa"/>
              <w:bottom w:w="75" w:type="dxa"/>
              <w:right w:w="120" w:type="dxa"/>
            </w:tcMar>
            <w:vAlign w:val="center"/>
          </w:tcPr>
          <w:p w14:paraId="07442637" w14:textId="77777777">
            <w:pPr>
              <w:spacing w:after="0"/>
            </w:pPr>
            <w:r>
              <w:rPr>
                <w:rFonts w:eastAsia="Arial"/>
                <w:sz w:val="16"/>
              </w:rPr>
              <w:t>Open-Source-Maintainer</w:t>
            </w:r>
          </w:p>
        </w:tc>
        <w:tc>
          <w:tcPr>
            <w:tcW w:w="5460" w:type="dxa"/>
            <w:tcMar>
              <w:top w:w="75" w:type="dxa"/>
              <w:left w:w="120" w:type="dxa"/>
              <w:bottom w:w="75" w:type="dxa"/>
              <w:right w:w="120" w:type="dxa"/>
            </w:tcMar>
            <w:vAlign w:val="center"/>
          </w:tcPr>
          <w:p w14:paraId="5C7AB484" w14:textId="77777777">
            <w:pPr>
              <w:spacing w:after="0"/>
            </w:pPr>
            <w:r>
              <w:rPr>
                <w:rFonts w:eastAsia="Arial"/>
                <w:sz w:val="16"/>
              </w:rPr>
              <w:t>Issues, Beiträge, Kantonsprofile und Community-Prozess</w:t>
            </w:r>
          </w:p>
        </w:tc>
        <w:tc>
          <w:tcPr>
            <w:tcW w:w="2280" w:type="dxa"/>
            <w:tcMar>
              <w:top w:w="75" w:type="dxa"/>
              <w:left w:w="120" w:type="dxa"/>
              <w:bottom w:w="75" w:type="dxa"/>
              <w:right w:w="120" w:type="dxa"/>
            </w:tcMar>
            <w:vAlign w:val="center"/>
          </w:tcPr>
          <w:p w14:paraId="6A6C100E" w14:textId="77777777">
            <w:pPr>
              <w:spacing w:after="0"/>
            </w:pPr>
            <w:r>
              <w:rPr>
                <w:rFonts w:eastAsia="Arial"/>
                <w:sz w:val="16"/>
              </w:rPr>
              <w:t>David Steimer</w:t>
            </w:r>
          </w:p>
        </w:tc>
      </w:tr>
    </w:tbl>
    <w:p w14:paraId="720FA347" w14:textId="77777777">
      <w:pPr>
        <w:spacing w:after="20"/>
      </w:pPr>
    </w:p>
    <w:p w14:paraId="5CF7DC58" w14:textId="77777777">
      <w:pPr>
        <w:spacing w:after="0"/>
      </w:pPr>
      <w:r>
        <w:br w:type="page"/>
      </w:r>
    </w:p>
    <w:p w14:paraId="2BCCF80F" w14:textId="77777777">
      <w:pPr>
        <w:pStyle w:val="berschrift1"/>
      </w:pPr>
      <w:r>
        <w:lastRenderedPageBreak/>
        <w:t>8 Qualität, Recht und Governance</w:t>
      </w:r>
    </w:p>
    <w:p w14:paraId="715513FD" w14:textId="77777777">
      <w:pPr>
        <w:pStyle w:val="berschrift2"/>
      </w:pPr>
      <w:r>
        <w:t>8.1 Qualitätsprinzip</w:t>
      </w:r>
    </w:p>
    <w:tbl>
      <w:tblPr>
        <w:tblW w:w="9520" w:type="dxa"/>
        <w:tblInd w:w="180" w:type="dxa"/>
        <w:tblLayout w:type="fixed"/>
        <w:tblLook w:val="04A0" w:firstRow="1" w:lastRow="0" w:firstColumn="1" w:lastColumn="0" w:noHBand="0" w:noVBand="1"/>
      </w:tblPr>
      <w:tblGrid>
        <w:gridCol w:w="9520"/>
      </w:tblGrid>
      <w:tr w14:paraId="01C626CE" w14:textId="77777777">
        <w:tc>
          <w:tcPr>
            <w:tcW w:w="9520" w:type="dxa"/>
            <w:tcBorders>
              <w:left w:val="single" w:sz="18" w:space="0" w:color="C46A3A"/>
            </w:tcBorders>
            <w:shd w:val="clear" w:color="auto" w:fill="E7EEEE"/>
            <w:tcMar>
              <w:top w:w="130" w:type="dxa"/>
              <w:left w:w="180" w:type="dxa"/>
              <w:bottom w:w="130" w:type="dxa"/>
              <w:right w:w="160" w:type="dxa"/>
            </w:tcMar>
          </w:tcPr>
          <w:p w14:paraId="67ECC81E" w14:textId="77777777">
            <w:pPr>
              <w:spacing w:after="0"/>
            </w:pPr>
            <w:r>
              <w:rPr>
                <w:rFonts w:eastAsia="Arial"/>
                <w:b/>
                <w:color w:val="122C40"/>
              </w:rPr>
              <w:t xml:space="preserve">Abnahmegrundsatz  </w:t>
            </w:r>
            <w:r>
              <w:rPr>
                <w:rFonts w:eastAsia="Arial"/>
              </w:rPr>
              <w:t>Ein korrekt wirkendes Beispieldatum genügt nicht. Freigegeben wird nur eine Kombination aus versionierter Rechtsquelle, nachvollziehbarer Regel und automatisiertem Test. Im Pilot kommt eine dokumentierte, zeitlich getrennte Selbstprüfung hinzu. Die unabhängige fachliche Prüfung wird zum verbindlichen Gate, sobald der Zielbetrieb personell getrennt werden kann.</w:t>
            </w:r>
          </w:p>
        </w:tc>
      </w:tr>
    </w:tbl>
    <w:p w14:paraId="29CB62A3" w14:textId="77777777">
      <w:pPr>
        <w:spacing w:after="20"/>
      </w:pPr>
    </w:p>
    <w:p w14:paraId="7A93CAB9" w14:textId="77777777">
      <w:pPr>
        <w:pStyle w:val="berschrift2"/>
      </w:pPr>
      <w:r>
        <w:t>8.2 Testpyramide</w:t>
      </w:r>
    </w:p>
    <w:tbl>
      <w:tblPr>
        <w:tblStyle w:val="Tabellenraster"/>
        <w:tblW w:w="9640" w:type="dxa"/>
        <w:tblInd w:w="120" w:type="dxa"/>
        <w:tblLayout w:type="fixed"/>
        <w:tblLook w:val="04A0" w:firstRow="1" w:lastRow="0" w:firstColumn="1" w:lastColumn="0" w:noHBand="0" w:noVBand="1"/>
      </w:tblPr>
      <w:tblGrid>
        <w:gridCol w:w="1800"/>
        <w:gridCol w:w="5000"/>
        <w:gridCol w:w="2840"/>
      </w:tblGrid>
      <w:tr w14:paraId="56EB914E" w14:textId="77777777">
        <w:trPr>
          <w:cantSplit/>
          <w:tblHeader/>
        </w:trPr>
        <w:tc>
          <w:tcPr>
            <w:tcW w:w="1800" w:type="dxa"/>
            <w:shd w:val="clear" w:color="auto" w:fill="122C40"/>
            <w:tcMar>
              <w:top w:w="90" w:type="dxa"/>
              <w:left w:w="120" w:type="dxa"/>
              <w:bottom w:w="90" w:type="dxa"/>
              <w:right w:w="120" w:type="dxa"/>
            </w:tcMar>
            <w:vAlign w:val="center"/>
          </w:tcPr>
          <w:p w14:paraId="12D5254E" w14:textId="77777777">
            <w:pPr>
              <w:spacing w:after="0"/>
            </w:pPr>
            <w:r>
              <w:rPr>
                <w:rFonts w:eastAsia="Arial"/>
                <w:b/>
                <w:color w:val="FFFFFF"/>
                <w:sz w:val="17"/>
              </w:rPr>
              <w:t>Testart</w:t>
            </w:r>
          </w:p>
        </w:tc>
        <w:tc>
          <w:tcPr>
            <w:tcW w:w="5000" w:type="dxa"/>
            <w:shd w:val="clear" w:color="auto" w:fill="122C40"/>
            <w:tcMar>
              <w:top w:w="90" w:type="dxa"/>
              <w:left w:w="120" w:type="dxa"/>
              <w:bottom w:w="90" w:type="dxa"/>
              <w:right w:w="120" w:type="dxa"/>
            </w:tcMar>
            <w:vAlign w:val="center"/>
          </w:tcPr>
          <w:p w14:paraId="1604CBD3" w14:textId="77777777">
            <w:pPr>
              <w:spacing w:after="0"/>
            </w:pPr>
            <w:r>
              <w:rPr>
                <w:rFonts w:eastAsia="Arial"/>
                <w:b/>
                <w:color w:val="FFFFFF"/>
                <w:sz w:val="17"/>
              </w:rPr>
              <w:t>Beispiele</w:t>
            </w:r>
          </w:p>
        </w:tc>
        <w:tc>
          <w:tcPr>
            <w:tcW w:w="2840" w:type="dxa"/>
            <w:shd w:val="clear" w:color="auto" w:fill="122C40"/>
            <w:tcMar>
              <w:top w:w="90" w:type="dxa"/>
              <w:left w:w="120" w:type="dxa"/>
              <w:bottom w:w="90" w:type="dxa"/>
              <w:right w:w="120" w:type="dxa"/>
            </w:tcMar>
            <w:vAlign w:val="center"/>
          </w:tcPr>
          <w:p w14:paraId="510C10C1" w14:textId="77777777">
            <w:pPr>
              <w:spacing w:after="0"/>
            </w:pPr>
            <w:r>
              <w:rPr>
                <w:rFonts w:eastAsia="Arial"/>
                <w:b/>
                <w:color w:val="FFFFFF"/>
                <w:sz w:val="17"/>
              </w:rPr>
              <w:t>Gate</w:t>
            </w:r>
          </w:p>
        </w:tc>
      </w:tr>
      <w:tr w14:paraId="5D8ABE06" w14:textId="77777777">
        <w:trPr>
          <w:cantSplit/>
        </w:trPr>
        <w:tc>
          <w:tcPr>
            <w:tcW w:w="1800" w:type="dxa"/>
            <w:tcMar>
              <w:top w:w="75" w:type="dxa"/>
              <w:left w:w="120" w:type="dxa"/>
              <w:bottom w:w="75" w:type="dxa"/>
              <w:right w:w="120" w:type="dxa"/>
            </w:tcMar>
            <w:vAlign w:val="center"/>
          </w:tcPr>
          <w:p w14:paraId="26324B55" w14:textId="77777777">
            <w:pPr>
              <w:spacing w:after="0"/>
            </w:pPr>
            <w:r>
              <w:rPr>
                <w:rFonts w:eastAsia="Arial"/>
                <w:sz w:val="16"/>
              </w:rPr>
              <w:t>Unit Tests</w:t>
            </w:r>
          </w:p>
        </w:tc>
        <w:tc>
          <w:tcPr>
            <w:tcW w:w="5000" w:type="dxa"/>
            <w:tcMar>
              <w:top w:w="75" w:type="dxa"/>
              <w:left w:w="120" w:type="dxa"/>
              <w:bottom w:w="75" w:type="dxa"/>
              <w:right w:w="120" w:type="dxa"/>
            </w:tcMar>
            <w:vAlign w:val="center"/>
          </w:tcPr>
          <w:p w14:paraId="7280C83A" w14:textId="77777777">
            <w:pPr>
              <w:spacing w:after="0"/>
            </w:pPr>
            <w:r>
              <w:rPr>
                <w:rFonts w:eastAsia="Arial"/>
                <w:sz w:val="16"/>
              </w:rPr>
              <w:t>Folgetag, Tageszählung, Stillstand, Wochenende, Feiertag</w:t>
            </w:r>
          </w:p>
        </w:tc>
        <w:tc>
          <w:tcPr>
            <w:tcW w:w="2840" w:type="dxa"/>
            <w:tcMar>
              <w:top w:w="75" w:type="dxa"/>
              <w:left w:w="120" w:type="dxa"/>
              <w:bottom w:w="75" w:type="dxa"/>
              <w:right w:w="120" w:type="dxa"/>
            </w:tcMar>
            <w:vAlign w:val="center"/>
          </w:tcPr>
          <w:p w14:paraId="518E5CCB" w14:textId="77777777">
            <w:pPr>
              <w:spacing w:after="0"/>
            </w:pPr>
            <w:r>
              <w:rPr>
                <w:rFonts w:eastAsia="Arial"/>
                <w:sz w:val="16"/>
              </w:rPr>
              <w:t>Jeder Commit</w:t>
            </w:r>
          </w:p>
        </w:tc>
      </w:tr>
      <w:tr w14:paraId="260E4B6A" w14:textId="77777777">
        <w:trPr>
          <w:cantSplit/>
        </w:trPr>
        <w:tc>
          <w:tcPr>
            <w:tcW w:w="1800" w:type="dxa"/>
            <w:shd w:val="clear" w:color="auto" w:fill="F6F7F5"/>
            <w:tcMar>
              <w:top w:w="75" w:type="dxa"/>
              <w:left w:w="120" w:type="dxa"/>
              <w:bottom w:w="75" w:type="dxa"/>
              <w:right w:w="120" w:type="dxa"/>
            </w:tcMar>
            <w:vAlign w:val="center"/>
          </w:tcPr>
          <w:p w14:paraId="2EA8C3B3" w14:textId="77777777">
            <w:pPr>
              <w:spacing w:after="0"/>
            </w:pPr>
            <w:r>
              <w:rPr>
                <w:rFonts w:eastAsia="Arial"/>
                <w:sz w:val="16"/>
              </w:rPr>
              <w:t>Golden Cases</w:t>
            </w:r>
          </w:p>
        </w:tc>
        <w:tc>
          <w:tcPr>
            <w:tcW w:w="5000" w:type="dxa"/>
            <w:shd w:val="clear" w:color="auto" w:fill="F6F7F5"/>
            <w:tcMar>
              <w:top w:w="75" w:type="dxa"/>
              <w:left w:w="120" w:type="dxa"/>
              <w:bottom w:w="75" w:type="dxa"/>
              <w:right w:w="120" w:type="dxa"/>
            </w:tcMar>
            <w:vAlign w:val="center"/>
          </w:tcPr>
          <w:p w14:paraId="1B686380" w14:textId="77777777">
            <w:pPr>
              <w:spacing w:after="0"/>
            </w:pPr>
            <w:r>
              <w:rPr>
                <w:rFonts w:eastAsia="Arial"/>
                <w:sz w:val="16"/>
              </w:rPr>
              <w:t>Juristisch geprüfte Fälle je Rechtsprofil</w:t>
            </w:r>
          </w:p>
        </w:tc>
        <w:tc>
          <w:tcPr>
            <w:tcW w:w="2840" w:type="dxa"/>
            <w:shd w:val="clear" w:color="auto" w:fill="F6F7F5"/>
            <w:tcMar>
              <w:top w:w="75" w:type="dxa"/>
              <w:left w:w="120" w:type="dxa"/>
              <w:bottom w:w="75" w:type="dxa"/>
              <w:right w:w="120" w:type="dxa"/>
            </w:tcMar>
            <w:vAlign w:val="center"/>
          </w:tcPr>
          <w:p w14:paraId="0EBDE531" w14:textId="77777777">
            <w:pPr>
              <w:spacing w:after="0"/>
            </w:pPr>
            <w:r>
              <w:rPr>
                <w:rFonts w:eastAsia="Arial"/>
                <w:sz w:val="16"/>
              </w:rPr>
              <w:t>Pull Request und Release</w:t>
            </w:r>
          </w:p>
        </w:tc>
      </w:tr>
      <w:tr w14:paraId="7B7E0632" w14:textId="77777777">
        <w:trPr>
          <w:cantSplit/>
        </w:trPr>
        <w:tc>
          <w:tcPr>
            <w:tcW w:w="1800" w:type="dxa"/>
            <w:tcMar>
              <w:top w:w="75" w:type="dxa"/>
              <w:left w:w="120" w:type="dxa"/>
              <w:bottom w:w="75" w:type="dxa"/>
              <w:right w:w="120" w:type="dxa"/>
            </w:tcMar>
            <w:vAlign w:val="center"/>
          </w:tcPr>
          <w:p w14:paraId="0D6FE758" w14:textId="77777777">
            <w:pPr>
              <w:spacing w:after="0"/>
            </w:pPr>
            <w:r>
              <w:rPr>
                <w:rFonts w:eastAsia="Arial"/>
                <w:sz w:val="16"/>
              </w:rPr>
              <w:t>Property Tests</w:t>
            </w:r>
          </w:p>
        </w:tc>
        <w:tc>
          <w:tcPr>
            <w:tcW w:w="5000" w:type="dxa"/>
            <w:tcMar>
              <w:top w:w="75" w:type="dxa"/>
              <w:left w:w="120" w:type="dxa"/>
              <w:bottom w:w="75" w:type="dxa"/>
              <w:right w:w="120" w:type="dxa"/>
            </w:tcMar>
            <w:vAlign w:val="center"/>
          </w:tcPr>
          <w:p w14:paraId="190AD989" w14:textId="77777777">
            <w:pPr>
              <w:spacing w:after="0"/>
            </w:pPr>
            <w:r>
              <w:rPr>
                <w:rFonts w:eastAsia="Arial"/>
                <w:sz w:val="16"/>
              </w:rPr>
              <w:t>Monotonie, Schaltjahre, Jahreswechsel, keine Zeitzonendrift</w:t>
            </w:r>
          </w:p>
        </w:tc>
        <w:tc>
          <w:tcPr>
            <w:tcW w:w="2840" w:type="dxa"/>
            <w:tcMar>
              <w:top w:w="75" w:type="dxa"/>
              <w:left w:w="120" w:type="dxa"/>
              <w:bottom w:w="75" w:type="dxa"/>
              <w:right w:w="120" w:type="dxa"/>
            </w:tcMar>
            <w:vAlign w:val="center"/>
          </w:tcPr>
          <w:p w14:paraId="504829F2" w14:textId="77777777">
            <w:pPr>
              <w:spacing w:after="0"/>
            </w:pPr>
            <w:r>
              <w:rPr>
                <w:rFonts w:eastAsia="Arial"/>
                <w:sz w:val="16"/>
              </w:rPr>
              <w:t>Jeder Commit</w:t>
            </w:r>
          </w:p>
        </w:tc>
      </w:tr>
      <w:tr w14:paraId="26D6E83D" w14:textId="77777777">
        <w:trPr>
          <w:cantSplit/>
        </w:trPr>
        <w:tc>
          <w:tcPr>
            <w:tcW w:w="1800" w:type="dxa"/>
            <w:shd w:val="clear" w:color="auto" w:fill="F6F7F5"/>
            <w:tcMar>
              <w:top w:w="75" w:type="dxa"/>
              <w:left w:w="120" w:type="dxa"/>
              <w:bottom w:w="75" w:type="dxa"/>
              <w:right w:w="120" w:type="dxa"/>
            </w:tcMar>
            <w:vAlign w:val="center"/>
          </w:tcPr>
          <w:p w14:paraId="2CC0B1D6" w14:textId="77777777">
            <w:pPr>
              <w:spacing w:after="0"/>
            </w:pPr>
            <w:r>
              <w:rPr>
                <w:rFonts w:eastAsia="Arial"/>
                <w:sz w:val="16"/>
              </w:rPr>
              <w:t>Datenvalidierung</w:t>
            </w:r>
          </w:p>
        </w:tc>
        <w:tc>
          <w:tcPr>
            <w:tcW w:w="5000" w:type="dxa"/>
            <w:shd w:val="clear" w:color="auto" w:fill="F6F7F5"/>
            <w:tcMar>
              <w:top w:w="75" w:type="dxa"/>
              <w:left w:w="120" w:type="dxa"/>
              <w:bottom w:w="75" w:type="dxa"/>
              <w:right w:w="120" w:type="dxa"/>
            </w:tcMar>
            <w:vAlign w:val="center"/>
          </w:tcPr>
          <w:p w14:paraId="77733A60" w14:textId="77777777">
            <w:pPr>
              <w:spacing w:after="0"/>
            </w:pPr>
            <w:r>
              <w:rPr>
                <w:rFonts w:eastAsia="Arial"/>
                <w:sz w:val="16"/>
              </w:rPr>
              <w:t>Schema, Duplikate, Lücken, Gültigkeitsintervalle, Signatur</w:t>
            </w:r>
          </w:p>
        </w:tc>
        <w:tc>
          <w:tcPr>
            <w:tcW w:w="2840" w:type="dxa"/>
            <w:shd w:val="clear" w:color="auto" w:fill="F6F7F5"/>
            <w:tcMar>
              <w:top w:w="75" w:type="dxa"/>
              <w:left w:w="120" w:type="dxa"/>
              <w:bottom w:w="75" w:type="dxa"/>
              <w:right w:w="120" w:type="dxa"/>
            </w:tcMar>
            <w:vAlign w:val="center"/>
          </w:tcPr>
          <w:p w14:paraId="1A937AB3" w14:textId="77777777">
            <w:pPr>
              <w:spacing w:after="0"/>
            </w:pPr>
            <w:r>
              <w:rPr>
                <w:rFonts w:eastAsia="Arial"/>
                <w:sz w:val="16"/>
              </w:rPr>
              <w:t>Jedes Datenrelease</w:t>
            </w:r>
          </w:p>
        </w:tc>
      </w:tr>
      <w:tr w14:paraId="1F67A281" w14:textId="77777777">
        <w:trPr>
          <w:cantSplit/>
        </w:trPr>
        <w:tc>
          <w:tcPr>
            <w:tcW w:w="1800" w:type="dxa"/>
            <w:tcMar>
              <w:top w:w="75" w:type="dxa"/>
              <w:left w:w="120" w:type="dxa"/>
              <w:bottom w:w="75" w:type="dxa"/>
              <w:right w:w="120" w:type="dxa"/>
            </w:tcMar>
            <w:vAlign w:val="center"/>
          </w:tcPr>
          <w:p w14:paraId="1D984361" w14:textId="77777777">
            <w:pPr>
              <w:spacing w:after="0"/>
            </w:pPr>
            <w:r>
              <w:rPr>
                <w:rFonts w:eastAsia="Arial"/>
                <w:sz w:val="16"/>
              </w:rPr>
              <w:t>UI Tests</w:t>
            </w:r>
          </w:p>
        </w:tc>
        <w:tc>
          <w:tcPr>
            <w:tcW w:w="5000" w:type="dxa"/>
            <w:tcMar>
              <w:top w:w="75" w:type="dxa"/>
              <w:left w:w="120" w:type="dxa"/>
              <w:bottom w:w="75" w:type="dxa"/>
              <w:right w:w="120" w:type="dxa"/>
            </w:tcMar>
            <w:vAlign w:val="center"/>
          </w:tcPr>
          <w:p w14:paraId="755DA432" w14:textId="77777777">
            <w:pPr>
              <w:spacing w:after="0"/>
            </w:pPr>
            <w:r>
              <w:rPr>
                <w:rFonts w:eastAsia="Arial"/>
                <w:sz w:val="16"/>
              </w:rPr>
              <w:t>Bedingte Fragen, Overrides, Rechenspur, Fehlermeldungen</w:t>
            </w:r>
          </w:p>
        </w:tc>
        <w:tc>
          <w:tcPr>
            <w:tcW w:w="2840" w:type="dxa"/>
            <w:tcMar>
              <w:top w:w="75" w:type="dxa"/>
              <w:left w:w="120" w:type="dxa"/>
              <w:bottom w:w="75" w:type="dxa"/>
              <w:right w:w="120" w:type="dxa"/>
            </w:tcMar>
            <w:vAlign w:val="center"/>
          </w:tcPr>
          <w:p w14:paraId="247108B4" w14:textId="77777777">
            <w:pPr>
              <w:spacing w:after="0"/>
            </w:pPr>
            <w:r>
              <w:rPr>
                <w:rFonts w:eastAsia="Arial"/>
                <w:sz w:val="16"/>
              </w:rPr>
              <w:t>Jeder Releasekandidat</w:t>
            </w:r>
          </w:p>
        </w:tc>
      </w:tr>
      <w:tr w14:paraId="01E3471A" w14:textId="77777777">
        <w:trPr>
          <w:cantSplit/>
        </w:trPr>
        <w:tc>
          <w:tcPr>
            <w:tcW w:w="1800" w:type="dxa"/>
            <w:shd w:val="clear" w:color="auto" w:fill="F6F7F5"/>
            <w:tcMar>
              <w:top w:w="75" w:type="dxa"/>
              <w:left w:w="120" w:type="dxa"/>
              <w:bottom w:w="75" w:type="dxa"/>
              <w:right w:w="120" w:type="dxa"/>
            </w:tcMar>
            <w:vAlign w:val="center"/>
          </w:tcPr>
          <w:p w14:paraId="65D202C8" w14:textId="77777777">
            <w:pPr>
              <w:spacing w:after="0"/>
            </w:pPr>
            <w:r>
              <w:rPr>
                <w:rFonts w:eastAsia="Arial"/>
                <w:sz w:val="16"/>
              </w:rPr>
              <w:t>Accessibility</w:t>
            </w:r>
          </w:p>
        </w:tc>
        <w:tc>
          <w:tcPr>
            <w:tcW w:w="5000" w:type="dxa"/>
            <w:shd w:val="clear" w:color="auto" w:fill="F6F7F5"/>
            <w:tcMar>
              <w:top w:w="75" w:type="dxa"/>
              <w:left w:w="120" w:type="dxa"/>
              <w:bottom w:w="75" w:type="dxa"/>
              <w:right w:w="120" w:type="dxa"/>
            </w:tcMar>
            <w:vAlign w:val="center"/>
          </w:tcPr>
          <w:p w14:paraId="44C19D47" w14:textId="77777777">
            <w:pPr>
              <w:spacing w:after="0"/>
            </w:pPr>
            <w:r>
              <w:rPr>
                <w:rFonts w:eastAsia="Arial"/>
                <w:sz w:val="16"/>
              </w:rPr>
              <w:t>Tastatur, Screenreader, Kontrast, Zoom 200 Prozent</w:t>
            </w:r>
          </w:p>
        </w:tc>
        <w:tc>
          <w:tcPr>
            <w:tcW w:w="2840" w:type="dxa"/>
            <w:shd w:val="clear" w:color="auto" w:fill="F6F7F5"/>
            <w:tcMar>
              <w:top w:w="75" w:type="dxa"/>
              <w:left w:w="120" w:type="dxa"/>
              <w:bottom w:w="75" w:type="dxa"/>
              <w:right w:w="120" w:type="dxa"/>
            </w:tcMar>
            <w:vAlign w:val="center"/>
          </w:tcPr>
          <w:p w14:paraId="52BB98D7" w14:textId="77777777">
            <w:pPr>
              <w:spacing w:after="0"/>
            </w:pPr>
            <w:r>
              <w:rPr>
                <w:rFonts w:eastAsia="Arial"/>
                <w:sz w:val="16"/>
              </w:rPr>
              <w:t>Pilot und Hauptrelease</w:t>
            </w:r>
          </w:p>
        </w:tc>
      </w:tr>
      <w:tr w14:paraId="0C762F92" w14:textId="77777777">
        <w:trPr>
          <w:cantSplit/>
        </w:trPr>
        <w:tc>
          <w:tcPr>
            <w:tcW w:w="1800" w:type="dxa"/>
            <w:tcMar>
              <w:top w:w="75" w:type="dxa"/>
              <w:left w:w="120" w:type="dxa"/>
              <w:bottom w:w="75" w:type="dxa"/>
              <w:right w:w="120" w:type="dxa"/>
            </w:tcMar>
            <w:vAlign w:val="center"/>
          </w:tcPr>
          <w:p w14:paraId="072B5F81" w14:textId="77777777">
            <w:pPr>
              <w:spacing w:after="0"/>
            </w:pPr>
            <w:r>
              <w:rPr>
                <w:rFonts w:eastAsia="Arial"/>
                <w:sz w:val="16"/>
              </w:rPr>
              <w:t>Tenant Smoke Test</w:t>
            </w:r>
          </w:p>
        </w:tc>
        <w:tc>
          <w:tcPr>
            <w:tcW w:w="5000" w:type="dxa"/>
            <w:tcMar>
              <w:top w:w="75" w:type="dxa"/>
              <w:left w:w="120" w:type="dxa"/>
              <w:bottom w:w="75" w:type="dxa"/>
              <w:right w:w="120" w:type="dxa"/>
            </w:tcMar>
            <w:vAlign w:val="center"/>
          </w:tcPr>
          <w:p w14:paraId="25FB8E0A" w14:textId="77777777">
            <w:pPr>
              <w:spacing w:after="0"/>
            </w:pPr>
            <w:r>
              <w:rPr>
                <w:rFonts w:eastAsia="Arial"/>
                <w:sz w:val="16"/>
              </w:rPr>
              <w:t>SharePoint-Seite, Teams-Tab, Updateflow, Offline-Fallback</w:t>
            </w:r>
          </w:p>
        </w:tc>
        <w:tc>
          <w:tcPr>
            <w:tcW w:w="2840" w:type="dxa"/>
            <w:tcMar>
              <w:top w:w="75" w:type="dxa"/>
              <w:left w:w="120" w:type="dxa"/>
              <w:bottom w:w="75" w:type="dxa"/>
              <w:right w:w="120" w:type="dxa"/>
            </w:tcMar>
            <w:vAlign w:val="center"/>
          </w:tcPr>
          <w:p w14:paraId="3E84EC9E" w14:textId="77777777">
            <w:pPr>
              <w:spacing w:after="0"/>
            </w:pPr>
            <w:r>
              <w:rPr>
                <w:rFonts w:eastAsia="Arial"/>
                <w:sz w:val="16"/>
              </w:rPr>
              <w:t>Je Zieltenant</w:t>
            </w:r>
          </w:p>
        </w:tc>
      </w:tr>
    </w:tbl>
    <w:p w14:paraId="2D0BBED2" w14:textId="77777777">
      <w:pPr>
        <w:spacing w:after="20"/>
      </w:pPr>
    </w:p>
    <w:p w14:paraId="36A43C68" w14:textId="77777777">
      <w:pPr>
        <w:pStyle w:val="berschrift2"/>
      </w:pPr>
      <w:r>
        <w:t>8.3 Juristische Governance</w:t>
      </w:r>
    </w:p>
    <w:p w14:paraId="55AE2B82" w14:textId="77777777">
      <w:pPr>
        <w:pStyle w:val="Aufzhlungszeichen"/>
      </w:pPr>
      <w:r>
        <w:t>Jede Regel nennt Erlass, Artikel, Fassung, Gültigkeit und Primärquelle.</w:t>
      </w:r>
    </w:p>
    <w:p w14:paraId="15C8103E" w14:textId="77777777">
      <w:pPr>
        <w:pStyle w:val="Aufzhlungszeichen"/>
      </w:pPr>
      <w:r>
        <w:t>In der Pilotphase erstellt, prüft und veröffentlicht David Steimer neue Profile in dokumentierten, zeitlich getrennten Arbeitsgängen.</w:t>
      </w:r>
    </w:p>
    <w:p w14:paraId="3723D139" w14:textId="77777777">
      <w:pPr>
        <w:pStyle w:val="Aufzhlungszeichen"/>
      </w:pPr>
      <w:r>
        <w:t>Der Prüfstatus nennt offen, ob ein Release selbstgeprüft oder unabhängig fachlich freigegeben wurde.</w:t>
      </w:r>
    </w:p>
    <w:p w14:paraId="741E421C" w14:textId="77777777">
      <w:pPr>
        <w:pStyle w:val="Aufzhlungszeichen"/>
      </w:pPr>
      <w:r>
        <w:t>Im Zielbetrieb erstellt eine Person das Profil und eine zweite juristisch qualifizierte Person gibt es unabhängig frei.</w:t>
      </w:r>
    </w:p>
    <w:p w14:paraId="47DB142C" w14:textId="77777777">
      <w:pPr>
        <w:pStyle w:val="Aufzhlungszeichen"/>
      </w:pPr>
      <w:r>
        <w:t>Rechtsprechung wird nur aufgenommen, wenn sie für die maschinelle Regel erforderlich und ausreichend stabil ist.</w:t>
      </w:r>
    </w:p>
    <w:p w14:paraId="3AA1BA52" w14:textId="77777777">
      <w:pPr>
        <w:pStyle w:val="Aufzhlungszeichen"/>
      </w:pPr>
      <w:r>
        <w:t>Unsichere Auslegung führt zu einer sichtbaren Nachfrage oder Warnung, nicht zu einer verdeckten Annahme.</w:t>
      </w:r>
    </w:p>
    <w:p w14:paraId="6975A990" w14:textId="77777777">
      <w:pPr>
        <w:pStyle w:val="Aufzhlungszeichen"/>
      </w:pPr>
      <w:r>
        <w:t>Korrekturen erhalten eine veröffentlichte Änderungsnotiz und bei Bedarf eine Sicherheits- beziehungsweise Fachwarnung.</w:t>
      </w:r>
    </w:p>
    <w:p w14:paraId="61F6E7FB" w14:textId="77777777">
      <w:pPr>
        <w:pStyle w:val="berschrift2"/>
      </w:pPr>
      <w:r>
        <w:t>8.4 Sicherheit und Lieferkette</w:t>
      </w:r>
    </w:p>
    <w:p w14:paraId="582E6CE3" w14:textId="77777777">
      <w:pPr>
        <w:pStyle w:val="Aufzhlungszeichen"/>
      </w:pPr>
      <w:r>
        <w:t>Signierte Releaseartefakte und Prüfsummen für .sppkg und Datensätze.</w:t>
      </w:r>
    </w:p>
    <w:p w14:paraId="08141F1A" w14:textId="77777777">
      <w:pPr>
        <w:pStyle w:val="Aufzhlungszeichen"/>
      </w:pPr>
      <w:r>
        <w:t>Code-Review, Dependency-Scanning, Secret-Scanning und reproduzierbarer Produktionsbuild.</w:t>
      </w:r>
    </w:p>
    <w:p w14:paraId="06F9EBBC" w14:textId="77777777">
      <w:pPr>
        <w:pStyle w:val="Aufzhlungszeichen"/>
      </w:pPr>
      <w:r>
        <w:t>Keine dynamische Ausführung von Code aus dem Kalenderdatenfeed.</w:t>
      </w:r>
    </w:p>
    <w:p w14:paraId="3CD5431E" w14:textId="77777777">
      <w:pPr>
        <w:pStyle w:val="Aufzhlungszeichen"/>
      </w:pPr>
      <w:r>
        <w:t>Strikte JSON-Schema-Prüfung und Ablehnung unbekannter Regeltypen.</w:t>
      </w:r>
    </w:p>
    <w:p w14:paraId="5C7CBC19" w14:textId="77777777">
      <w:pPr>
        <w:pStyle w:val="Aufzhlungszeichen"/>
      </w:pPr>
      <w:r>
        <w:t>Content Security Policy und keine globalen CSS-Regeln, damit SharePoint-Updates das GUI nicht brechen.</w:t>
      </w:r>
    </w:p>
    <w:p w14:paraId="384901FE" w14:textId="77777777">
      <w:pPr>
        <w:pStyle w:val="berschrift2"/>
      </w:pPr>
      <w:r>
        <w:lastRenderedPageBreak/>
        <w:t>8.5 Open-Source-Lizenz</w:t>
      </w:r>
    </w:p>
    <w:p w14:paraId="63DE513A" w14:textId="77777777">
      <w:r>
        <w:t>Der Programmcode wird unter der GNU Affero General Public License Version 3.0 veröffentlicht. Dokumentation sowie kuratierte Regel- und Kalenderdaten bleiben unter CC BY-SA 4.0, soweit die Bedingungen der verwendeten Primärquellen dies zulassen. Creative Commons empfiehlt CC-Lizenzen nicht für Software. Die Trennung verwendet daher für jeden Werktyp eine passende Copyleft-Lizenz. Quellen: [Q17] und [Q18].</w:t>
      </w:r>
    </w:p>
    <w:tbl>
      <w:tblPr>
        <w:tblW w:w="9520" w:type="dxa"/>
        <w:tblInd w:w="180" w:type="dxa"/>
        <w:tblLayout w:type="fixed"/>
        <w:tblLook w:val="04A0" w:firstRow="1" w:lastRow="0" w:firstColumn="1" w:lastColumn="0" w:noHBand="0" w:noVBand="1"/>
      </w:tblPr>
      <w:tblGrid>
        <w:gridCol w:w="9520"/>
      </w:tblGrid>
      <w:tr w14:paraId="209FA2E3" w14:textId="77777777">
        <w:tc>
          <w:tcPr>
            <w:tcW w:w="9520" w:type="dxa"/>
            <w:tcBorders>
              <w:left w:val="single" w:sz="18" w:space="0" w:color="C46A3A"/>
            </w:tcBorders>
            <w:shd w:val="clear" w:color="auto" w:fill="E7EEEE"/>
            <w:tcMar>
              <w:top w:w="130" w:type="dxa"/>
              <w:left w:w="180" w:type="dxa"/>
              <w:bottom w:w="130" w:type="dxa"/>
              <w:right w:w="160" w:type="dxa"/>
            </w:tcMar>
          </w:tcPr>
          <w:p w14:paraId="62DF03BF" w14:textId="77777777">
            <w:pPr>
              <w:spacing w:after="0"/>
            </w:pPr>
            <w:r>
              <w:rPr>
                <w:rFonts w:eastAsia="Arial"/>
                <w:b/>
                <w:color w:val="122C40"/>
              </w:rPr>
              <w:t xml:space="preserve">Lizenzentscheid  </w:t>
            </w:r>
            <w:r>
              <w:rPr>
                <w:rFonts w:eastAsia="Arial"/>
              </w:rPr>
              <w:t>AGPL-3.0 ist für den Code beschlossen. Bei einer veränderten, über ein Netzwerk bereitgestellten Version muss den interagierenden Benutzerinnen und Benutzern der entsprechende Quellcode zugänglich gemacht werden. Die App enthält deshalb gut sichtbar den Link «Quellcode und Lizenz» mit Releasebezug. Quelle: [Q18].</w:t>
            </w:r>
          </w:p>
        </w:tc>
      </w:tr>
    </w:tbl>
    <w:p w14:paraId="2738928B" w14:textId="77777777">
      <w:pPr>
        <w:spacing w:after="20"/>
      </w:pPr>
    </w:p>
    <w:p w14:paraId="405A9B30" w14:textId="77777777">
      <w:pPr>
        <w:spacing w:after="0"/>
      </w:pPr>
      <w:r>
        <w:br w:type="page"/>
      </w:r>
    </w:p>
    <w:p w14:paraId="6F005F38" w14:textId="77777777">
      <w:pPr>
        <w:pStyle w:val="berschrift1"/>
      </w:pPr>
      <w:r>
        <w:lastRenderedPageBreak/>
        <w:t>9 Umsetzung nach HERMES 2022 agil</w:t>
      </w:r>
    </w:p>
    <w:p w14:paraId="7C51DEED" w14:textId="77777777">
      <w:r>
        <w:t>Das Vorhaben wird nach HERMES 2022 agil geführt. Die aktuelle eCH-0054-Fassung 3.1.1 von 2026 enthält redaktionelle Präzisierungen. Wo sie dem beauftragten HERMES-2022-Vorgehen nicht widersprechen, werden diese Präzisierungen berücksichtigt. Quelle: [Q16].</w:t>
      </w:r>
    </w:p>
    <w:p w14:paraId="6BE22667" w14:textId="77777777">
      <w:pPr>
        <w:pStyle w:val="berschrift2"/>
      </w:pPr>
      <w:r>
        <w:t>9.1 Phasen und Etappen</w:t>
      </w:r>
    </w:p>
    <w:tbl>
      <w:tblPr>
        <w:tblStyle w:val="Tabellenraster"/>
        <w:tblW w:w="9640" w:type="dxa"/>
        <w:tblInd w:w="120" w:type="dxa"/>
        <w:tblLayout w:type="fixed"/>
        <w:tblLook w:val="04A0" w:firstRow="1" w:lastRow="0" w:firstColumn="1" w:lastColumn="0" w:noHBand="0" w:noVBand="1"/>
      </w:tblPr>
      <w:tblGrid>
        <w:gridCol w:w="2200"/>
        <w:gridCol w:w="1700"/>
        <w:gridCol w:w="5740"/>
      </w:tblGrid>
      <w:tr w14:paraId="7404CD77" w14:textId="77777777">
        <w:trPr>
          <w:cantSplit/>
          <w:tblHeader/>
        </w:trPr>
        <w:tc>
          <w:tcPr>
            <w:tcW w:w="2200" w:type="dxa"/>
            <w:shd w:val="clear" w:color="auto" w:fill="122C40"/>
            <w:tcMar>
              <w:top w:w="90" w:type="dxa"/>
              <w:left w:w="120" w:type="dxa"/>
              <w:bottom w:w="90" w:type="dxa"/>
              <w:right w:w="120" w:type="dxa"/>
            </w:tcMar>
            <w:vAlign w:val="center"/>
          </w:tcPr>
          <w:p w14:paraId="5DE82471" w14:textId="77777777">
            <w:pPr>
              <w:spacing w:after="0"/>
            </w:pPr>
            <w:r>
              <w:rPr>
                <w:rFonts w:eastAsia="Arial"/>
                <w:b/>
                <w:color w:val="FFFFFF"/>
                <w:sz w:val="17"/>
              </w:rPr>
              <w:t>Phase</w:t>
            </w:r>
          </w:p>
        </w:tc>
        <w:tc>
          <w:tcPr>
            <w:tcW w:w="1700" w:type="dxa"/>
            <w:shd w:val="clear" w:color="auto" w:fill="122C40"/>
            <w:tcMar>
              <w:top w:w="90" w:type="dxa"/>
              <w:left w:w="120" w:type="dxa"/>
              <w:bottom w:w="90" w:type="dxa"/>
              <w:right w:w="120" w:type="dxa"/>
            </w:tcMar>
            <w:vAlign w:val="center"/>
          </w:tcPr>
          <w:p w14:paraId="2DCAF9F7" w14:textId="77777777">
            <w:pPr>
              <w:spacing w:after="0"/>
            </w:pPr>
            <w:r>
              <w:rPr>
                <w:rFonts w:eastAsia="Arial"/>
                <w:b/>
                <w:color w:val="FFFFFF"/>
                <w:sz w:val="17"/>
              </w:rPr>
              <w:t>Dauerindikator</w:t>
            </w:r>
          </w:p>
        </w:tc>
        <w:tc>
          <w:tcPr>
            <w:tcW w:w="5740" w:type="dxa"/>
            <w:shd w:val="clear" w:color="auto" w:fill="122C40"/>
            <w:tcMar>
              <w:top w:w="90" w:type="dxa"/>
              <w:left w:w="120" w:type="dxa"/>
              <w:bottom w:w="90" w:type="dxa"/>
              <w:right w:w="120" w:type="dxa"/>
            </w:tcMar>
            <w:vAlign w:val="center"/>
          </w:tcPr>
          <w:p w14:paraId="5EE43652" w14:textId="77777777">
            <w:pPr>
              <w:spacing w:after="0"/>
            </w:pPr>
            <w:r>
              <w:rPr>
                <w:rFonts w:eastAsia="Arial"/>
                <w:b/>
                <w:color w:val="FFFFFF"/>
                <w:sz w:val="17"/>
              </w:rPr>
              <w:t>Ergebnisse und Gate</w:t>
            </w:r>
          </w:p>
        </w:tc>
      </w:tr>
      <w:tr w14:paraId="7605F64F" w14:textId="77777777">
        <w:trPr>
          <w:cantSplit/>
        </w:trPr>
        <w:tc>
          <w:tcPr>
            <w:tcW w:w="2200" w:type="dxa"/>
            <w:tcMar>
              <w:top w:w="75" w:type="dxa"/>
              <w:left w:w="120" w:type="dxa"/>
              <w:bottom w:w="75" w:type="dxa"/>
              <w:right w:w="120" w:type="dxa"/>
            </w:tcMar>
            <w:vAlign w:val="center"/>
          </w:tcPr>
          <w:p w14:paraId="774B3AB9" w14:textId="77777777">
            <w:pPr>
              <w:spacing w:after="0"/>
            </w:pPr>
            <w:r>
              <w:rPr>
                <w:rFonts w:eastAsia="Arial"/>
                <w:sz w:val="16"/>
              </w:rPr>
              <w:t>Projektbasis</w:t>
            </w:r>
          </w:p>
        </w:tc>
        <w:tc>
          <w:tcPr>
            <w:tcW w:w="1700" w:type="dxa"/>
            <w:tcMar>
              <w:top w:w="75" w:type="dxa"/>
              <w:left w:w="120" w:type="dxa"/>
              <w:bottom w:w="75" w:type="dxa"/>
              <w:right w:w="120" w:type="dxa"/>
            </w:tcMar>
            <w:vAlign w:val="center"/>
          </w:tcPr>
          <w:p w14:paraId="1C18CC03" w14:textId="77777777">
            <w:pPr>
              <w:spacing w:after="0"/>
            </w:pPr>
            <w:r>
              <w:rPr>
                <w:rFonts w:eastAsia="Arial"/>
                <w:sz w:val="16"/>
              </w:rPr>
              <w:t>1 Woche</w:t>
            </w:r>
          </w:p>
        </w:tc>
        <w:tc>
          <w:tcPr>
            <w:tcW w:w="5740" w:type="dxa"/>
            <w:tcMar>
              <w:top w:w="75" w:type="dxa"/>
              <w:left w:w="120" w:type="dxa"/>
              <w:bottom w:w="75" w:type="dxa"/>
              <w:right w:w="120" w:type="dxa"/>
            </w:tcMar>
            <w:vAlign w:val="center"/>
          </w:tcPr>
          <w:p w14:paraId="7E574BDA" w14:textId="77777777">
            <w:pPr>
              <w:spacing w:after="0"/>
            </w:pPr>
            <w:r>
              <w:rPr>
                <w:rFonts w:eastAsia="Arial"/>
                <w:sz w:val="16"/>
              </w:rPr>
              <w:t>Plan freigegeben, Repository und Backlog vorbereitet, Entscheide übernommen</w:t>
            </w:r>
          </w:p>
        </w:tc>
      </w:tr>
      <w:tr w14:paraId="7863E387" w14:textId="77777777">
        <w:trPr>
          <w:cantSplit/>
        </w:trPr>
        <w:tc>
          <w:tcPr>
            <w:tcW w:w="2200" w:type="dxa"/>
            <w:shd w:val="clear" w:color="auto" w:fill="F6F7F5"/>
            <w:tcMar>
              <w:top w:w="75" w:type="dxa"/>
              <w:left w:w="120" w:type="dxa"/>
              <w:bottom w:w="75" w:type="dxa"/>
              <w:right w:w="120" w:type="dxa"/>
            </w:tcMar>
            <w:vAlign w:val="center"/>
          </w:tcPr>
          <w:p w14:paraId="5DC7282A" w14:textId="77777777">
            <w:pPr>
              <w:spacing w:after="0"/>
            </w:pPr>
            <w:r>
              <w:rPr>
                <w:rFonts w:eastAsia="Arial"/>
                <w:sz w:val="16"/>
              </w:rPr>
              <w:t>Fachbasis</w:t>
            </w:r>
          </w:p>
        </w:tc>
        <w:tc>
          <w:tcPr>
            <w:tcW w:w="1700" w:type="dxa"/>
            <w:shd w:val="clear" w:color="auto" w:fill="F6F7F5"/>
            <w:tcMar>
              <w:top w:w="75" w:type="dxa"/>
              <w:left w:w="120" w:type="dxa"/>
              <w:bottom w:w="75" w:type="dxa"/>
              <w:right w:w="120" w:type="dxa"/>
            </w:tcMar>
            <w:vAlign w:val="center"/>
          </w:tcPr>
          <w:p w14:paraId="3C5CA9A7" w14:textId="77777777">
            <w:pPr>
              <w:spacing w:after="0"/>
            </w:pPr>
            <w:r>
              <w:rPr>
                <w:rFonts w:eastAsia="Arial"/>
                <w:sz w:val="16"/>
              </w:rPr>
              <w:t>2–3 Wochen</w:t>
            </w:r>
          </w:p>
        </w:tc>
        <w:tc>
          <w:tcPr>
            <w:tcW w:w="5740" w:type="dxa"/>
            <w:shd w:val="clear" w:color="auto" w:fill="F6F7F5"/>
            <w:tcMar>
              <w:top w:w="75" w:type="dxa"/>
              <w:left w:w="120" w:type="dxa"/>
              <w:bottom w:w="75" w:type="dxa"/>
              <w:right w:w="120" w:type="dxa"/>
            </w:tcMar>
            <w:vAlign w:val="center"/>
          </w:tcPr>
          <w:p w14:paraId="49E52FB4" w14:textId="77777777">
            <w:pPr>
              <w:spacing w:after="0"/>
            </w:pPr>
            <w:r>
              <w:rPr>
                <w:rFonts w:eastAsia="Arial"/>
                <w:sz w:val="16"/>
              </w:rPr>
              <w:t>Rechtsmatrix, Quellenregister, Datenmodell und erste Golden Cases für Bern</w:t>
            </w:r>
          </w:p>
        </w:tc>
      </w:tr>
      <w:tr w14:paraId="19C6B896" w14:textId="77777777">
        <w:trPr>
          <w:cantSplit/>
        </w:trPr>
        <w:tc>
          <w:tcPr>
            <w:tcW w:w="2200" w:type="dxa"/>
            <w:tcMar>
              <w:top w:w="75" w:type="dxa"/>
              <w:left w:w="120" w:type="dxa"/>
              <w:bottom w:w="75" w:type="dxa"/>
              <w:right w:w="120" w:type="dxa"/>
            </w:tcMar>
            <w:vAlign w:val="center"/>
          </w:tcPr>
          <w:p w14:paraId="2B1CBBC3" w14:textId="77777777">
            <w:pPr>
              <w:spacing w:after="0"/>
            </w:pPr>
            <w:r>
              <w:rPr>
                <w:rFonts w:eastAsia="Arial"/>
                <w:sz w:val="16"/>
              </w:rPr>
              <w:t>Machbarkeit</w:t>
            </w:r>
          </w:p>
        </w:tc>
        <w:tc>
          <w:tcPr>
            <w:tcW w:w="1700" w:type="dxa"/>
            <w:tcMar>
              <w:top w:w="75" w:type="dxa"/>
              <w:left w:w="120" w:type="dxa"/>
              <w:bottom w:w="75" w:type="dxa"/>
              <w:right w:w="120" w:type="dxa"/>
            </w:tcMar>
            <w:vAlign w:val="center"/>
          </w:tcPr>
          <w:p w14:paraId="085BFC23" w14:textId="77777777">
            <w:pPr>
              <w:spacing w:after="0"/>
            </w:pPr>
            <w:r>
              <w:rPr>
                <w:rFonts w:eastAsia="Arial"/>
                <w:sz w:val="16"/>
              </w:rPr>
              <w:t>2 Wochen</w:t>
            </w:r>
          </w:p>
        </w:tc>
        <w:tc>
          <w:tcPr>
            <w:tcW w:w="5740" w:type="dxa"/>
            <w:tcMar>
              <w:top w:w="75" w:type="dxa"/>
              <w:left w:w="120" w:type="dxa"/>
              <w:bottom w:w="75" w:type="dxa"/>
              <w:right w:w="120" w:type="dxa"/>
            </w:tcMar>
            <w:vAlign w:val="center"/>
          </w:tcPr>
          <w:p w14:paraId="4BE48B74" w14:textId="77777777">
            <w:pPr>
              <w:spacing w:after="0"/>
            </w:pPr>
            <w:r>
              <w:rPr>
                <w:rFonts w:eastAsia="Arial"/>
                <w:sz w:val="16"/>
              </w:rPr>
              <w:t>SPFx-Spike, Teams-Tab, Provider-Schnittstelle und UX-Grundmuster nachgewiesen</w:t>
            </w:r>
          </w:p>
        </w:tc>
      </w:tr>
      <w:tr w14:paraId="3195E6AE" w14:textId="77777777">
        <w:trPr>
          <w:cantSplit/>
        </w:trPr>
        <w:tc>
          <w:tcPr>
            <w:tcW w:w="2200" w:type="dxa"/>
            <w:shd w:val="clear" w:color="auto" w:fill="F6F7F5"/>
            <w:tcMar>
              <w:top w:w="75" w:type="dxa"/>
              <w:left w:w="120" w:type="dxa"/>
              <w:bottom w:w="75" w:type="dxa"/>
              <w:right w:w="120" w:type="dxa"/>
            </w:tcMar>
            <w:vAlign w:val="center"/>
          </w:tcPr>
          <w:p w14:paraId="77A404FE" w14:textId="77777777">
            <w:pPr>
              <w:spacing w:after="0"/>
            </w:pPr>
            <w:r>
              <w:rPr>
                <w:rFonts w:eastAsia="Arial"/>
                <w:sz w:val="16"/>
              </w:rPr>
              <w:t>Funktionsfähiger MVP</w:t>
            </w:r>
          </w:p>
        </w:tc>
        <w:tc>
          <w:tcPr>
            <w:tcW w:w="1700" w:type="dxa"/>
            <w:shd w:val="clear" w:color="auto" w:fill="F6F7F5"/>
            <w:tcMar>
              <w:top w:w="75" w:type="dxa"/>
              <w:left w:w="120" w:type="dxa"/>
              <w:bottom w:w="75" w:type="dxa"/>
              <w:right w:w="120" w:type="dxa"/>
            </w:tcMar>
            <w:vAlign w:val="center"/>
          </w:tcPr>
          <w:p w14:paraId="6A606E72" w14:textId="77777777">
            <w:pPr>
              <w:spacing w:after="0"/>
            </w:pPr>
            <w:r>
              <w:rPr>
                <w:rFonts w:eastAsia="Arial"/>
                <w:sz w:val="16"/>
              </w:rPr>
              <w:t>4–6 Wochen</w:t>
            </w:r>
          </w:p>
        </w:tc>
        <w:tc>
          <w:tcPr>
            <w:tcW w:w="5740" w:type="dxa"/>
            <w:shd w:val="clear" w:color="auto" w:fill="F6F7F5"/>
            <w:tcMar>
              <w:top w:w="75" w:type="dxa"/>
              <w:left w:w="120" w:type="dxa"/>
              <w:bottom w:w="75" w:type="dxa"/>
              <w:right w:w="120" w:type="dxa"/>
            </w:tcMar>
            <w:vAlign w:val="center"/>
          </w:tcPr>
          <w:p w14:paraId="1079F418" w14:textId="77777777">
            <w:pPr>
              <w:spacing w:after="0"/>
            </w:pPr>
            <w:r>
              <w:rPr>
                <w:rFonts w:eastAsia="Arial"/>
                <w:sz w:val="16"/>
              </w:rPr>
              <w:t>Rechenkern, fünf Rechtsprofile, DE/FR-GUI, Rechenspur und Tests</w:t>
            </w:r>
          </w:p>
        </w:tc>
      </w:tr>
      <w:tr w14:paraId="74D6ADBA" w14:textId="77777777">
        <w:trPr>
          <w:cantSplit/>
        </w:trPr>
        <w:tc>
          <w:tcPr>
            <w:tcW w:w="2200" w:type="dxa"/>
            <w:tcMar>
              <w:top w:w="75" w:type="dxa"/>
              <w:left w:w="120" w:type="dxa"/>
              <w:bottom w:w="75" w:type="dxa"/>
              <w:right w:w="120" w:type="dxa"/>
            </w:tcMar>
            <w:vAlign w:val="center"/>
          </w:tcPr>
          <w:p w14:paraId="5EBF7042" w14:textId="77777777">
            <w:pPr>
              <w:spacing w:after="0"/>
            </w:pPr>
            <w:r>
              <w:rPr>
                <w:rFonts w:eastAsia="Arial"/>
                <w:sz w:val="16"/>
              </w:rPr>
              <w:t>Pilotkandidat</w:t>
            </w:r>
          </w:p>
        </w:tc>
        <w:tc>
          <w:tcPr>
            <w:tcW w:w="1700" w:type="dxa"/>
            <w:tcMar>
              <w:top w:w="75" w:type="dxa"/>
              <w:left w:w="120" w:type="dxa"/>
              <w:bottom w:w="75" w:type="dxa"/>
              <w:right w:w="120" w:type="dxa"/>
            </w:tcMar>
            <w:vAlign w:val="center"/>
          </w:tcPr>
          <w:p w14:paraId="71428604" w14:textId="77777777">
            <w:pPr>
              <w:spacing w:after="0"/>
            </w:pPr>
            <w:r>
              <w:rPr>
                <w:rFonts w:eastAsia="Arial"/>
                <w:sz w:val="16"/>
              </w:rPr>
              <w:t>3–4 Wochen</w:t>
            </w:r>
          </w:p>
        </w:tc>
        <w:tc>
          <w:tcPr>
            <w:tcW w:w="5740" w:type="dxa"/>
            <w:tcMar>
              <w:top w:w="75" w:type="dxa"/>
              <w:left w:w="120" w:type="dxa"/>
              <w:bottom w:w="75" w:type="dxa"/>
              <w:right w:w="120" w:type="dxa"/>
            </w:tcMar>
            <w:vAlign w:val="center"/>
          </w:tcPr>
          <w:p w14:paraId="201C32D4" w14:textId="77777777">
            <w:pPr>
              <w:spacing w:after="0"/>
            </w:pPr>
            <w:r>
              <w:rPr>
                <w:rFonts w:eastAsia="Arial"/>
                <w:sz w:val="16"/>
              </w:rPr>
              <w:t>Kalenderdaten, GitHub-Release, Mirror-Adapter, Deployment und Dokumentation</w:t>
            </w:r>
          </w:p>
        </w:tc>
      </w:tr>
      <w:tr w14:paraId="1FF0BACA" w14:textId="77777777">
        <w:trPr>
          <w:cantSplit/>
        </w:trPr>
        <w:tc>
          <w:tcPr>
            <w:tcW w:w="2200" w:type="dxa"/>
            <w:shd w:val="clear" w:color="auto" w:fill="F6F7F5"/>
            <w:tcMar>
              <w:top w:w="75" w:type="dxa"/>
              <w:left w:w="120" w:type="dxa"/>
              <w:bottom w:w="75" w:type="dxa"/>
              <w:right w:w="120" w:type="dxa"/>
            </w:tcMar>
            <w:vAlign w:val="center"/>
          </w:tcPr>
          <w:p w14:paraId="6AD3BA0B" w14:textId="77777777">
            <w:pPr>
              <w:spacing w:after="0"/>
            </w:pPr>
            <w:r>
              <w:rPr>
                <w:rFonts w:eastAsia="Arial"/>
                <w:sz w:val="16"/>
              </w:rPr>
              <w:t>Pilotrelease</w:t>
            </w:r>
          </w:p>
        </w:tc>
        <w:tc>
          <w:tcPr>
            <w:tcW w:w="1700" w:type="dxa"/>
            <w:shd w:val="clear" w:color="auto" w:fill="F6F7F5"/>
            <w:tcMar>
              <w:top w:w="75" w:type="dxa"/>
              <w:left w:w="120" w:type="dxa"/>
              <w:bottom w:w="75" w:type="dxa"/>
              <w:right w:w="120" w:type="dxa"/>
            </w:tcMar>
            <w:vAlign w:val="center"/>
          </w:tcPr>
          <w:p w14:paraId="57953367" w14:textId="77777777">
            <w:pPr>
              <w:spacing w:after="0"/>
            </w:pPr>
            <w:r>
              <w:rPr>
                <w:rFonts w:eastAsia="Arial"/>
                <w:sz w:val="16"/>
              </w:rPr>
              <w:t>2–3 Wochen</w:t>
            </w:r>
          </w:p>
        </w:tc>
        <w:tc>
          <w:tcPr>
            <w:tcW w:w="5740" w:type="dxa"/>
            <w:shd w:val="clear" w:color="auto" w:fill="F6F7F5"/>
            <w:tcMar>
              <w:top w:w="75" w:type="dxa"/>
              <w:left w:w="120" w:type="dxa"/>
              <w:bottom w:w="75" w:type="dxa"/>
              <w:right w:w="120" w:type="dxa"/>
            </w:tcMar>
            <w:vAlign w:val="center"/>
          </w:tcPr>
          <w:p w14:paraId="11E1D68E" w14:textId="77777777">
            <w:pPr>
              <w:spacing w:after="0"/>
            </w:pPr>
            <w:r>
              <w:rPr>
                <w:rFonts w:eastAsia="Arial"/>
                <w:sz w:val="16"/>
              </w:rPr>
              <w:t>Selbstprüfung, Accessibility, Tenant-Smoke-Test, Freigabe und Veröffentlichung</w:t>
            </w:r>
          </w:p>
        </w:tc>
      </w:tr>
    </w:tbl>
    <w:p w14:paraId="713A8982" w14:textId="77777777">
      <w:pPr>
        <w:spacing w:after="20"/>
      </w:pPr>
    </w:p>
    <w:p w14:paraId="6DBA2DEB" w14:textId="77777777">
      <w:pPr>
        <w:pStyle w:val="BrandSmall"/>
      </w:pPr>
      <w:r>
        <w:t>Der Projekt- und Realisierungsplan Version 1.0 ist für die Aufwandsteuerung führend. Bis zum selbstgeprüften Pilotrelease gelten 14 bis höchstens 19 Nettoarbeitswochen. Die 19 Wochen sind die Obergrenze und kein Zielwert. Ein früherer Abschluss ist ausdrücklich erwünscht. Die juristische Erhebung und Freigabe der Rechtsprofile bleibt der wahrscheinlichste Taktgeber.</w:t>
      </w:r>
    </w:p>
    <w:p w14:paraId="1A808D94" w14:textId="77777777">
      <w:pPr>
        <w:pStyle w:val="berschrift2"/>
      </w:pPr>
      <w:r>
        <w:t>9.2 Product Backlog auf Epic-Ebene</w:t>
      </w:r>
    </w:p>
    <w:tbl>
      <w:tblPr>
        <w:tblStyle w:val="Tabellenraster"/>
        <w:tblW w:w="9640" w:type="dxa"/>
        <w:tblInd w:w="120" w:type="dxa"/>
        <w:tblLayout w:type="fixed"/>
        <w:tblLook w:val="04A0" w:firstRow="1" w:lastRow="0" w:firstColumn="1" w:lastColumn="0" w:noHBand="0" w:noVBand="1"/>
      </w:tblPr>
      <w:tblGrid>
        <w:gridCol w:w="1800"/>
        <w:gridCol w:w="3600"/>
        <w:gridCol w:w="4240"/>
      </w:tblGrid>
      <w:tr w14:paraId="1B802528" w14:textId="77777777">
        <w:trPr>
          <w:cantSplit/>
          <w:tblHeader/>
        </w:trPr>
        <w:tc>
          <w:tcPr>
            <w:tcW w:w="1800" w:type="dxa"/>
            <w:shd w:val="clear" w:color="auto" w:fill="122C40"/>
            <w:tcMar>
              <w:top w:w="90" w:type="dxa"/>
              <w:left w:w="120" w:type="dxa"/>
              <w:bottom w:w="90" w:type="dxa"/>
              <w:right w:w="120" w:type="dxa"/>
            </w:tcMar>
            <w:vAlign w:val="center"/>
          </w:tcPr>
          <w:p w14:paraId="50C42E52" w14:textId="77777777">
            <w:pPr>
              <w:spacing w:after="0"/>
            </w:pPr>
            <w:r>
              <w:rPr>
                <w:rFonts w:eastAsia="Arial"/>
                <w:b/>
                <w:color w:val="FFFFFF"/>
                <w:sz w:val="17"/>
              </w:rPr>
              <w:t>Epic</w:t>
            </w:r>
          </w:p>
        </w:tc>
        <w:tc>
          <w:tcPr>
            <w:tcW w:w="3600" w:type="dxa"/>
            <w:shd w:val="clear" w:color="auto" w:fill="122C40"/>
            <w:tcMar>
              <w:top w:w="90" w:type="dxa"/>
              <w:left w:w="120" w:type="dxa"/>
              <w:bottom w:w="90" w:type="dxa"/>
              <w:right w:w="120" w:type="dxa"/>
            </w:tcMar>
            <w:vAlign w:val="center"/>
          </w:tcPr>
          <w:p w14:paraId="1131EB8A" w14:textId="77777777">
            <w:pPr>
              <w:spacing w:after="0"/>
            </w:pPr>
            <w:r>
              <w:rPr>
                <w:rFonts w:eastAsia="Arial"/>
                <w:b/>
                <w:color w:val="FFFFFF"/>
                <w:sz w:val="17"/>
              </w:rPr>
              <w:t>Ziel</w:t>
            </w:r>
          </w:p>
        </w:tc>
        <w:tc>
          <w:tcPr>
            <w:tcW w:w="4240" w:type="dxa"/>
            <w:shd w:val="clear" w:color="auto" w:fill="122C40"/>
            <w:tcMar>
              <w:top w:w="90" w:type="dxa"/>
              <w:left w:w="120" w:type="dxa"/>
              <w:bottom w:w="90" w:type="dxa"/>
              <w:right w:w="120" w:type="dxa"/>
            </w:tcMar>
            <w:vAlign w:val="center"/>
          </w:tcPr>
          <w:p w14:paraId="4325C840" w14:textId="77777777">
            <w:pPr>
              <w:spacing w:after="0"/>
            </w:pPr>
            <w:r>
              <w:rPr>
                <w:rFonts w:eastAsia="Arial"/>
                <w:b/>
                <w:color w:val="FFFFFF"/>
                <w:sz w:val="17"/>
              </w:rPr>
              <w:t>Definition of Done</w:t>
            </w:r>
          </w:p>
        </w:tc>
      </w:tr>
      <w:tr w14:paraId="1F887DE3" w14:textId="77777777">
        <w:trPr>
          <w:cantSplit/>
        </w:trPr>
        <w:tc>
          <w:tcPr>
            <w:tcW w:w="1800" w:type="dxa"/>
            <w:tcMar>
              <w:top w:w="75" w:type="dxa"/>
              <w:left w:w="120" w:type="dxa"/>
              <w:bottom w:w="75" w:type="dxa"/>
              <w:right w:w="120" w:type="dxa"/>
            </w:tcMar>
            <w:vAlign w:val="center"/>
          </w:tcPr>
          <w:p w14:paraId="1E1E2435" w14:textId="77777777">
            <w:pPr>
              <w:spacing w:after="0"/>
            </w:pPr>
            <w:r>
              <w:rPr>
                <w:rFonts w:eastAsia="Arial"/>
                <w:sz w:val="16"/>
              </w:rPr>
              <w:t>E1 Rechenkern</w:t>
            </w:r>
          </w:p>
        </w:tc>
        <w:tc>
          <w:tcPr>
            <w:tcW w:w="3600" w:type="dxa"/>
            <w:tcMar>
              <w:top w:w="75" w:type="dxa"/>
              <w:left w:w="120" w:type="dxa"/>
              <w:bottom w:w="75" w:type="dxa"/>
              <w:right w:w="120" w:type="dxa"/>
            </w:tcMar>
            <w:vAlign w:val="center"/>
          </w:tcPr>
          <w:p w14:paraId="055FD355" w14:textId="77777777">
            <w:pPr>
              <w:spacing w:after="0"/>
            </w:pPr>
            <w:r>
              <w:rPr>
                <w:rFonts w:eastAsia="Arial"/>
                <w:sz w:val="16"/>
              </w:rPr>
              <w:t>Deterministische Tagesberechnung</w:t>
            </w:r>
          </w:p>
        </w:tc>
        <w:tc>
          <w:tcPr>
            <w:tcW w:w="4240" w:type="dxa"/>
            <w:tcMar>
              <w:top w:w="75" w:type="dxa"/>
              <w:left w:w="120" w:type="dxa"/>
              <w:bottom w:w="75" w:type="dxa"/>
              <w:right w:w="120" w:type="dxa"/>
            </w:tcMar>
            <w:vAlign w:val="center"/>
          </w:tcPr>
          <w:p w14:paraId="483B21B2" w14:textId="77777777">
            <w:pPr>
              <w:spacing w:after="0"/>
            </w:pPr>
            <w:r>
              <w:rPr>
                <w:rFonts w:eastAsia="Arial"/>
                <w:sz w:val="16"/>
              </w:rPr>
              <w:t>Grenzfalltests, keine Zeitstempelabhängigkeit</w:t>
            </w:r>
          </w:p>
        </w:tc>
      </w:tr>
      <w:tr w14:paraId="23317957" w14:textId="77777777">
        <w:trPr>
          <w:cantSplit/>
        </w:trPr>
        <w:tc>
          <w:tcPr>
            <w:tcW w:w="1800" w:type="dxa"/>
            <w:shd w:val="clear" w:color="auto" w:fill="F6F7F5"/>
            <w:tcMar>
              <w:top w:w="75" w:type="dxa"/>
              <w:left w:w="120" w:type="dxa"/>
              <w:bottom w:w="75" w:type="dxa"/>
              <w:right w:w="120" w:type="dxa"/>
            </w:tcMar>
            <w:vAlign w:val="center"/>
          </w:tcPr>
          <w:p w14:paraId="5252273C" w14:textId="77777777">
            <w:pPr>
              <w:spacing w:after="0"/>
            </w:pPr>
            <w:r>
              <w:rPr>
                <w:rFonts w:eastAsia="Arial"/>
                <w:sz w:val="16"/>
              </w:rPr>
              <w:t>E2 Rechtsprofile</w:t>
            </w:r>
          </w:p>
        </w:tc>
        <w:tc>
          <w:tcPr>
            <w:tcW w:w="3600" w:type="dxa"/>
            <w:shd w:val="clear" w:color="auto" w:fill="F6F7F5"/>
            <w:tcMar>
              <w:top w:w="75" w:type="dxa"/>
              <w:left w:w="120" w:type="dxa"/>
              <w:bottom w:w="75" w:type="dxa"/>
              <w:right w:w="120" w:type="dxa"/>
            </w:tcMar>
            <w:vAlign w:val="center"/>
          </w:tcPr>
          <w:p w14:paraId="34B8045C" w14:textId="77777777">
            <w:pPr>
              <w:spacing w:after="0"/>
            </w:pPr>
            <w:r>
              <w:rPr>
                <w:rFonts w:eastAsia="Arial"/>
                <w:sz w:val="16"/>
              </w:rPr>
              <w:t>Versionierte Standard- und Ausnahmeprofile</w:t>
            </w:r>
          </w:p>
        </w:tc>
        <w:tc>
          <w:tcPr>
            <w:tcW w:w="4240" w:type="dxa"/>
            <w:shd w:val="clear" w:color="auto" w:fill="F6F7F5"/>
            <w:tcMar>
              <w:top w:w="75" w:type="dxa"/>
              <w:left w:w="120" w:type="dxa"/>
              <w:bottom w:w="75" w:type="dxa"/>
              <w:right w:w="120" w:type="dxa"/>
            </w:tcMar>
            <w:vAlign w:val="center"/>
          </w:tcPr>
          <w:p w14:paraId="128C15EA" w14:textId="77777777">
            <w:pPr>
              <w:spacing w:after="0"/>
            </w:pPr>
            <w:r>
              <w:rPr>
                <w:rFonts w:eastAsia="Arial"/>
                <w:sz w:val="16"/>
              </w:rPr>
              <w:t>Quelle, Gültigkeit, Pilot-Selbstprüfung dokumentiert</w:t>
            </w:r>
          </w:p>
        </w:tc>
      </w:tr>
      <w:tr w14:paraId="257BFDB8" w14:textId="77777777">
        <w:trPr>
          <w:cantSplit/>
        </w:trPr>
        <w:tc>
          <w:tcPr>
            <w:tcW w:w="1800" w:type="dxa"/>
            <w:tcMar>
              <w:top w:w="75" w:type="dxa"/>
              <w:left w:w="120" w:type="dxa"/>
              <w:bottom w:w="75" w:type="dxa"/>
              <w:right w:w="120" w:type="dxa"/>
            </w:tcMar>
            <w:vAlign w:val="center"/>
          </w:tcPr>
          <w:p w14:paraId="3C08D573" w14:textId="77777777">
            <w:pPr>
              <w:spacing w:after="0"/>
            </w:pPr>
            <w:r>
              <w:rPr>
                <w:rFonts w:eastAsia="Arial"/>
                <w:sz w:val="16"/>
              </w:rPr>
              <w:t>E3 Feiertage</w:t>
            </w:r>
          </w:p>
        </w:tc>
        <w:tc>
          <w:tcPr>
            <w:tcW w:w="3600" w:type="dxa"/>
            <w:tcMar>
              <w:top w:w="75" w:type="dxa"/>
              <w:left w:w="120" w:type="dxa"/>
              <w:bottom w:w="75" w:type="dxa"/>
              <w:right w:w="120" w:type="dxa"/>
            </w:tcMar>
            <w:vAlign w:val="center"/>
          </w:tcPr>
          <w:p w14:paraId="39F16442" w14:textId="77777777">
            <w:pPr>
              <w:spacing w:after="0"/>
            </w:pPr>
            <w:r>
              <w:rPr>
                <w:rFonts w:eastAsia="Arial"/>
                <w:sz w:val="16"/>
              </w:rPr>
              <w:t>Bern und nationale Feiertage</w:t>
            </w:r>
          </w:p>
        </w:tc>
        <w:tc>
          <w:tcPr>
            <w:tcW w:w="4240" w:type="dxa"/>
            <w:tcMar>
              <w:top w:w="75" w:type="dxa"/>
              <w:left w:w="120" w:type="dxa"/>
              <w:bottom w:w="75" w:type="dxa"/>
              <w:right w:w="120" w:type="dxa"/>
            </w:tcMar>
            <w:vAlign w:val="center"/>
          </w:tcPr>
          <w:p w14:paraId="7CA01CC0" w14:textId="77777777">
            <w:pPr>
              <w:spacing w:after="0"/>
            </w:pPr>
            <w:r>
              <w:rPr>
                <w:rFonts w:eastAsia="Arial"/>
                <w:sz w:val="16"/>
              </w:rPr>
              <w:t>Zwei Folgejahre vollständig, lokale Lücken sichtbar</w:t>
            </w:r>
          </w:p>
        </w:tc>
      </w:tr>
      <w:tr w14:paraId="420217D5" w14:textId="77777777">
        <w:trPr>
          <w:cantSplit/>
        </w:trPr>
        <w:tc>
          <w:tcPr>
            <w:tcW w:w="1800" w:type="dxa"/>
            <w:shd w:val="clear" w:color="auto" w:fill="F6F7F5"/>
            <w:tcMar>
              <w:top w:w="75" w:type="dxa"/>
              <w:left w:w="120" w:type="dxa"/>
              <w:bottom w:w="75" w:type="dxa"/>
              <w:right w:w="120" w:type="dxa"/>
            </w:tcMar>
            <w:vAlign w:val="center"/>
          </w:tcPr>
          <w:p w14:paraId="20C13B03" w14:textId="77777777">
            <w:pPr>
              <w:spacing w:after="0"/>
            </w:pPr>
            <w:r>
              <w:rPr>
                <w:rFonts w:eastAsia="Arial"/>
                <w:sz w:val="16"/>
              </w:rPr>
              <w:t>E4 Benutzeroberfläche</w:t>
            </w:r>
          </w:p>
        </w:tc>
        <w:tc>
          <w:tcPr>
            <w:tcW w:w="3600" w:type="dxa"/>
            <w:shd w:val="clear" w:color="auto" w:fill="F6F7F5"/>
            <w:tcMar>
              <w:top w:w="75" w:type="dxa"/>
              <w:left w:w="120" w:type="dxa"/>
              <w:bottom w:w="75" w:type="dxa"/>
              <w:right w:w="120" w:type="dxa"/>
            </w:tcMar>
            <w:vAlign w:val="center"/>
          </w:tcPr>
          <w:p w14:paraId="30019A4A" w14:textId="77777777">
            <w:pPr>
              <w:spacing w:after="0"/>
            </w:pPr>
            <w:r>
              <w:rPr>
                <w:rFonts w:eastAsia="Arial"/>
                <w:sz w:val="16"/>
              </w:rPr>
              <w:t>Erklärbare Automatik auf Deutsch und Französisch</w:t>
            </w:r>
          </w:p>
        </w:tc>
        <w:tc>
          <w:tcPr>
            <w:tcW w:w="4240" w:type="dxa"/>
            <w:shd w:val="clear" w:color="auto" w:fill="F6F7F5"/>
            <w:tcMar>
              <w:top w:w="75" w:type="dxa"/>
              <w:left w:w="120" w:type="dxa"/>
              <w:bottom w:w="75" w:type="dxa"/>
              <w:right w:w="120" w:type="dxa"/>
            </w:tcMar>
            <w:vAlign w:val="center"/>
          </w:tcPr>
          <w:p w14:paraId="4888C533" w14:textId="77777777">
            <w:pPr>
              <w:spacing w:after="0"/>
            </w:pPr>
            <w:r>
              <w:rPr>
                <w:rFonts w:eastAsia="Arial"/>
                <w:sz w:val="16"/>
              </w:rPr>
              <w:t>DE/FR vollständig, Tastatur- und Screenreader-Abnahme</w:t>
            </w:r>
          </w:p>
        </w:tc>
      </w:tr>
      <w:tr w14:paraId="2FF0BD23" w14:textId="77777777">
        <w:trPr>
          <w:cantSplit/>
        </w:trPr>
        <w:tc>
          <w:tcPr>
            <w:tcW w:w="1800" w:type="dxa"/>
            <w:tcMar>
              <w:top w:w="75" w:type="dxa"/>
              <w:left w:w="120" w:type="dxa"/>
              <w:bottom w:w="75" w:type="dxa"/>
              <w:right w:w="120" w:type="dxa"/>
            </w:tcMar>
            <w:vAlign w:val="center"/>
          </w:tcPr>
          <w:p w14:paraId="65592C34" w14:textId="77777777">
            <w:pPr>
              <w:spacing w:after="0"/>
            </w:pPr>
            <w:r>
              <w:rPr>
                <w:rFonts w:eastAsia="Arial"/>
                <w:sz w:val="16"/>
              </w:rPr>
              <w:t>E5 M365-Integration</w:t>
            </w:r>
          </w:p>
        </w:tc>
        <w:tc>
          <w:tcPr>
            <w:tcW w:w="3600" w:type="dxa"/>
            <w:tcMar>
              <w:top w:w="75" w:type="dxa"/>
              <w:left w:w="120" w:type="dxa"/>
              <w:bottom w:w="75" w:type="dxa"/>
              <w:right w:w="120" w:type="dxa"/>
            </w:tcMar>
            <w:vAlign w:val="center"/>
          </w:tcPr>
          <w:p w14:paraId="2901C153" w14:textId="77777777">
            <w:pPr>
              <w:spacing w:after="0"/>
            </w:pPr>
            <w:r>
              <w:rPr>
                <w:rFonts w:eastAsia="Arial"/>
                <w:sz w:val="16"/>
              </w:rPr>
              <w:t>SharePoint und Teams mit einem Paket</w:t>
            </w:r>
          </w:p>
        </w:tc>
        <w:tc>
          <w:tcPr>
            <w:tcW w:w="4240" w:type="dxa"/>
            <w:tcMar>
              <w:top w:w="75" w:type="dxa"/>
              <w:left w:w="120" w:type="dxa"/>
              <w:bottom w:w="75" w:type="dxa"/>
              <w:right w:w="120" w:type="dxa"/>
            </w:tcMar>
            <w:vAlign w:val="center"/>
          </w:tcPr>
          <w:p w14:paraId="43625F59" w14:textId="77777777">
            <w:pPr>
              <w:spacing w:after="0"/>
            </w:pPr>
            <w:r>
              <w:rPr>
                <w:rFonts w:eastAsia="Arial"/>
                <w:sz w:val="16"/>
              </w:rPr>
              <w:t>Pilottenant ohne Sonderbackend</w:t>
            </w:r>
          </w:p>
        </w:tc>
      </w:tr>
      <w:tr w14:paraId="28FD2DB3" w14:textId="77777777">
        <w:trPr>
          <w:cantSplit/>
        </w:trPr>
        <w:tc>
          <w:tcPr>
            <w:tcW w:w="1800" w:type="dxa"/>
            <w:shd w:val="clear" w:color="auto" w:fill="F6F7F5"/>
            <w:tcMar>
              <w:top w:w="75" w:type="dxa"/>
              <w:left w:w="120" w:type="dxa"/>
              <w:bottom w:w="75" w:type="dxa"/>
              <w:right w:w="120" w:type="dxa"/>
            </w:tcMar>
            <w:vAlign w:val="center"/>
          </w:tcPr>
          <w:p w14:paraId="4194BF75" w14:textId="77777777">
            <w:pPr>
              <w:spacing w:after="0"/>
            </w:pPr>
            <w:r>
              <w:rPr>
                <w:rFonts w:eastAsia="Arial"/>
                <w:sz w:val="16"/>
              </w:rPr>
              <w:t>E6 Updateprozess</w:t>
            </w:r>
          </w:p>
        </w:tc>
        <w:tc>
          <w:tcPr>
            <w:tcW w:w="3600" w:type="dxa"/>
            <w:shd w:val="clear" w:color="auto" w:fill="F6F7F5"/>
            <w:tcMar>
              <w:top w:w="75" w:type="dxa"/>
              <w:left w:w="120" w:type="dxa"/>
              <w:bottom w:w="75" w:type="dxa"/>
              <w:right w:w="120" w:type="dxa"/>
            </w:tcMar>
            <w:vAlign w:val="center"/>
          </w:tcPr>
          <w:p w14:paraId="0281B9E2" w14:textId="77777777">
            <w:pPr>
              <w:spacing w:after="0"/>
            </w:pPr>
            <w:r>
              <w:rPr>
                <w:rFonts w:eastAsia="Arial"/>
                <w:sz w:val="16"/>
              </w:rPr>
              <w:t>GitHub-Pilot und SharePoint-Mirror</w:t>
            </w:r>
          </w:p>
        </w:tc>
        <w:tc>
          <w:tcPr>
            <w:tcW w:w="4240" w:type="dxa"/>
            <w:shd w:val="clear" w:color="auto" w:fill="F6F7F5"/>
            <w:tcMar>
              <w:top w:w="75" w:type="dxa"/>
              <w:left w:w="120" w:type="dxa"/>
              <w:bottom w:w="75" w:type="dxa"/>
              <w:right w:w="120" w:type="dxa"/>
            </w:tcMar>
            <w:vAlign w:val="center"/>
          </w:tcPr>
          <w:p w14:paraId="45C4C66D" w14:textId="77777777">
            <w:pPr>
              <w:spacing w:after="0"/>
            </w:pPr>
            <w:r>
              <w:rPr>
                <w:rFonts w:eastAsia="Arial"/>
                <w:sz w:val="16"/>
              </w:rPr>
              <w:t>Beide Provider, Signatur, Fallback und Warnung getestet</w:t>
            </w:r>
          </w:p>
        </w:tc>
      </w:tr>
      <w:tr w14:paraId="66AC2474" w14:textId="77777777">
        <w:trPr>
          <w:cantSplit/>
        </w:trPr>
        <w:tc>
          <w:tcPr>
            <w:tcW w:w="1800" w:type="dxa"/>
            <w:tcMar>
              <w:top w:w="75" w:type="dxa"/>
              <w:left w:w="120" w:type="dxa"/>
              <w:bottom w:w="75" w:type="dxa"/>
              <w:right w:w="120" w:type="dxa"/>
            </w:tcMar>
            <w:vAlign w:val="center"/>
          </w:tcPr>
          <w:p w14:paraId="13CEFE4D" w14:textId="77777777">
            <w:pPr>
              <w:spacing w:after="0"/>
            </w:pPr>
            <w:r>
              <w:rPr>
                <w:rFonts w:eastAsia="Arial"/>
                <w:sz w:val="16"/>
              </w:rPr>
              <w:t>E7 Open Source</w:t>
            </w:r>
          </w:p>
        </w:tc>
        <w:tc>
          <w:tcPr>
            <w:tcW w:w="3600" w:type="dxa"/>
            <w:tcMar>
              <w:top w:w="75" w:type="dxa"/>
              <w:left w:w="120" w:type="dxa"/>
              <w:bottom w:w="75" w:type="dxa"/>
              <w:right w:w="120" w:type="dxa"/>
            </w:tcMar>
            <w:vAlign w:val="center"/>
          </w:tcPr>
          <w:p w14:paraId="06FE9463" w14:textId="77777777">
            <w:pPr>
              <w:spacing w:after="0"/>
            </w:pPr>
            <w:r>
              <w:rPr>
                <w:rFonts w:eastAsia="Arial"/>
                <w:sz w:val="16"/>
              </w:rPr>
              <w:t>AGPL-konforme Beiträge und Releases</w:t>
            </w:r>
          </w:p>
        </w:tc>
        <w:tc>
          <w:tcPr>
            <w:tcW w:w="4240" w:type="dxa"/>
            <w:tcMar>
              <w:top w:w="75" w:type="dxa"/>
              <w:left w:w="120" w:type="dxa"/>
              <w:bottom w:w="75" w:type="dxa"/>
              <w:right w:w="120" w:type="dxa"/>
            </w:tcMar>
            <w:vAlign w:val="center"/>
          </w:tcPr>
          <w:p w14:paraId="6F8F4738" w14:textId="77777777">
            <w:pPr>
              <w:spacing w:after="0"/>
            </w:pPr>
            <w:r>
              <w:rPr>
                <w:rFonts w:eastAsia="Arial"/>
                <w:sz w:val="16"/>
              </w:rPr>
              <w:t>AGPL-3.0, Quellcode-Link, CONTRIBUTING, Security Policy, Changelog</w:t>
            </w:r>
          </w:p>
        </w:tc>
      </w:tr>
    </w:tbl>
    <w:p w14:paraId="74FF72BE" w14:textId="77777777">
      <w:pPr>
        <w:spacing w:after="20"/>
      </w:pPr>
    </w:p>
    <w:p w14:paraId="06E1E5DA" w14:textId="77777777">
      <w:pPr>
        <w:spacing w:after="0"/>
      </w:pPr>
      <w:r>
        <w:br w:type="page"/>
      </w:r>
    </w:p>
    <w:p w14:paraId="233B9538" w14:textId="77777777">
      <w:pPr>
        <w:pStyle w:val="berschrift2"/>
      </w:pPr>
      <w:r>
        <w:lastRenderedPageBreak/>
        <w:t>9.3 Rollen</w:t>
      </w:r>
    </w:p>
    <w:tbl>
      <w:tblPr>
        <w:tblW w:w="9520" w:type="dxa"/>
        <w:tblInd w:w="180" w:type="dxa"/>
        <w:tblLayout w:type="fixed"/>
        <w:tblLook w:val="04A0" w:firstRow="1" w:lastRow="0" w:firstColumn="1" w:lastColumn="0" w:noHBand="0" w:noVBand="1"/>
      </w:tblPr>
      <w:tblGrid>
        <w:gridCol w:w="9520"/>
      </w:tblGrid>
      <w:tr w14:paraId="6658F2D4" w14:textId="77777777">
        <w:tc>
          <w:tcPr>
            <w:tcW w:w="9520" w:type="dxa"/>
            <w:tcBorders>
              <w:left w:val="single" w:sz="18" w:space="0" w:color="2F6F73"/>
            </w:tcBorders>
            <w:shd w:val="clear" w:color="auto" w:fill="E7EEEE"/>
            <w:tcMar>
              <w:top w:w="130" w:type="dxa"/>
              <w:left w:w="180" w:type="dxa"/>
              <w:bottom w:w="130" w:type="dxa"/>
              <w:right w:w="160" w:type="dxa"/>
            </w:tcMar>
          </w:tcPr>
          <w:p w14:paraId="3FD84196" w14:textId="77777777">
            <w:pPr>
              <w:spacing w:after="0"/>
            </w:pPr>
            <w:r>
              <w:rPr>
                <w:rFonts w:eastAsia="Arial"/>
                <w:b/>
                <w:color w:val="122C40"/>
              </w:rPr>
              <w:t xml:space="preserve">Rollenbesetzung  </w:t>
            </w:r>
            <w:r>
              <w:rPr>
                <w:rFonts w:eastAsia="Arial"/>
              </w:rPr>
              <w:t>Die nachfolgenden Rollen beschreiben das künftige HERMES- und Betriebsmodell. In der aktuellen Einpersonenphase werden sie vollständig durch David Steimer wahrgenommen. Die Rollen bleiben getrennt dokumentiert, damit Verantwortungen bei einer späteren Erweiterung ohne konzeptionellen Umbau übergeben werden können.</w:t>
            </w:r>
          </w:p>
        </w:tc>
      </w:tr>
    </w:tbl>
    <w:p w14:paraId="7D6898F6" w14:textId="77777777">
      <w:pPr>
        <w:spacing w:after="20"/>
      </w:pPr>
    </w:p>
    <w:p w14:paraId="30C10F6D" w14:textId="77777777">
      <w:pPr>
        <w:pStyle w:val="Aufzhlungszeichen"/>
      </w:pPr>
      <w:r>
        <w:t>Auftraggeber entscheidet Scope, Finanzierung und Risikotoleranz.</w:t>
      </w:r>
    </w:p>
    <w:p w14:paraId="79799E63" w14:textId="77777777">
      <w:pPr>
        <w:pStyle w:val="Aufzhlungszeichen"/>
      </w:pPr>
      <w:r>
        <w:t>Anwendervertreter verantwortet Produktziel, Backlog und fachliche Abnahme.</w:t>
      </w:r>
    </w:p>
    <w:p w14:paraId="49BE3B58" w14:textId="77777777">
      <w:pPr>
        <w:pStyle w:val="Aufzhlungszeichen"/>
      </w:pPr>
      <w:r>
        <w:t>Projektleitung steuert HERMES-Ergebnisse, Risiken und Entscheide.</w:t>
      </w:r>
    </w:p>
    <w:p w14:paraId="21F770B8" w14:textId="77777777">
      <w:pPr>
        <w:pStyle w:val="Aufzhlungszeichen"/>
      </w:pPr>
      <w:r>
        <w:t>Entwicklungsteam liefert inkrementell und automatisiert geprüft.</w:t>
      </w:r>
    </w:p>
    <w:p w14:paraId="2CABFCD7" w14:textId="77777777">
      <w:pPr>
        <w:pStyle w:val="Aufzhlungszeichen"/>
      </w:pPr>
      <w:r>
        <w:t>Juristische Fachstelle verantwortet Rechtsprofile und Datenreleases.</w:t>
      </w:r>
    </w:p>
    <w:p w14:paraId="5D0F8E35" w14:textId="77777777">
      <w:pPr>
        <w:pStyle w:val="Aufzhlungszeichen"/>
      </w:pPr>
      <w:r>
        <w:t>Betriebsverantwortung stellt Tenant-Deployment und lokalen Support sicher.</w:t>
      </w:r>
    </w:p>
    <w:p w14:paraId="38CF79BF" w14:textId="77777777">
      <w:pPr>
        <w:spacing w:after="0"/>
      </w:pPr>
      <w:r>
        <w:br w:type="page"/>
      </w:r>
    </w:p>
    <w:p w14:paraId="0A7E5CD9" w14:textId="77777777">
      <w:pPr>
        <w:pStyle w:val="berschrift1"/>
      </w:pPr>
      <w:r>
        <w:lastRenderedPageBreak/>
        <w:t>10 Entscheide, Risiken und nächste Schritte</w:t>
      </w:r>
    </w:p>
    <w:p w14:paraId="2CBC96BF" w14:textId="77777777">
      <w:pPr>
        <w:pStyle w:val="berschrift2"/>
      </w:pPr>
      <w:r>
        <w:t>10.1 Wesentliche Risiken</w:t>
      </w:r>
    </w:p>
    <w:tbl>
      <w:tblPr>
        <w:tblStyle w:val="Tabellenraster"/>
        <w:tblW w:w="9640" w:type="dxa"/>
        <w:tblInd w:w="120" w:type="dxa"/>
        <w:tblLayout w:type="fixed"/>
        <w:tblLook w:val="04A0" w:firstRow="1" w:lastRow="0" w:firstColumn="1" w:lastColumn="0" w:noHBand="0" w:noVBand="1"/>
      </w:tblPr>
      <w:tblGrid>
        <w:gridCol w:w="1800"/>
        <w:gridCol w:w="1900"/>
        <w:gridCol w:w="4200"/>
        <w:gridCol w:w="1740"/>
      </w:tblGrid>
      <w:tr w14:paraId="5D0EC813" w14:textId="77777777">
        <w:trPr>
          <w:cantSplit/>
          <w:tblHeader/>
        </w:trPr>
        <w:tc>
          <w:tcPr>
            <w:tcW w:w="1800" w:type="dxa"/>
            <w:shd w:val="clear" w:color="auto" w:fill="122C40"/>
            <w:tcMar>
              <w:top w:w="90" w:type="dxa"/>
              <w:left w:w="120" w:type="dxa"/>
              <w:bottom w:w="90" w:type="dxa"/>
              <w:right w:w="120" w:type="dxa"/>
            </w:tcMar>
            <w:vAlign w:val="center"/>
          </w:tcPr>
          <w:p w14:paraId="59EFF3C7" w14:textId="77777777">
            <w:pPr>
              <w:spacing w:after="0"/>
            </w:pPr>
            <w:r>
              <w:rPr>
                <w:rFonts w:eastAsia="Arial"/>
                <w:b/>
                <w:color w:val="FFFFFF"/>
                <w:sz w:val="17"/>
              </w:rPr>
              <w:t>Risiko</w:t>
            </w:r>
          </w:p>
        </w:tc>
        <w:tc>
          <w:tcPr>
            <w:tcW w:w="1900" w:type="dxa"/>
            <w:shd w:val="clear" w:color="auto" w:fill="122C40"/>
            <w:tcMar>
              <w:top w:w="90" w:type="dxa"/>
              <w:left w:w="120" w:type="dxa"/>
              <w:bottom w:w="90" w:type="dxa"/>
              <w:right w:w="120" w:type="dxa"/>
            </w:tcMar>
            <w:vAlign w:val="center"/>
          </w:tcPr>
          <w:p w14:paraId="656803B0" w14:textId="77777777">
            <w:pPr>
              <w:spacing w:after="0"/>
            </w:pPr>
            <w:r>
              <w:rPr>
                <w:rFonts w:eastAsia="Arial"/>
                <w:b/>
                <w:color w:val="FFFFFF"/>
                <w:sz w:val="17"/>
              </w:rPr>
              <w:t>Wirkung</w:t>
            </w:r>
          </w:p>
        </w:tc>
        <w:tc>
          <w:tcPr>
            <w:tcW w:w="4200" w:type="dxa"/>
            <w:shd w:val="clear" w:color="auto" w:fill="122C40"/>
            <w:tcMar>
              <w:top w:w="90" w:type="dxa"/>
              <w:left w:w="120" w:type="dxa"/>
              <w:bottom w:w="90" w:type="dxa"/>
              <w:right w:w="120" w:type="dxa"/>
            </w:tcMar>
            <w:vAlign w:val="center"/>
          </w:tcPr>
          <w:p w14:paraId="62627471" w14:textId="77777777">
            <w:pPr>
              <w:spacing w:after="0"/>
            </w:pPr>
            <w:r>
              <w:rPr>
                <w:rFonts w:eastAsia="Arial"/>
                <w:b/>
                <w:color w:val="FFFFFF"/>
                <w:sz w:val="17"/>
              </w:rPr>
              <w:t>Kontrolle</w:t>
            </w:r>
          </w:p>
        </w:tc>
        <w:tc>
          <w:tcPr>
            <w:tcW w:w="1740" w:type="dxa"/>
            <w:shd w:val="clear" w:color="auto" w:fill="122C40"/>
            <w:tcMar>
              <w:top w:w="90" w:type="dxa"/>
              <w:left w:w="120" w:type="dxa"/>
              <w:bottom w:w="90" w:type="dxa"/>
              <w:right w:w="120" w:type="dxa"/>
            </w:tcMar>
            <w:vAlign w:val="center"/>
          </w:tcPr>
          <w:p w14:paraId="7619F667" w14:textId="77777777">
            <w:pPr>
              <w:spacing w:after="0"/>
            </w:pPr>
            <w:r>
              <w:rPr>
                <w:rFonts w:eastAsia="Arial"/>
                <w:b/>
                <w:color w:val="FFFFFF"/>
                <w:sz w:val="17"/>
              </w:rPr>
              <w:t>Verantwortlich</w:t>
            </w:r>
          </w:p>
        </w:tc>
      </w:tr>
      <w:tr w14:paraId="1D37755F" w14:textId="77777777">
        <w:trPr>
          <w:cantSplit/>
        </w:trPr>
        <w:tc>
          <w:tcPr>
            <w:tcW w:w="1800" w:type="dxa"/>
            <w:tcMar>
              <w:top w:w="75" w:type="dxa"/>
              <w:left w:w="120" w:type="dxa"/>
              <w:bottom w:w="75" w:type="dxa"/>
              <w:right w:w="120" w:type="dxa"/>
            </w:tcMar>
            <w:vAlign w:val="center"/>
          </w:tcPr>
          <w:p w14:paraId="1B1E6815" w14:textId="77777777">
            <w:pPr>
              <w:spacing w:after="0"/>
            </w:pPr>
            <w:r>
              <w:rPr>
                <w:rFonts w:eastAsia="Arial"/>
                <w:sz w:val="16"/>
              </w:rPr>
              <w:t>Unvollständige Spezialregeln</w:t>
            </w:r>
          </w:p>
        </w:tc>
        <w:tc>
          <w:tcPr>
            <w:tcW w:w="1900" w:type="dxa"/>
            <w:tcMar>
              <w:top w:w="75" w:type="dxa"/>
              <w:left w:w="120" w:type="dxa"/>
              <w:bottom w:w="75" w:type="dxa"/>
              <w:right w:w="120" w:type="dxa"/>
            </w:tcMar>
            <w:vAlign w:val="center"/>
          </w:tcPr>
          <w:p w14:paraId="788BA5AC" w14:textId="77777777">
            <w:pPr>
              <w:spacing w:after="0"/>
            </w:pPr>
            <w:r>
              <w:rPr>
                <w:rFonts w:eastAsia="Arial"/>
                <w:sz w:val="16"/>
              </w:rPr>
              <w:t>Falsches Fristende</w:t>
            </w:r>
          </w:p>
        </w:tc>
        <w:tc>
          <w:tcPr>
            <w:tcW w:w="4200" w:type="dxa"/>
            <w:tcMar>
              <w:top w:w="75" w:type="dxa"/>
              <w:left w:w="120" w:type="dxa"/>
              <w:bottom w:w="75" w:type="dxa"/>
              <w:right w:w="120" w:type="dxa"/>
            </w:tcMar>
            <w:vAlign w:val="center"/>
          </w:tcPr>
          <w:p w14:paraId="205FB298" w14:textId="77777777">
            <w:pPr>
              <w:spacing w:after="0"/>
            </w:pPr>
            <w:r>
              <w:rPr>
                <w:rFonts w:eastAsia="Arial"/>
                <w:sz w:val="16"/>
              </w:rPr>
              <w:t>Begrenzte Profile, Warnung, Tests und dokumentierte Prüfung</w:t>
            </w:r>
          </w:p>
        </w:tc>
        <w:tc>
          <w:tcPr>
            <w:tcW w:w="1740" w:type="dxa"/>
            <w:tcMar>
              <w:top w:w="75" w:type="dxa"/>
              <w:left w:w="120" w:type="dxa"/>
              <w:bottom w:w="75" w:type="dxa"/>
              <w:right w:w="120" w:type="dxa"/>
            </w:tcMar>
            <w:vAlign w:val="center"/>
          </w:tcPr>
          <w:p w14:paraId="1253357B" w14:textId="77777777">
            <w:pPr>
              <w:spacing w:after="0"/>
            </w:pPr>
            <w:r>
              <w:rPr>
                <w:rFonts w:eastAsia="Arial"/>
                <w:sz w:val="16"/>
              </w:rPr>
              <w:t>David Steimer</w:t>
            </w:r>
          </w:p>
        </w:tc>
      </w:tr>
      <w:tr w14:paraId="1E64603B" w14:textId="77777777">
        <w:trPr>
          <w:cantSplit/>
        </w:trPr>
        <w:tc>
          <w:tcPr>
            <w:tcW w:w="1800" w:type="dxa"/>
            <w:shd w:val="clear" w:color="auto" w:fill="F6F7F5"/>
            <w:tcMar>
              <w:top w:w="75" w:type="dxa"/>
              <w:left w:w="120" w:type="dxa"/>
              <w:bottom w:w="75" w:type="dxa"/>
              <w:right w:w="120" w:type="dxa"/>
            </w:tcMar>
            <w:vAlign w:val="center"/>
          </w:tcPr>
          <w:p w14:paraId="739E6E23" w14:textId="77777777">
            <w:pPr>
              <w:spacing w:after="0"/>
            </w:pPr>
            <w:r>
              <w:rPr>
                <w:rFonts w:eastAsia="Arial"/>
                <w:sz w:val="16"/>
              </w:rPr>
              <w:t>Feiertagsquelle veraltet</w:t>
            </w:r>
          </w:p>
        </w:tc>
        <w:tc>
          <w:tcPr>
            <w:tcW w:w="1900" w:type="dxa"/>
            <w:shd w:val="clear" w:color="auto" w:fill="F6F7F5"/>
            <w:tcMar>
              <w:top w:w="75" w:type="dxa"/>
              <w:left w:w="120" w:type="dxa"/>
              <w:bottom w:w="75" w:type="dxa"/>
              <w:right w:w="120" w:type="dxa"/>
            </w:tcMar>
            <w:vAlign w:val="center"/>
          </w:tcPr>
          <w:p w14:paraId="1FF43080" w14:textId="77777777">
            <w:pPr>
              <w:spacing w:after="0"/>
            </w:pPr>
            <w:r>
              <w:rPr>
                <w:rFonts w:eastAsia="Arial"/>
                <w:sz w:val="16"/>
              </w:rPr>
              <w:t>Falsche Werktagsverschiebung</w:t>
            </w:r>
          </w:p>
        </w:tc>
        <w:tc>
          <w:tcPr>
            <w:tcW w:w="4200" w:type="dxa"/>
            <w:shd w:val="clear" w:color="auto" w:fill="F6F7F5"/>
            <w:tcMar>
              <w:top w:w="75" w:type="dxa"/>
              <w:left w:w="120" w:type="dxa"/>
              <w:bottom w:w="75" w:type="dxa"/>
              <w:right w:w="120" w:type="dxa"/>
            </w:tcMar>
            <w:vAlign w:val="center"/>
          </w:tcPr>
          <w:p w14:paraId="75F554AC" w14:textId="77777777">
            <w:pPr>
              <w:spacing w:after="0"/>
            </w:pPr>
            <w:r>
              <w:rPr>
                <w:rFonts w:eastAsia="Arial"/>
                <w:sz w:val="16"/>
              </w:rPr>
              <w:t>Primärquellen, Gültigkeit, Jahresrelease und Lückenstatus</w:t>
            </w:r>
          </w:p>
        </w:tc>
        <w:tc>
          <w:tcPr>
            <w:tcW w:w="1740" w:type="dxa"/>
            <w:shd w:val="clear" w:color="auto" w:fill="F6F7F5"/>
            <w:tcMar>
              <w:top w:w="75" w:type="dxa"/>
              <w:left w:w="120" w:type="dxa"/>
              <w:bottom w:w="75" w:type="dxa"/>
              <w:right w:w="120" w:type="dxa"/>
            </w:tcMar>
            <w:vAlign w:val="center"/>
          </w:tcPr>
          <w:p w14:paraId="5FBE30D6" w14:textId="77777777">
            <w:pPr>
              <w:spacing w:after="0"/>
            </w:pPr>
            <w:r>
              <w:rPr>
                <w:rFonts w:eastAsia="Arial"/>
                <w:sz w:val="16"/>
              </w:rPr>
              <w:t>Datenpflege</w:t>
            </w:r>
          </w:p>
        </w:tc>
      </w:tr>
      <w:tr w14:paraId="50905E25" w14:textId="77777777">
        <w:trPr>
          <w:cantSplit/>
        </w:trPr>
        <w:tc>
          <w:tcPr>
            <w:tcW w:w="1800" w:type="dxa"/>
            <w:tcMar>
              <w:top w:w="75" w:type="dxa"/>
              <w:left w:w="120" w:type="dxa"/>
              <w:bottom w:w="75" w:type="dxa"/>
              <w:right w:w="120" w:type="dxa"/>
            </w:tcMar>
            <w:vAlign w:val="center"/>
          </w:tcPr>
          <w:p w14:paraId="0BCC6CC9" w14:textId="77777777">
            <w:pPr>
              <w:spacing w:after="0"/>
            </w:pPr>
            <w:r>
              <w:rPr>
                <w:rFonts w:eastAsia="Arial"/>
                <w:sz w:val="16"/>
              </w:rPr>
              <w:t>Personalunion</w:t>
            </w:r>
          </w:p>
        </w:tc>
        <w:tc>
          <w:tcPr>
            <w:tcW w:w="1900" w:type="dxa"/>
            <w:tcMar>
              <w:top w:w="75" w:type="dxa"/>
              <w:left w:w="120" w:type="dxa"/>
              <w:bottom w:w="75" w:type="dxa"/>
              <w:right w:w="120" w:type="dxa"/>
            </w:tcMar>
            <w:vAlign w:val="center"/>
          </w:tcPr>
          <w:p w14:paraId="3C761B15" w14:textId="77777777">
            <w:pPr>
              <w:spacing w:after="0"/>
            </w:pPr>
            <w:r>
              <w:rPr>
                <w:rFonts w:eastAsia="Arial"/>
                <w:sz w:val="16"/>
              </w:rPr>
              <w:t>Prüfbias und Ausfallrisiko</w:t>
            </w:r>
          </w:p>
        </w:tc>
        <w:tc>
          <w:tcPr>
            <w:tcW w:w="4200" w:type="dxa"/>
            <w:tcMar>
              <w:top w:w="75" w:type="dxa"/>
              <w:left w:w="120" w:type="dxa"/>
              <w:bottom w:w="75" w:type="dxa"/>
              <w:right w:w="120" w:type="dxa"/>
            </w:tcMar>
            <w:vAlign w:val="center"/>
          </w:tcPr>
          <w:p w14:paraId="19F9DA16" w14:textId="77777777">
            <w:pPr>
              <w:spacing w:after="0"/>
            </w:pPr>
            <w:r>
              <w:rPr>
                <w:rFonts w:eastAsia="Arial"/>
                <w:sz w:val="16"/>
              </w:rPr>
              <w:t>Tests, Rechenspur, zeitlich getrennte Selbstprüfung, später Zweitperson</w:t>
            </w:r>
          </w:p>
        </w:tc>
        <w:tc>
          <w:tcPr>
            <w:tcW w:w="1740" w:type="dxa"/>
            <w:tcMar>
              <w:top w:w="75" w:type="dxa"/>
              <w:left w:w="120" w:type="dxa"/>
              <w:bottom w:w="75" w:type="dxa"/>
              <w:right w:w="120" w:type="dxa"/>
            </w:tcMar>
            <w:vAlign w:val="center"/>
          </w:tcPr>
          <w:p w14:paraId="21302F39" w14:textId="77777777">
            <w:pPr>
              <w:spacing w:after="0"/>
            </w:pPr>
            <w:r>
              <w:rPr>
                <w:rFonts w:eastAsia="Arial"/>
                <w:sz w:val="16"/>
              </w:rPr>
              <w:t>David Steimer</w:t>
            </w:r>
          </w:p>
        </w:tc>
      </w:tr>
      <w:tr w14:paraId="78A2D854" w14:textId="77777777">
        <w:trPr>
          <w:cantSplit/>
        </w:trPr>
        <w:tc>
          <w:tcPr>
            <w:tcW w:w="1800" w:type="dxa"/>
            <w:shd w:val="clear" w:color="auto" w:fill="F6F7F5"/>
            <w:tcMar>
              <w:top w:w="75" w:type="dxa"/>
              <w:left w:w="120" w:type="dxa"/>
              <w:bottom w:w="75" w:type="dxa"/>
              <w:right w:w="120" w:type="dxa"/>
            </w:tcMar>
            <w:vAlign w:val="center"/>
          </w:tcPr>
          <w:p w14:paraId="4D78935F" w14:textId="77777777">
            <w:pPr>
              <w:spacing w:after="0"/>
            </w:pPr>
            <w:r>
              <w:rPr>
                <w:rFonts w:eastAsia="Arial"/>
                <w:sz w:val="16"/>
              </w:rPr>
              <w:t>GitHub und Mirror driften</w:t>
            </w:r>
          </w:p>
        </w:tc>
        <w:tc>
          <w:tcPr>
            <w:tcW w:w="1900" w:type="dxa"/>
            <w:shd w:val="clear" w:color="auto" w:fill="F6F7F5"/>
            <w:tcMar>
              <w:top w:w="75" w:type="dxa"/>
              <w:left w:w="120" w:type="dxa"/>
              <w:bottom w:w="75" w:type="dxa"/>
              <w:right w:w="120" w:type="dxa"/>
            </w:tcMar>
            <w:vAlign w:val="center"/>
          </w:tcPr>
          <w:p w14:paraId="25BA8CDD" w14:textId="77777777">
            <w:pPr>
              <w:spacing w:after="0"/>
            </w:pPr>
            <w:r>
              <w:rPr>
                <w:rFonts w:eastAsia="Arial"/>
                <w:sz w:val="16"/>
              </w:rPr>
              <w:t>Unterschiedliche Datenstände</w:t>
            </w:r>
          </w:p>
        </w:tc>
        <w:tc>
          <w:tcPr>
            <w:tcW w:w="4200" w:type="dxa"/>
            <w:shd w:val="clear" w:color="auto" w:fill="F6F7F5"/>
            <w:tcMar>
              <w:top w:w="75" w:type="dxa"/>
              <w:left w:w="120" w:type="dxa"/>
              <w:bottom w:w="75" w:type="dxa"/>
              <w:right w:w="120" w:type="dxa"/>
            </w:tcMar>
            <w:vAlign w:val="center"/>
          </w:tcPr>
          <w:p w14:paraId="00BABC9A" w14:textId="77777777">
            <w:pPr>
              <w:spacing w:after="0"/>
            </w:pPr>
            <w:r>
              <w:rPr>
                <w:rFonts w:eastAsia="Arial"/>
                <w:sz w:val="16"/>
              </w:rPr>
              <w:t>Identisches signiertes Release, Release-ID und Prüfsummenanzeige</w:t>
            </w:r>
          </w:p>
        </w:tc>
        <w:tc>
          <w:tcPr>
            <w:tcW w:w="1740" w:type="dxa"/>
            <w:shd w:val="clear" w:color="auto" w:fill="F6F7F5"/>
            <w:tcMar>
              <w:top w:w="75" w:type="dxa"/>
              <w:left w:w="120" w:type="dxa"/>
              <w:bottom w:w="75" w:type="dxa"/>
              <w:right w:w="120" w:type="dxa"/>
            </w:tcMar>
            <w:vAlign w:val="center"/>
          </w:tcPr>
          <w:p w14:paraId="16E209E8" w14:textId="77777777">
            <w:pPr>
              <w:spacing w:after="0"/>
            </w:pPr>
            <w:r>
              <w:rPr>
                <w:rFonts w:eastAsia="Arial"/>
                <w:sz w:val="16"/>
              </w:rPr>
              <w:t>Technik</w:t>
            </w:r>
          </w:p>
        </w:tc>
      </w:tr>
      <w:tr w14:paraId="6A96A56B" w14:textId="77777777">
        <w:trPr>
          <w:cantSplit/>
        </w:trPr>
        <w:tc>
          <w:tcPr>
            <w:tcW w:w="1800" w:type="dxa"/>
            <w:tcMar>
              <w:top w:w="75" w:type="dxa"/>
              <w:left w:w="120" w:type="dxa"/>
              <w:bottom w:w="75" w:type="dxa"/>
              <w:right w:w="120" w:type="dxa"/>
            </w:tcMar>
            <w:vAlign w:val="center"/>
          </w:tcPr>
          <w:p w14:paraId="1A520C10" w14:textId="77777777">
            <w:pPr>
              <w:spacing w:after="0"/>
            </w:pPr>
            <w:r>
              <w:rPr>
                <w:rFonts w:eastAsia="Arial"/>
                <w:sz w:val="16"/>
              </w:rPr>
              <w:t>Tenant blockiert App oder Connector</w:t>
            </w:r>
          </w:p>
        </w:tc>
        <w:tc>
          <w:tcPr>
            <w:tcW w:w="1900" w:type="dxa"/>
            <w:tcMar>
              <w:top w:w="75" w:type="dxa"/>
              <w:left w:w="120" w:type="dxa"/>
              <w:bottom w:w="75" w:type="dxa"/>
              <w:right w:w="120" w:type="dxa"/>
            </w:tcMar>
            <w:vAlign w:val="center"/>
          </w:tcPr>
          <w:p w14:paraId="58A56F25" w14:textId="77777777">
            <w:pPr>
              <w:spacing w:after="0"/>
            </w:pPr>
            <w:r>
              <w:rPr>
                <w:rFonts w:eastAsia="Arial"/>
                <w:sz w:val="16"/>
              </w:rPr>
              <w:t>Deployment oder Update scheitert</w:t>
            </w:r>
          </w:p>
        </w:tc>
        <w:tc>
          <w:tcPr>
            <w:tcW w:w="4200" w:type="dxa"/>
            <w:tcMar>
              <w:top w:w="75" w:type="dxa"/>
              <w:left w:w="120" w:type="dxa"/>
              <w:bottom w:w="75" w:type="dxa"/>
              <w:right w:w="120" w:type="dxa"/>
            </w:tcMar>
            <w:vAlign w:val="center"/>
          </w:tcPr>
          <w:p w14:paraId="5DA5B428" w14:textId="77777777">
            <w:pPr>
              <w:spacing w:after="0"/>
            </w:pPr>
            <w:r>
              <w:rPr>
                <w:rFonts w:eastAsia="Arial"/>
                <w:sz w:val="16"/>
              </w:rPr>
              <w:t>SharePoint-first, Vorabcheck, manueller Mirror-Import</w:t>
            </w:r>
          </w:p>
        </w:tc>
        <w:tc>
          <w:tcPr>
            <w:tcW w:w="1740" w:type="dxa"/>
            <w:tcMar>
              <w:top w:w="75" w:type="dxa"/>
              <w:left w:w="120" w:type="dxa"/>
              <w:bottom w:w="75" w:type="dxa"/>
              <w:right w:w="120" w:type="dxa"/>
            </w:tcMar>
            <w:vAlign w:val="center"/>
          </w:tcPr>
          <w:p w14:paraId="38FD5AF1" w14:textId="77777777">
            <w:pPr>
              <w:spacing w:after="0"/>
            </w:pPr>
            <w:r>
              <w:rPr>
                <w:rFonts w:eastAsia="Arial"/>
                <w:sz w:val="16"/>
              </w:rPr>
              <w:t>Tenant-IT</w:t>
            </w:r>
          </w:p>
        </w:tc>
      </w:tr>
      <w:tr w14:paraId="38085C8B" w14:textId="77777777">
        <w:trPr>
          <w:cantSplit/>
        </w:trPr>
        <w:tc>
          <w:tcPr>
            <w:tcW w:w="1800" w:type="dxa"/>
            <w:shd w:val="clear" w:color="auto" w:fill="F6F7F5"/>
            <w:tcMar>
              <w:top w:w="75" w:type="dxa"/>
              <w:left w:w="120" w:type="dxa"/>
              <w:bottom w:w="75" w:type="dxa"/>
              <w:right w:w="120" w:type="dxa"/>
            </w:tcMar>
            <w:vAlign w:val="center"/>
          </w:tcPr>
          <w:p w14:paraId="3054D9DB" w14:textId="77777777">
            <w:pPr>
              <w:spacing w:after="0"/>
            </w:pPr>
            <w:r>
              <w:rPr>
                <w:rFonts w:eastAsia="Arial"/>
                <w:sz w:val="16"/>
              </w:rPr>
              <w:t>Automatik wirkt zu sicher</w:t>
            </w:r>
          </w:p>
        </w:tc>
        <w:tc>
          <w:tcPr>
            <w:tcW w:w="1900" w:type="dxa"/>
            <w:shd w:val="clear" w:color="auto" w:fill="F6F7F5"/>
            <w:tcMar>
              <w:top w:w="75" w:type="dxa"/>
              <w:left w:w="120" w:type="dxa"/>
              <w:bottom w:w="75" w:type="dxa"/>
              <w:right w:w="120" w:type="dxa"/>
            </w:tcMar>
            <w:vAlign w:val="center"/>
          </w:tcPr>
          <w:p w14:paraId="4236742F" w14:textId="77777777">
            <w:pPr>
              <w:spacing w:after="0"/>
            </w:pPr>
            <w:r>
              <w:rPr>
                <w:rFonts w:eastAsia="Arial"/>
                <w:sz w:val="16"/>
              </w:rPr>
              <w:t>Benutzer übersieht Annahme</w:t>
            </w:r>
          </w:p>
        </w:tc>
        <w:tc>
          <w:tcPr>
            <w:tcW w:w="4200" w:type="dxa"/>
            <w:shd w:val="clear" w:color="auto" w:fill="F6F7F5"/>
            <w:tcMar>
              <w:top w:w="75" w:type="dxa"/>
              <w:left w:w="120" w:type="dxa"/>
              <w:bottom w:w="75" w:type="dxa"/>
              <w:right w:w="120" w:type="dxa"/>
            </w:tcMar>
            <w:vAlign w:val="center"/>
          </w:tcPr>
          <w:p w14:paraId="3E140FCF" w14:textId="77777777">
            <w:pPr>
              <w:spacing w:after="0"/>
            </w:pPr>
            <w:r>
              <w:rPr>
                <w:rFonts w:eastAsia="Arial"/>
                <w:sz w:val="16"/>
              </w:rPr>
              <w:t>Sichtbare Auswahl, Rechenspur, Override-Status</w:t>
            </w:r>
          </w:p>
        </w:tc>
        <w:tc>
          <w:tcPr>
            <w:tcW w:w="1740" w:type="dxa"/>
            <w:shd w:val="clear" w:color="auto" w:fill="F6F7F5"/>
            <w:tcMar>
              <w:top w:w="75" w:type="dxa"/>
              <w:left w:w="120" w:type="dxa"/>
              <w:bottom w:w="75" w:type="dxa"/>
              <w:right w:w="120" w:type="dxa"/>
            </w:tcMar>
            <w:vAlign w:val="center"/>
          </w:tcPr>
          <w:p w14:paraId="22AF3EC9" w14:textId="77777777">
            <w:pPr>
              <w:spacing w:after="0"/>
            </w:pPr>
            <w:r>
              <w:rPr>
                <w:rFonts w:eastAsia="Arial"/>
                <w:sz w:val="16"/>
              </w:rPr>
              <w:t>Produkt</w:t>
            </w:r>
          </w:p>
        </w:tc>
      </w:tr>
      <w:tr w14:paraId="08F74388" w14:textId="77777777">
        <w:trPr>
          <w:cantSplit/>
        </w:trPr>
        <w:tc>
          <w:tcPr>
            <w:tcW w:w="1800" w:type="dxa"/>
            <w:tcMar>
              <w:top w:w="75" w:type="dxa"/>
              <w:left w:w="120" w:type="dxa"/>
              <w:bottom w:w="75" w:type="dxa"/>
              <w:right w:w="120" w:type="dxa"/>
            </w:tcMar>
            <w:vAlign w:val="center"/>
          </w:tcPr>
          <w:p w14:paraId="33D30AD3" w14:textId="77777777">
            <w:pPr>
              <w:spacing w:after="0"/>
            </w:pPr>
            <w:r>
              <w:rPr>
                <w:rFonts w:eastAsia="Arial"/>
                <w:sz w:val="16"/>
              </w:rPr>
              <w:t>Rechtsänderung unter dem Jahr</w:t>
            </w:r>
          </w:p>
        </w:tc>
        <w:tc>
          <w:tcPr>
            <w:tcW w:w="1900" w:type="dxa"/>
            <w:tcMar>
              <w:top w:w="75" w:type="dxa"/>
              <w:left w:w="120" w:type="dxa"/>
              <w:bottom w:w="75" w:type="dxa"/>
              <w:right w:w="120" w:type="dxa"/>
            </w:tcMar>
            <w:vAlign w:val="center"/>
          </w:tcPr>
          <w:p w14:paraId="425321AF" w14:textId="77777777">
            <w:pPr>
              <w:spacing w:after="0"/>
            </w:pPr>
            <w:r>
              <w:rPr>
                <w:rFonts w:eastAsia="Arial"/>
                <w:sz w:val="16"/>
              </w:rPr>
              <w:t>Regelstand veraltet</w:t>
            </w:r>
          </w:p>
        </w:tc>
        <w:tc>
          <w:tcPr>
            <w:tcW w:w="4200" w:type="dxa"/>
            <w:tcMar>
              <w:top w:w="75" w:type="dxa"/>
              <w:left w:w="120" w:type="dxa"/>
              <w:bottom w:w="75" w:type="dxa"/>
              <w:right w:w="120" w:type="dxa"/>
            </w:tcMar>
            <w:vAlign w:val="center"/>
          </w:tcPr>
          <w:p w14:paraId="0A401909" w14:textId="77777777">
            <w:pPr>
              <w:spacing w:after="0"/>
            </w:pPr>
            <w:r>
              <w:rPr>
                <w:rFonts w:eastAsia="Arial"/>
                <w:sz w:val="16"/>
              </w:rPr>
              <w:t>Ausserordentliches Release und Freshness-Warnung</w:t>
            </w:r>
          </w:p>
        </w:tc>
        <w:tc>
          <w:tcPr>
            <w:tcW w:w="1740" w:type="dxa"/>
            <w:tcMar>
              <w:top w:w="75" w:type="dxa"/>
              <w:left w:w="120" w:type="dxa"/>
              <w:bottom w:w="75" w:type="dxa"/>
              <w:right w:w="120" w:type="dxa"/>
            </w:tcMar>
            <w:vAlign w:val="center"/>
          </w:tcPr>
          <w:p w14:paraId="580D154E" w14:textId="77777777">
            <w:pPr>
              <w:spacing w:after="0"/>
            </w:pPr>
            <w:r>
              <w:rPr>
                <w:rFonts w:eastAsia="Arial"/>
                <w:sz w:val="16"/>
              </w:rPr>
              <w:t>Fachverantwortung</w:t>
            </w:r>
          </w:p>
        </w:tc>
      </w:tr>
      <w:tr w14:paraId="5D4FCA34" w14:textId="77777777">
        <w:trPr>
          <w:cantSplit/>
        </w:trPr>
        <w:tc>
          <w:tcPr>
            <w:tcW w:w="1800" w:type="dxa"/>
            <w:shd w:val="clear" w:color="auto" w:fill="F6F7F5"/>
            <w:tcMar>
              <w:top w:w="75" w:type="dxa"/>
              <w:left w:w="120" w:type="dxa"/>
              <w:bottom w:w="75" w:type="dxa"/>
              <w:right w:w="120" w:type="dxa"/>
            </w:tcMar>
            <w:vAlign w:val="center"/>
          </w:tcPr>
          <w:p w14:paraId="10E664FE" w14:textId="77777777">
            <w:pPr>
              <w:spacing w:after="0"/>
            </w:pPr>
            <w:r>
              <w:rPr>
                <w:rFonts w:eastAsia="Arial"/>
                <w:sz w:val="16"/>
              </w:rPr>
              <w:t>AGPL-Pflichten übersehen</w:t>
            </w:r>
          </w:p>
        </w:tc>
        <w:tc>
          <w:tcPr>
            <w:tcW w:w="1900" w:type="dxa"/>
            <w:shd w:val="clear" w:color="auto" w:fill="F6F7F5"/>
            <w:tcMar>
              <w:top w:w="75" w:type="dxa"/>
              <w:left w:w="120" w:type="dxa"/>
              <w:bottom w:w="75" w:type="dxa"/>
              <w:right w:w="120" w:type="dxa"/>
            </w:tcMar>
            <w:vAlign w:val="center"/>
          </w:tcPr>
          <w:p w14:paraId="71BD1AAB" w14:textId="77777777">
            <w:pPr>
              <w:spacing w:after="0"/>
            </w:pPr>
            <w:r>
              <w:rPr>
                <w:rFonts w:eastAsia="Arial"/>
                <w:sz w:val="16"/>
              </w:rPr>
              <w:t>Lizenzverletzung bei Netzbetrieb</w:t>
            </w:r>
          </w:p>
        </w:tc>
        <w:tc>
          <w:tcPr>
            <w:tcW w:w="4200" w:type="dxa"/>
            <w:shd w:val="clear" w:color="auto" w:fill="F6F7F5"/>
            <w:tcMar>
              <w:top w:w="75" w:type="dxa"/>
              <w:left w:w="120" w:type="dxa"/>
              <w:bottom w:w="75" w:type="dxa"/>
              <w:right w:w="120" w:type="dxa"/>
            </w:tcMar>
            <w:vAlign w:val="center"/>
          </w:tcPr>
          <w:p w14:paraId="7EB50D60" w14:textId="77777777">
            <w:pPr>
              <w:spacing w:after="0"/>
            </w:pPr>
            <w:r>
              <w:rPr>
                <w:rFonts w:eastAsia="Arial"/>
                <w:sz w:val="16"/>
              </w:rPr>
              <w:t>Sichtbarer Quellcode-Link, Lizenzhinweise und Quellarchiv je Release</w:t>
            </w:r>
          </w:p>
        </w:tc>
        <w:tc>
          <w:tcPr>
            <w:tcW w:w="1740" w:type="dxa"/>
            <w:shd w:val="clear" w:color="auto" w:fill="F6F7F5"/>
            <w:tcMar>
              <w:top w:w="75" w:type="dxa"/>
              <w:left w:w="120" w:type="dxa"/>
              <w:bottom w:w="75" w:type="dxa"/>
              <w:right w:w="120" w:type="dxa"/>
            </w:tcMar>
            <w:vAlign w:val="center"/>
          </w:tcPr>
          <w:p w14:paraId="02CF1470" w14:textId="77777777">
            <w:pPr>
              <w:spacing w:after="0"/>
            </w:pPr>
            <w:r>
              <w:rPr>
                <w:rFonts w:eastAsia="Arial"/>
                <w:sz w:val="16"/>
              </w:rPr>
              <w:t>Maintainer</w:t>
            </w:r>
          </w:p>
        </w:tc>
      </w:tr>
    </w:tbl>
    <w:p w14:paraId="590D0B9A" w14:textId="77777777">
      <w:pPr>
        <w:spacing w:after="20"/>
      </w:pPr>
    </w:p>
    <w:p w14:paraId="6482F433" w14:textId="77777777">
      <w:pPr>
        <w:pStyle w:val="berschrift2"/>
      </w:pPr>
      <w:r>
        <w:t>10.2 Geklärte Grundsatzentscheide</w:t>
      </w:r>
    </w:p>
    <w:tbl>
      <w:tblPr>
        <w:tblStyle w:val="Tabellenraster"/>
        <w:tblW w:w="9640" w:type="dxa"/>
        <w:tblInd w:w="120" w:type="dxa"/>
        <w:tblLayout w:type="fixed"/>
        <w:tblLook w:val="04A0" w:firstRow="1" w:lastRow="0" w:firstColumn="1" w:lastColumn="0" w:noHBand="0" w:noVBand="1"/>
      </w:tblPr>
      <w:tblGrid>
        <w:gridCol w:w="1800"/>
        <w:gridCol w:w="3400"/>
        <w:gridCol w:w="4440"/>
      </w:tblGrid>
      <w:tr w14:paraId="424FC754" w14:textId="77777777">
        <w:trPr>
          <w:cantSplit/>
          <w:tblHeader/>
        </w:trPr>
        <w:tc>
          <w:tcPr>
            <w:tcW w:w="1800" w:type="dxa"/>
            <w:shd w:val="clear" w:color="auto" w:fill="122C40"/>
            <w:tcMar>
              <w:top w:w="90" w:type="dxa"/>
              <w:left w:w="120" w:type="dxa"/>
              <w:bottom w:w="90" w:type="dxa"/>
              <w:right w:w="120" w:type="dxa"/>
            </w:tcMar>
            <w:vAlign w:val="center"/>
          </w:tcPr>
          <w:p w14:paraId="0EDF3FE4" w14:textId="77777777">
            <w:pPr>
              <w:spacing w:after="0"/>
            </w:pPr>
            <w:r>
              <w:rPr>
                <w:rFonts w:eastAsia="Arial"/>
                <w:b/>
                <w:color w:val="FFFFFF"/>
                <w:sz w:val="17"/>
              </w:rPr>
              <w:t>Thema</w:t>
            </w:r>
          </w:p>
        </w:tc>
        <w:tc>
          <w:tcPr>
            <w:tcW w:w="3400" w:type="dxa"/>
            <w:shd w:val="clear" w:color="auto" w:fill="122C40"/>
            <w:tcMar>
              <w:top w:w="90" w:type="dxa"/>
              <w:left w:w="120" w:type="dxa"/>
              <w:bottom w:w="90" w:type="dxa"/>
              <w:right w:w="120" w:type="dxa"/>
            </w:tcMar>
            <w:vAlign w:val="center"/>
          </w:tcPr>
          <w:p w14:paraId="25A2CEDE" w14:textId="77777777">
            <w:pPr>
              <w:spacing w:after="0"/>
            </w:pPr>
            <w:r>
              <w:rPr>
                <w:rFonts w:eastAsia="Arial"/>
                <w:b/>
                <w:color w:val="FFFFFF"/>
                <w:sz w:val="17"/>
              </w:rPr>
              <w:t>Beschluss</w:t>
            </w:r>
          </w:p>
        </w:tc>
        <w:tc>
          <w:tcPr>
            <w:tcW w:w="4440" w:type="dxa"/>
            <w:shd w:val="clear" w:color="auto" w:fill="122C40"/>
            <w:tcMar>
              <w:top w:w="90" w:type="dxa"/>
              <w:left w:w="120" w:type="dxa"/>
              <w:bottom w:w="90" w:type="dxa"/>
              <w:right w:w="120" w:type="dxa"/>
            </w:tcMar>
            <w:vAlign w:val="center"/>
          </w:tcPr>
          <w:p w14:paraId="71E6E799" w14:textId="77777777">
            <w:pPr>
              <w:spacing w:after="0"/>
            </w:pPr>
            <w:r>
              <w:rPr>
                <w:rFonts w:eastAsia="Arial"/>
                <w:b/>
                <w:color w:val="FFFFFF"/>
                <w:sz w:val="17"/>
              </w:rPr>
              <w:t>Konsequenz für die Umsetzung</w:t>
            </w:r>
          </w:p>
        </w:tc>
      </w:tr>
      <w:tr w14:paraId="30F924D2" w14:textId="77777777">
        <w:trPr>
          <w:cantSplit/>
        </w:trPr>
        <w:tc>
          <w:tcPr>
            <w:tcW w:w="1800" w:type="dxa"/>
            <w:tcMar>
              <w:top w:w="75" w:type="dxa"/>
              <w:left w:w="120" w:type="dxa"/>
              <w:bottom w:w="75" w:type="dxa"/>
              <w:right w:w="120" w:type="dxa"/>
            </w:tcMar>
            <w:vAlign w:val="center"/>
          </w:tcPr>
          <w:p w14:paraId="099EA6D4" w14:textId="77777777">
            <w:pPr>
              <w:spacing w:after="0"/>
            </w:pPr>
            <w:r>
              <w:rPr>
                <w:rFonts w:eastAsia="Arial"/>
                <w:sz w:val="16"/>
              </w:rPr>
              <w:t>MVP-Gebiet</w:t>
            </w:r>
          </w:p>
        </w:tc>
        <w:tc>
          <w:tcPr>
            <w:tcW w:w="3400" w:type="dxa"/>
            <w:tcMar>
              <w:top w:w="75" w:type="dxa"/>
              <w:left w:w="120" w:type="dxa"/>
              <w:bottom w:w="75" w:type="dxa"/>
              <w:right w:w="120" w:type="dxa"/>
            </w:tcMar>
            <w:vAlign w:val="center"/>
          </w:tcPr>
          <w:p w14:paraId="2672C72B" w14:textId="77777777">
            <w:pPr>
              <w:spacing w:after="0"/>
            </w:pPr>
            <w:r>
              <w:rPr>
                <w:rFonts w:eastAsia="Arial"/>
                <w:sz w:val="16"/>
              </w:rPr>
              <w:t>Kanton Bern zuerst</w:t>
            </w:r>
          </w:p>
        </w:tc>
        <w:tc>
          <w:tcPr>
            <w:tcW w:w="4440" w:type="dxa"/>
            <w:tcMar>
              <w:top w:w="75" w:type="dxa"/>
              <w:left w:w="120" w:type="dxa"/>
              <w:bottom w:w="75" w:type="dxa"/>
              <w:right w:w="120" w:type="dxa"/>
            </w:tcMar>
            <w:vAlign w:val="center"/>
          </w:tcPr>
          <w:p w14:paraId="1C4F8049" w14:textId="77777777">
            <w:pPr>
              <w:spacing w:after="0"/>
            </w:pPr>
            <w:r>
              <w:rPr>
                <w:rFonts w:eastAsia="Arial"/>
                <w:sz w:val="16"/>
              </w:rPr>
              <w:t>Bern ist das einzige kantonale Profil im MVP</w:t>
            </w:r>
          </w:p>
        </w:tc>
      </w:tr>
      <w:tr w14:paraId="097F8BF2" w14:textId="77777777">
        <w:trPr>
          <w:cantSplit/>
        </w:trPr>
        <w:tc>
          <w:tcPr>
            <w:tcW w:w="1800" w:type="dxa"/>
            <w:shd w:val="clear" w:color="auto" w:fill="F6F7F5"/>
            <w:tcMar>
              <w:top w:w="75" w:type="dxa"/>
              <w:left w:w="120" w:type="dxa"/>
              <w:bottom w:w="75" w:type="dxa"/>
              <w:right w:w="120" w:type="dxa"/>
            </w:tcMar>
            <w:vAlign w:val="center"/>
          </w:tcPr>
          <w:p w14:paraId="61065DE2" w14:textId="77777777">
            <w:pPr>
              <w:spacing w:after="0"/>
            </w:pPr>
            <w:r>
              <w:rPr>
                <w:rFonts w:eastAsia="Arial"/>
                <w:sz w:val="16"/>
              </w:rPr>
              <w:t>Fachverantwortung</w:t>
            </w:r>
          </w:p>
        </w:tc>
        <w:tc>
          <w:tcPr>
            <w:tcW w:w="3400" w:type="dxa"/>
            <w:shd w:val="clear" w:color="auto" w:fill="F6F7F5"/>
            <w:tcMar>
              <w:top w:w="75" w:type="dxa"/>
              <w:left w:w="120" w:type="dxa"/>
              <w:bottom w:w="75" w:type="dxa"/>
              <w:right w:w="120" w:type="dxa"/>
            </w:tcMar>
            <w:vAlign w:val="center"/>
          </w:tcPr>
          <w:p w14:paraId="4C4C9FE3" w14:textId="77777777">
            <w:pPr>
              <w:spacing w:after="0"/>
            </w:pPr>
            <w:r>
              <w:rPr>
                <w:rFonts w:eastAsia="Arial"/>
                <w:sz w:val="16"/>
              </w:rPr>
              <w:t>David Steimer</w:t>
            </w:r>
          </w:p>
        </w:tc>
        <w:tc>
          <w:tcPr>
            <w:tcW w:w="4440" w:type="dxa"/>
            <w:shd w:val="clear" w:color="auto" w:fill="F6F7F5"/>
            <w:tcMar>
              <w:top w:w="75" w:type="dxa"/>
              <w:left w:w="120" w:type="dxa"/>
              <w:bottom w:w="75" w:type="dxa"/>
              <w:right w:w="120" w:type="dxa"/>
            </w:tcMar>
            <w:vAlign w:val="center"/>
          </w:tcPr>
          <w:p w14:paraId="329E99D0" w14:textId="77777777">
            <w:pPr>
              <w:spacing w:after="0"/>
            </w:pPr>
            <w:r>
              <w:rPr>
                <w:rFonts w:eastAsia="Arial"/>
                <w:sz w:val="16"/>
              </w:rPr>
              <w:t>Prüfstatus und Personalunion werden transparent ausgewiesen</w:t>
            </w:r>
          </w:p>
        </w:tc>
      </w:tr>
      <w:tr w14:paraId="61BE6F92" w14:textId="77777777">
        <w:trPr>
          <w:cantSplit/>
        </w:trPr>
        <w:tc>
          <w:tcPr>
            <w:tcW w:w="1800" w:type="dxa"/>
            <w:tcMar>
              <w:top w:w="75" w:type="dxa"/>
              <w:left w:w="120" w:type="dxa"/>
              <w:bottom w:w="75" w:type="dxa"/>
              <w:right w:w="120" w:type="dxa"/>
            </w:tcMar>
            <w:vAlign w:val="center"/>
          </w:tcPr>
          <w:p w14:paraId="7D286C0C" w14:textId="77777777">
            <w:pPr>
              <w:spacing w:after="0"/>
            </w:pPr>
            <w:r>
              <w:rPr>
                <w:rFonts w:eastAsia="Arial"/>
                <w:sz w:val="16"/>
              </w:rPr>
              <w:t>Datenquelle</w:t>
            </w:r>
          </w:p>
        </w:tc>
        <w:tc>
          <w:tcPr>
            <w:tcW w:w="3400" w:type="dxa"/>
            <w:tcMar>
              <w:top w:w="75" w:type="dxa"/>
              <w:left w:w="120" w:type="dxa"/>
              <w:bottom w:w="75" w:type="dxa"/>
              <w:right w:w="120" w:type="dxa"/>
            </w:tcMar>
            <w:vAlign w:val="center"/>
          </w:tcPr>
          <w:p w14:paraId="12C5FDDA" w14:textId="77777777">
            <w:pPr>
              <w:spacing w:after="0"/>
            </w:pPr>
            <w:r>
              <w:rPr>
                <w:rFonts w:eastAsia="Arial"/>
                <w:sz w:val="16"/>
              </w:rPr>
              <w:t>GitHub im steimer.ch-Pilot, später SharePoint-Mirror</w:t>
            </w:r>
          </w:p>
        </w:tc>
        <w:tc>
          <w:tcPr>
            <w:tcW w:w="4440" w:type="dxa"/>
            <w:tcMar>
              <w:top w:w="75" w:type="dxa"/>
              <w:left w:w="120" w:type="dxa"/>
              <w:bottom w:w="75" w:type="dxa"/>
              <w:right w:w="120" w:type="dxa"/>
            </w:tcMar>
            <w:vAlign w:val="center"/>
          </w:tcPr>
          <w:p w14:paraId="50A8407A" w14:textId="77777777">
            <w:pPr>
              <w:spacing w:after="0"/>
            </w:pPr>
            <w:r>
              <w:rPr>
                <w:rFonts w:eastAsia="Arial"/>
                <w:sz w:val="16"/>
              </w:rPr>
              <w:t>ReleaseProvider-Schnittstelle von Anfang an</w:t>
            </w:r>
          </w:p>
        </w:tc>
      </w:tr>
      <w:tr w14:paraId="5A578838" w14:textId="77777777">
        <w:trPr>
          <w:cantSplit/>
        </w:trPr>
        <w:tc>
          <w:tcPr>
            <w:tcW w:w="1800" w:type="dxa"/>
            <w:shd w:val="clear" w:color="auto" w:fill="F6F7F5"/>
            <w:tcMar>
              <w:top w:w="75" w:type="dxa"/>
              <w:left w:w="120" w:type="dxa"/>
              <w:bottom w:w="75" w:type="dxa"/>
              <w:right w:w="120" w:type="dxa"/>
            </w:tcMar>
            <w:vAlign w:val="center"/>
          </w:tcPr>
          <w:p w14:paraId="61CB196A" w14:textId="77777777">
            <w:pPr>
              <w:spacing w:after="0"/>
            </w:pPr>
            <w:r>
              <w:rPr>
                <w:rFonts w:eastAsia="Arial"/>
                <w:sz w:val="16"/>
              </w:rPr>
              <w:t>Defaults</w:t>
            </w:r>
          </w:p>
        </w:tc>
        <w:tc>
          <w:tcPr>
            <w:tcW w:w="3400" w:type="dxa"/>
            <w:shd w:val="clear" w:color="auto" w:fill="F6F7F5"/>
            <w:tcMar>
              <w:top w:w="75" w:type="dxa"/>
              <w:left w:w="120" w:type="dxa"/>
              <w:bottom w:w="75" w:type="dxa"/>
              <w:right w:w="120" w:type="dxa"/>
            </w:tcMar>
            <w:vAlign w:val="center"/>
          </w:tcPr>
          <w:p w14:paraId="479AEE7E" w14:textId="77777777">
            <w:pPr>
              <w:spacing w:after="0"/>
            </w:pPr>
            <w:r>
              <w:rPr>
                <w:rFonts w:eastAsia="Arial"/>
                <w:sz w:val="16"/>
              </w:rPr>
              <w:t>Nur lokal im Browser</w:t>
            </w:r>
          </w:p>
        </w:tc>
        <w:tc>
          <w:tcPr>
            <w:tcW w:w="4440" w:type="dxa"/>
            <w:shd w:val="clear" w:color="auto" w:fill="F6F7F5"/>
            <w:tcMar>
              <w:top w:w="75" w:type="dxa"/>
              <w:left w:w="120" w:type="dxa"/>
              <w:bottom w:w="75" w:type="dxa"/>
              <w:right w:w="120" w:type="dxa"/>
            </w:tcMar>
            <w:vAlign w:val="center"/>
          </w:tcPr>
          <w:p w14:paraId="1DBC42B3" w14:textId="77777777">
            <w:pPr>
              <w:spacing w:after="0"/>
            </w:pPr>
            <w:r>
              <w:rPr>
                <w:rFonts w:eastAsia="Arial"/>
                <w:sz w:val="16"/>
              </w:rPr>
              <w:t>Keine SharePoint-Liste und keine Gerätesynchronisierung im ersten Release</w:t>
            </w:r>
          </w:p>
        </w:tc>
      </w:tr>
      <w:tr w14:paraId="29CEC606" w14:textId="77777777">
        <w:trPr>
          <w:cantSplit/>
        </w:trPr>
        <w:tc>
          <w:tcPr>
            <w:tcW w:w="1800" w:type="dxa"/>
            <w:tcMar>
              <w:top w:w="75" w:type="dxa"/>
              <w:left w:w="120" w:type="dxa"/>
              <w:bottom w:w="75" w:type="dxa"/>
              <w:right w:w="120" w:type="dxa"/>
            </w:tcMar>
            <w:vAlign w:val="center"/>
          </w:tcPr>
          <w:p w14:paraId="6B11B936" w14:textId="77777777">
            <w:pPr>
              <w:spacing w:after="0"/>
            </w:pPr>
            <w:r>
              <w:rPr>
                <w:rFonts w:eastAsia="Arial"/>
                <w:sz w:val="16"/>
              </w:rPr>
              <w:t>Lizenz</w:t>
            </w:r>
          </w:p>
        </w:tc>
        <w:tc>
          <w:tcPr>
            <w:tcW w:w="3400" w:type="dxa"/>
            <w:tcMar>
              <w:top w:w="75" w:type="dxa"/>
              <w:left w:w="120" w:type="dxa"/>
              <w:bottom w:w="75" w:type="dxa"/>
              <w:right w:w="120" w:type="dxa"/>
            </w:tcMar>
            <w:vAlign w:val="center"/>
          </w:tcPr>
          <w:p w14:paraId="21FB49E6" w14:textId="77777777">
            <w:pPr>
              <w:spacing w:after="0"/>
            </w:pPr>
            <w:r>
              <w:rPr>
                <w:rFonts w:eastAsia="Arial"/>
                <w:sz w:val="16"/>
              </w:rPr>
              <w:t>Programmcode AGPL-3.0</w:t>
            </w:r>
          </w:p>
        </w:tc>
        <w:tc>
          <w:tcPr>
            <w:tcW w:w="4440" w:type="dxa"/>
            <w:tcMar>
              <w:top w:w="75" w:type="dxa"/>
              <w:left w:w="120" w:type="dxa"/>
              <w:bottom w:w="75" w:type="dxa"/>
              <w:right w:w="120" w:type="dxa"/>
            </w:tcMar>
            <w:vAlign w:val="center"/>
          </w:tcPr>
          <w:p w14:paraId="404ECB01" w14:textId="77777777">
            <w:pPr>
              <w:spacing w:after="0"/>
            </w:pPr>
            <w:r>
              <w:rPr>
                <w:rFonts w:eastAsia="Arial"/>
                <w:sz w:val="16"/>
              </w:rPr>
              <w:t>Quellcode-Link im GUI, Inhalte und Daten CC BY-SA 4.0</w:t>
            </w:r>
          </w:p>
        </w:tc>
      </w:tr>
      <w:tr w14:paraId="2CB8E2BB" w14:textId="77777777">
        <w:trPr>
          <w:cantSplit/>
        </w:trPr>
        <w:tc>
          <w:tcPr>
            <w:tcW w:w="1800" w:type="dxa"/>
            <w:shd w:val="clear" w:color="auto" w:fill="F6F7F5"/>
            <w:tcMar>
              <w:top w:w="75" w:type="dxa"/>
              <w:left w:w="120" w:type="dxa"/>
              <w:bottom w:w="75" w:type="dxa"/>
              <w:right w:w="120" w:type="dxa"/>
            </w:tcMar>
            <w:vAlign w:val="center"/>
          </w:tcPr>
          <w:p w14:paraId="7C8F93CA" w14:textId="77777777">
            <w:pPr>
              <w:spacing w:after="0"/>
            </w:pPr>
            <w:r>
              <w:rPr>
                <w:rFonts w:eastAsia="Arial"/>
                <w:sz w:val="16"/>
              </w:rPr>
              <w:t>Sprachen</w:t>
            </w:r>
          </w:p>
        </w:tc>
        <w:tc>
          <w:tcPr>
            <w:tcW w:w="3400" w:type="dxa"/>
            <w:shd w:val="clear" w:color="auto" w:fill="F6F7F5"/>
            <w:tcMar>
              <w:top w:w="75" w:type="dxa"/>
              <w:left w:w="120" w:type="dxa"/>
              <w:bottom w:w="75" w:type="dxa"/>
              <w:right w:w="120" w:type="dxa"/>
            </w:tcMar>
            <w:vAlign w:val="center"/>
          </w:tcPr>
          <w:p w14:paraId="2B25B4C1" w14:textId="77777777">
            <w:pPr>
              <w:spacing w:after="0"/>
            </w:pPr>
            <w:r>
              <w:rPr>
                <w:rFonts w:eastAsia="Arial"/>
                <w:sz w:val="16"/>
              </w:rPr>
              <w:t>Deutsch und Französisch</w:t>
            </w:r>
          </w:p>
        </w:tc>
        <w:tc>
          <w:tcPr>
            <w:tcW w:w="4440" w:type="dxa"/>
            <w:shd w:val="clear" w:color="auto" w:fill="F6F7F5"/>
            <w:tcMar>
              <w:top w:w="75" w:type="dxa"/>
              <w:left w:w="120" w:type="dxa"/>
              <w:bottom w:w="75" w:type="dxa"/>
              <w:right w:w="120" w:type="dxa"/>
            </w:tcMar>
            <w:vAlign w:val="center"/>
          </w:tcPr>
          <w:p w14:paraId="60941A11" w14:textId="77777777">
            <w:pPr>
              <w:spacing w:after="0"/>
            </w:pPr>
            <w:r>
              <w:rPr>
                <w:rFonts w:eastAsia="Arial"/>
                <w:sz w:val="16"/>
              </w:rPr>
              <w:t>Vollständige Sprachkataloge und fachliche Prüfung beider Fassungen</w:t>
            </w:r>
          </w:p>
        </w:tc>
      </w:tr>
      <w:tr w14:paraId="187E93BC" w14:textId="77777777">
        <w:trPr>
          <w:cantSplit/>
        </w:trPr>
        <w:tc>
          <w:tcPr>
            <w:tcW w:w="1800" w:type="dxa"/>
            <w:tcMar>
              <w:top w:w="75" w:type="dxa"/>
              <w:left w:w="120" w:type="dxa"/>
              <w:bottom w:w="75" w:type="dxa"/>
              <w:right w:w="120" w:type="dxa"/>
            </w:tcMar>
            <w:vAlign w:val="center"/>
          </w:tcPr>
          <w:p w14:paraId="4BDEF0A2" w14:textId="77777777">
            <w:pPr>
              <w:spacing w:after="0"/>
            </w:pPr>
            <w:r>
              <w:rPr>
                <w:rFonts w:eastAsia="Arial"/>
                <w:sz w:val="16"/>
              </w:rPr>
              <w:t>Rollen</w:t>
            </w:r>
          </w:p>
        </w:tc>
        <w:tc>
          <w:tcPr>
            <w:tcW w:w="3400" w:type="dxa"/>
            <w:tcMar>
              <w:top w:w="75" w:type="dxa"/>
              <w:left w:w="120" w:type="dxa"/>
              <w:bottom w:w="75" w:type="dxa"/>
              <w:right w:w="120" w:type="dxa"/>
            </w:tcMar>
            <w:vAlign w:val="center"/>
          </w:tcPr>
          <w:p w14:paraId="42C24261" w14:textId="77777777">
            <w:pPr>
              <w:spacing w:after="0"/>
            </w:pPr>
            <w:r>
              <w:rPr>
                <w:rFonts w:eastAsia="Arial"/>
                <w:sz w:val="16"/>
              </w:rPr>
              <w:t>Alle Rollen derzeit David Steimer</w:t>
            </w:r>
          </w:p>
        </w:tc>
        <w:tc>
          <w:tcPr>
            <w:tcW w:w="4440" w:type="dxa"/>
            <w:tcMar>
              <w:top w:w="75" w:type="dxa"/>
              <w:left w:w="120" w:type="dxa"/>
              <w:bottom w:w="75" w:type="dxa"/>
              <w:right w:w="120" w:type="dxa"/>
            </w:tcMar>
            <w:vAlign w:val="center"/>
          </w:tcPr>
          <w:p w14:paraId="317960AD" w14:textId="77777777">
            <w:pPr>
              <w:spacing w:after="0"/>
            </w:pPr>
            <w:r>
              <w:rPr>
                <w:rFonts w:eastAsia="Arial"/>
                <w:sz w:val="16"/>
              </w:rPr>
              <w:t>Logische Rollentrennung bleibt für den künftigen Betrieb bestehen</w:t>
            </w:r>
          </w:p>
        </w:tc>
      </w:tr>
    </w:tbl>
    <w:p w14:paraId="4AF64054" w14:textId="77777777">
      <w:pPr>
        <w:spacing w:after="20"/>
      </w:pPr>
    </w:p>
    <w:p w14:paraId="640EB6B9" w14:textId="77777777">
      <w:pPr>
        <w:spacing w:after="0"/>
      </w:pPr>
      <w:r>
        <w:br w:type="page"/>
      </w:r>
    </w:p>
    <w:p w14:paraId="2384B9BD" w14:textId="77777777">
      <w:pPr>
        <w:pStyle w:val="berschrift2"/>
      </w:pPr>
      <w:r>
        <w:lastRenderedPageBreak/>
        <w:t>10.3 Umsetzungsentscheid</w:t>
      </w:r>
    </w:p>
    <w:tbl>
      <w:tblPr>
        <w:tblW w:w="9520" w:type="dxa"/>
        <w:tblInd w:w="180" w:type="dxa"/>
        <w:tblLayout w:type="fixed"/>
        <w:tblLook w:val="04A0" w:firstRow="1" w:lastRow="0" w:firstColumn="1" w:lastColumn="0" w:noHBand="0" w:noVBand="1"/>
      </w:tblPr>
      <w:tblGrid>
        <w:gridCol w:w="9520"/>
      </w:tblGrid>
      <w:tr w14:paraId="7B95669C" w14:textId="77777777">
        <w:tc>
          <w:tcPr>
            <w:tcW w:w="9520" w:type="dxa"/>
            <w:tcBorders>
              <w:left w:val="single" w:sz="18" w:space="0" w:color="C46A3A"/>
            </w:tcBorders>
            <w:shd w:val="clear" w:color="auto" w:fill="E7EEEE"/>
            <w:tcMar>
              <w:top w:w="130" w:type="dxa"/>
              <w:left w:w="180" w:type="dxa"/>
              <w:bottom w:w="130" w:type="dxa"/>
              <w:right w:w="160" w:type="dxa"/>
            </w:tcMar>
          </w:tcPr>
          <w:p w14:paraId="35D65C08" w14:textId="77777777">
            <w:pPr>
              <w:spacing w:after="0"/>
            </w:pPr>
            <w:r>
              <w:rPr>
                <w:rFonts w:eastAsia="Arial"/>
                <w:b/>
                <w:color w:val="122C40"/>
              </w:rPr>
              <w:t xml:space="preserve">Beschluss  </w:t>
            </w:r>
            <w:r>
              <w:rPr>
                <w:rFonts w:eastAsia="Arial"/>
              </w:rPr>
              <w:t>Das Zielbild «SPFx + SharePoint-first + optionaler Teams-Tab» ist bestätigt. Die Umsetzung startet mit StPO, ZPO, BGG, VwVG und VRPG Bern, einer vollständig deutsch- und französischsprachigen Oberfläche, lokalen Browser-Defaults und einem GitHub-Datenfeed für steimer.ch. Die Datenversorgung wird von Anfang an so abstrahiert, dass Zieltenants später einen SharePoint-Mirror einsetzen können.</w:t>
            </w:r>
          </w:p>
        </w:tc>
      </w:tr>
    </w:tbl>
    <w:p w14:paraId="2D8E685B" w14:textId="77777777">
      <w:pPr>
        <w:spacing w:after="20"/>
      </w:pPr>
    </w:p>
    <w:p w14:paraId="4B46444C" w14:textId="77777777">
      <w:pPr>
        <w:pStyle w:val="berschrift2"/>
      </w:pPr>
      <w:r>
        <w:t>10.4 Nächste vier Arbeitspakete</w:t>
      </w:r>
    </w:p>
    <w:p w14:paraId="61B6FE42" w14:textId="77777777">
      <w:pPr>
        <w:pStyle w:val="Listennummer"/>
        <w:numPr>
          <w:ilvl w:val="0"/>
          <w:numId w:val="16"/>
        </w:numPr>
      </w:pPr>
      <w:r>
        <w:t>Rechts- und Datenmatrix für die fünf MVP-Profile mit Fokus Bern erstellen und die Selbstprüfung dokumentieren.</w:t>
      </w:r>
    </w:p>
    <w:p w14:paraId="44452456" w14:textId="77777777">
      <w:pPr>
        <w:pStyle w:val="Listennummer"/>
        <w:numPr>
          <w:ilvl w:val="0"/>
          <w:numId w:val="16"/>
        </w:numPr>
      </w:pPr>
      <w:r>
        <w:t>Deutsch- und französischsprachigen UX-Prototyp mit Basisfeldern, Zusatzfragen und Rechenspur bauen.</w:t>
      </w:r>
    </w:p>
    <w:p w14:paraId="2B8FC279" w14:textId="77777777">
      <w:pPr>
        <w:pStyle w:val="Listennummer"/>
        <w:numPr>
          <w:ilvl w:val="0"/>
          <w:numId w:val="16"/>
        </w:numPr>
      </w:pPr>
      <w:r>
        <w:t>Technischen SPFx-Spike mit ReleaseProvider für GitHub und SharePoint-Mirror in SharePoint und Teams durchführen.</w:t>
      </w:r>
    </w:p>
    <w:p w14:paraId="45245D85" w14:textId="77777777">
      <w:pPr>
        <w:pStyle w:val="Listennummer"/>
        <w:numPr>
          <w:ilvl w:val="0"/>
          <w:numId w:val="16"/>
        </w:numPr>
      </w:pPr>
      <w:r>
        <w:t>Testkatalog mit mindestens 50 Golden Cases samt Quellen- und Freigabenachweis anlegen.</w:t>
      </w:r>
    </w:p>
    <w:p w14:paraId="1F248EAF" w14:textId="77777777">
      <w:pPr>
        <w:spacing w:after="0"/>
      </w:pPr>
      <w:r>
        <w:br w:type="page"/>
      </w:r>
    </w:p>
    <w:p w14:paraId="5882A178" w14:textId="77777777">
      <w:pPr>
        <w:pStyle w:val="berschrift1"/>
      </w:pPr>
      <w:r>
        <w:lastRenderedPageBreak/>
        <w:t>Anhang</w:t>
      </w:r>
    </w:p>
    <w:p w14:paraId="267966E4" w14:textId="77777777">
      <w:pPr>
        <w:pStyle w:val="berschrift2"/>
      </w:pPr>
      <w:r>
        <w:t>A Quellen und Grundlagen</w:t>
      </w:r>
    </w:p>
    <w:p w14:paraId="1A6CFAB1" w14:textId="77777777">
      <w:pPr>
        <w:pStyle w:val="BrandSmall"/>
        <w:spacing w:after="80"/>
      </w:pPr>
      <w:r>
        <w:rPr>
          <w:rFonts w:eastAsia="Arial"/>
          <w:color w:val="172126"/>
        </w:rPr>
        <w:t xml:space="preserve">[Q1] Fedlex, Schweizerische Strafprozessordnung, SR 312.0, insbesondere Art. 89–91. </w:t>
      </w:r>
      <w:r>
        <w:rPr>
          <w:rFonts w:eastAsia="Arial"/>
          <w:color w:val="2F6F73"/>
          <w:sz w:val="16"/>
        </w:rPr>
        <w:t>https://www.fedlex.admin.ch/eli/cc/2010/267/de</w:t>
      </w:r>
    </w:p>
    <w:p w14:paraId="61DA252D" w14:textId="77777777">
      <w:pPr>
        <w:pStyle w:val="BrandSmall"/>
        <w:spacing w:after="80"/>
      </w:pPr>
      <w:r>
        <w:rPr>
          <w:rFonts w:eastAsia="Arial"/>
          <w:color w:val="172126"/>
        </w:rPr>
        <w:t xml:space="preserve">[Q2] Fedlex, Schweizerische Zivilprozessordnung, SR 272, insbesondere Art. 142–146. </w:t>
      </w:r>
      <w:r>
        <w:rPr>
          <w:rFonts w:eastAsia="Arial"/>
          <w:color w:val="2F6F73"/>
          <w:sz w:val="16"/>
        </w:rPr>
        <w:t>https://www.fedlex.admin.ch/eli/cc/2010/262/de</w:t>
      </w:r>
    </w:p>
    <w:p w14:paraId="08D11721" w14:textId="77777777">
      <w:pPr>
        <w:pStyle w:val="BrandSmall"/>
        <w:spacing w:after="80"/>
      </w:pPr>
      <w:r>
        <w:rPr>
          <w:rFonts w:eastAsia="Arial"/>
          <w:color w:val="172126"/>
        </w:rPr>
        <w:t xml:space="preserve">[Q3] Fedlex, Bundesgerichtsgesetz, SR 173.110, insbesondere Art. 44–48. </w:t>
      </w:r>
      <w:r>
        <w:rPr>
          <w:rFonts w:eastAsia="Arial"/>
          <w:color w:val="2F6F73"/>
          <w:sz w:val="16"/>
        </w:rPr>
        <w:t>https://www.fedlex.admin.ch/eli/cc/2006/218/de</w:t>
      </w:r>
    </w:p>
    <w:p w14:paraId="5870F00E" w14:textId="77777777">
      <w:pPr>
        <w:pStyle w:val="BrandSmall"/>
        <w:spacing w:after="80"/>
      </w:pPr>
      <w:r>
        <w:rPr>
          <w:rFonts w:eastAsia="Arial"/>
          <w:color w:val="172126"/>
        </w:rPr>
        <w:t xml:space="preserve">[Q4] Fedlex, Verwaltungsverfahrensgesetz, SR 172.021, insbesondere Art. 20–22a. </w:t>
      </w:r>
      <w:r>
        <w:rPr>
          <w:rFonts w:eastAsia="Arial"/>
          <w:color w:val="2F6F73"/>
          <w:sz w:val="16"/>
        </w:rPr>
        <w:t>https://www.fedlex.admin.ch/eli/cc/1969/737_757_755/de</w:t>
      </w:r>
    </w:p>
    <w:p w14:paraId="7FB62339" w14:textId="77777777">
      <w:pPr>
        <w:pStyle w:val="BrandSmall"/>
        <w:spacing w:after="80"/>
      </w:pPr>
      <w:r>
        <w:rPr>
          <w:rFonts w:eastAsia="Arial"/>
          <w:color w:val="172126"/>
        </w:rPr>
        <w:t xml:space="preserve">[Q5] BELEX, Gesetz über die Verwaltungsrechtspflege, BSG 155.21, insbesondere Art. 41–44. </w:t>
      </w:r>
      <w:r>
        <w:rPr>
          <w:rFonts w:eastAsia="Arial"/>
          <w:color w:val="2F6F73"/>
          <w:sz w:val="16"/>
        </w:rPr>
        <w:t>https://www.belex.sites.be.ch/app/de/texts_of_law/155.21</w:t>
      </w:r>
    </w:p>
    <w:p w14:paraId="09722F41" w14:textId="77777777">
      <w:pPr>
        <w:pStyle w:val="BrandSmall"/>
        <w:spacing w:after="80"/>
      </w:pPr>
      <w:r>
        <w:rPr>
          <w:rFonts w:eastAsia="Arial"/>
          <w:color w:val="172126"/>
        </w:rPr>
        <w:t xml:space="preserve">[Q6] Bundesamt für Justiz, Zivilprozessrecht und Verzeichnis gesetzlicher Feiertage. </w:t>
      </w:r>
      <w:r>
        <w:rPr>
          <w:rFonts w:eastAsia="Arial"/>
          <w:color w:val="2F6F73"/>
          <w:sz w:val="16"/>
        </w:rPr>
        <w:t>https://www.bj.admin.ch/de/zivilprozessrecht</w:t>
      </w:r>
    </w:p>
    <w:p w14:paraId="7C8B9984" w14:textId="77777777">
      <w:pPr>
        <w:pStyle w:val="BrandSmall"/>
        <w:spacing w:after="80"/>
      </w:pPr>
      <w:r>
        <w:rPr>
          <w:rFonts w:eastAsia="Arial"/>
          <w:color w:val="172126"/>
        </w:rPr>
        <w:t xml:space="preserve">[Q7] Bundesamt für Justiz, Zustellung an Wochenenden und Feiertagen mit A-Post Plus. </w:t>
      </w:r>
      <w:r>
        <w:rPr>
          <w:rFonts w:eastAsia="Arial"/>
          <w:color w:val="2F6F73"/>
          <w:sz w:val="16"/>
        </w:rPr>
        <w:t>https://www.bj.admin.ch/de/zustellung-an-wochenenden-und-feiertagen-mit-a-post-plus</w:t>
      </w:r>
    </w:p>
    <w:p w14:paraId="128D530B" w14:textId="77777777">
      <w:pPr>
        <w:pStyle w:val="BrandSmall"/>
        <w:spacing w:after="80"/>
      </w:pPr>
      <w:r>
        <w:rPr>
          <w:rFonts w:eastAsia="Arial"/>
          <w:color w:val="172126"/>
        </w:rPr>
        <w:t xml:space="preserve">[Q8] Fedlex, Bundesgesetz über die Zustellung von Sendungen an Wochenenden und Feiertagen, BBl 2025 2891. </w:t>
      </w:r>
      <w:r>
        <w:rPr>
          <w:rFonts w:eastAsia="Arial"/>
          <w:color w:val="2F6F73"/>
          <w:sz w:val="16"/>
        </w:rPr>
        <w:t>https://www.fedlex.admin.ch/eli/fga/2025/2891/de</w:t>
      </w:r>
    </w:p>
    <w:p w14:paraId="52B78AA9" w14:textId="77777777">
      <w:pPr>
        <w:pStyle w:val="BrandSmall"/>
        <w:spacing w:after="80"/>
      </w:pPr>
      <w:r>
        <w:rPr>
          <w:rFonts w:eastAsia="Arial"/>
          <w:color w:val="172126"/>
        </w:rPr>
        <w:t xml:space="preserve">[Q9] Microsoft Learn, Deployment options for SPFx solutions for Microsoft Teams. </w:t>
      </w:r>
      <w:r>
        <w:rPr>
          <w:rFonts w:eastAsia="Arial"/>
          <w:color w:val="2F6F73"/>
          <w:sz w:val="16"/>
        </w:rPr>
        <w:t>https://learn.microsoft.com/en-us/sharepoint/dev/spfx/deployment-spfx-teams-solutions</w:t>
      </w:r>
    </w:p>
    <w:p w14:paraId="664F620A" w14:textId="77777777">
      <w:pPr>
        <w:pStyle w:val="BrandSmall"/>
        <w:spacing w:after="80"/>
      </w:pPr>
      <w:r>
        <w:rPr>
          <w:rFonts w:eastAsia="Arial"/>
          <w:color w:val="172126"/>
        </w:rPr>
        <w:t xml:space="preserve">[Q10] Microsoft Learn, Use the site collection app catalog. </w:t>
      </w:r>
      <w:r>
        <w:rPr>
          <w:rFonts w:eastAsia="Arial"/>
          <w:color w:val="2F6F73"/>
          <w:sz w:val="16"/>
        </w:rPr>
        <w:t>https://learn.microsoft.com/en-us/sharepoint/dev/general-development/site-collection-app-catalog</w:t>
      </w:r>
    </w:p>
    <w:p w14:paraId="0E710203" w14:textId="77777777">
      <w:pPr>
        <w:pStyle w:val="BrandSmall"/>
        <w:spacing w:after="80"/>
      </w:pPr>
      <w:r>
        <w:rPr>
          <w:rFonts w:eastAsia="Arial"/>
          <w:color w:val="172126"/>
        </w:rPr>
        <w:t xml:space="preserve">[Q11] Microsoft Learn, Manage custom app policies and settings in Teams. </w:t>
      </w:r>
      <w:r>
        <w:rPr>
          <w:rFonts w:eastAsia="Arial"/>
          <w:color w:val="2F6F73"/>
          <w:sz w:val="16"/>
        </w:rPr>
        <w:t>https://learn.microsoft.com/en-us/microsoftteams/teams-custom-app-policies-and-settings</w:t>
      </w:r>
    </w:p>
    <w:p w14:paraId="2066E18B" w14:textId="77777777">
      <w:pPr>
        <w:pStyle w:val="BrandSmall"/>
        <w:spacing w:after="80"/>
      </w:pPr>
      <w:r>
        <w:rPr>
          <w:rFonts w:eastAsia="Arial"/>
          <w:color w:val="172126"/>
        </w:rPr>
        <w:t xml:space="preserve">[Q12] Microsoft Learn, Using Fluent UI in SharePoint Framework. </w:t>
      </w:r>
      <w:r>
        <w:rPr>
          <w:rFonts w:eastAsia="Arial"/>
          <w:color w:val="2F6F73"/>
          <w:sz w:val="16"/>
        </w:rPr>
        <w:t>https://learn.microsoft.com/en-us/sharepoint/dev/spfx/fluent-ui-integration</w:t>
      </w:r>
    </w:p>
    <w:p w14:paraId="25E74AAB" w14:textId="77777777">
      <w:pPr>
        <w:pStyle w:val="BrandSmall"/>
        <w:spacing w:after="80"/>
      </w:pPr>
      <w:r>
        <w:rPr>
          <w:rFonts w:eastAsia="Arial"/>
          <w:color w:val="172126"/>
        </w:rPr>
        <w:t xml:space="preserve">[Q13] Microsoft Learn, GitHub connector for Power Automate, class Standard. </w:t>
      </w:r>
      <w:r>
        <w:rPr>
          <w:rFonts w:eastAsia="Arial"/>
          <w:color w:val="2F6F73"/>
          <w:sz w:val="16"/>
        </w:rPr>
        <w:t>https://learn.microsoft.com/en-us/connectors/github/</w:t>
      </w:r>
    </w:p>
    <w:p w14:paraId="35284C4D" w14:textId="77777777">
      <w:pPr>
        <w:pStyle w:val="BrandSmall"/>
        <w:spacing w:after="80"/>
      </w:pPr>
      <w:r>
        <w:rPr>
          <w:rFonts w:eastAsia="Arial"/>
          <w:color w:val="172126"/>
        </w:rPr>
        <w:t xml:space="preserve">[Q14] Microsoft Learn, SharePoint connector for Power Automate, class Standard. </w:t>
      </w:r>
      <w:r>
        <w:rPr>
          <w:rFonts w:eastAsia="Arial"/>
          <w:color w:val="2F6F73"/>
          <w:sz w:val="16"/>
        </w:rPr>
        <w:t>https://learn.microsoft.com/en-us/connectors/sharepointonline/</w:t>
      </w:r>
    </w:p>
    <w:p w14:paraId="6603F911" w14:textId="77777777">
      <w:pPr>
        <w:pStyle w:val="BrandSmall"/>
        <w:spacing w:after="80"/>
      </w:pPr>
      <w:r>
        <w:rPr>
          <w:rFonts w:eastAsia="Arial"/>
          <w:color w:val="172126"/>
        </w:rPr>
        <w:t xml:space="preserve">[Q15] eCH-0059 Accessibility Standard, Version 3.0. </w:t>
      </w:r>
      <w:r>
        <w:rPr>
          <w:rFonts w:eastAsia="Arial"/>
          <w:color w:val="2F6F73"/>
          <w:sz w:val="16"/>
        </w:rPr>
        <w:t>https://www.ech.ch/de/ech/ech-0059/3.0</w:t>
      </w:r>
    </w:p>
    <w:p w14:paraId="4176EBE0" w14:textId="77777777">
      <w:pPr>
        <w:pStyle w:val="BrandSmall"/>
        <w:spacing w:after="80"/>
      </w:pPr>
      <w:r>
        <w:rPr>
          <w:rFonts w:eastAsia="Arial"/>
          <w:color w:val="172126"/>
        </w:rPr>
        <w:t xml:space="preserve">[Q16] eCH-0054 HERMES Projektmanagement Methode, Version 3.1.1. </w:t>
      </w:r>
      <w:r>
        <w:rPr>
          <w:rFonts w:eastAsia="Arial"/>
          <w:color w:val="2F6F73"/>
          <w:sz w:val="16"/>
        </w:rPr>
        <w:t>https://www.ech.ch/de/ech/ech-0054/3.1.1</w:t>
      </w:r>
    </w:p>
    <w:p w14:paraId="0A43BD08" w14:textId="77777777">
      <w:pPr>
        <w:pStyle w:val="BrandSmall"/>
        <w:spacing w:after="80"/>
      </w:pPr>
      <w:r>
        <w:rPr>
          <w:rFonts w:eastAsia="Arial"/>
          <w:color w:val="172126"/>
        </w:rPr>
        <w:t xml:space="preserve">[Q17] Creative Commons FAQ, Anwendung von CC-Lizenzen auf Software. </w:t>
      </w:r>
      <w:r>
        <w:rPr>
          <w:rFonts w:eastAsia="Arial"/>
          <w:color w:val="2F6F73"/>
          <w:sz w:val="16"/>
        </w:rPr>
        <w:t>https://creativecommons.org/faq/</w:t>
      </w:r>
    </w:p>
    <w:p w14:paraId="63B78869" w14:textId="77777777">
      <w:pPr>
        <w:pStyle w:val="BrandSmall"/>
        <w:spacing w:after="80"/>
      </w:pPr>
      <w:r>
        <w:rPr>
          <w:rFonts w:eastAsia="Arial"/>
          <w:color w:val="172126"/>
        </w:rPr>
        <w:t xml:space="preserve">[Q18] GNU Project, GNU Affero General Public License, Version 3. </w:t>
      </w:r>
      <w:r>
        <w:rPr>
          <w:rFonts w:eastAsia="Arial"/>
          <w:color w:val="2F6F73"/>
          <w:sz w:val="16"/>
        </w:rPr>
        <w:t>https://www.gnu.org/licenses/agpl-3.0.html</w:t>
      </w:r>
    </w:p>
    <w:p w14:paraId="12F9204E" w14:textId="77777777">
      <w:pPr>
        <w:pStyle w:val="BrandSmall"/>
      </w:pPr>
      <w:r>
        <w:t>Alle Online-Quellen wurden am 28. August 2026 geprüft. Für die Rechtsanwendung bleibt die jeweils in Kraft stehende amtliche Fassung massgebend.</w:t>
      </w:r>
    </w:p>
    <w:p w14:paraId="7A5902FC" w14:textId="77777777">
      <w:pPr>
        <w:pStyle w:val="berschrift2"/>
      </w:pPr>
      <w:r>
        <w:t>B Begriffe und Abkürzungen</w:t>
      </w:r>
    </w:p>
    <w:tbl>
      <w:tblPr>
        <w:tblStyle w:val="Tabellenraster"/>
        <w:tblW w:w="9640" w:type="dxa"/>
        <w:tblInd w:w="120" w:type="dxa"/>
        <w:tblLayout w:type="fixed"/>
        <w:tblLook w:val="04A0" w:firstRow="1" w:lastRow="0" w:firstColumn="1" w:lastColumn="0" w:noHBand="0" w:noVBand="1"/>
      </w:tblPr>
      <w:tblGrid>
        <w:gridCol w:w="2200"/>
        <w:gridCol w:w="7440"/>
      </w:tblGrid>
      <w:tr w14:paraId="05103C4F" w14:textId="77777777">
        <w:trPr>
          <w:cantSplit/>
          <w:tblHeader/>
        </w:trPr>
        <w:tc>
          <w:tcPr>
            <w:tcW w:w="2200" w:type="dxa"/>
            <w:shd w:val="clear" w:color="auto" w:fill="122C40"/>
            <w:tcMar>
              <w:top w:w="90" w:type="dxa"/>
              <w:left w:w="120" w:type="dxa"/>
              <w:bottom w:w="90" w:type="dxa"/>
              <w:right w:w="120" w:type="dxa"/>
            </w:tcMar>
            <w:vAlign w:val="center"/>
          </w:tcPr>
          <w:p w14:paraId="43D475A8" w14:textId="77777777">
            <w:pPr>
              <w:spacing w:after="0"/>
            </w:pPr>
            <w:r>
              <w:rPr>
                <w:rFonts w:eastAsia="Arial"/>
                <w:b/>
                <w:color w:val="FFFFFF"/>
                <w:sz w:val="17"/>
              </w:rPr>
              <w:t>Begriff</w:t>
            </w:r>
          </w:p>
        </w:tc>
        <w:tc>
          <w:tcPr>
            <w:tcW w:w="7440" w:type="dxa"/>
            <w:shd w:val="clear" w:color="auto" w:fill="122C40"/>
            <w:tcMar>
              <w:top w:w="90" w:type="dxa"/>
              <w:left w:w="120" w:type="dxa"/>
              <w:bottom w:w="90" w:type="dxa"/>
              <w:right w:w="120" w:type="dxa"/>
            </w:tcMar>
            <w:vAlign w:val="center"/>
          </w:tcPr>
          <w:p w14:paraId="48B28E77" w14:textId="77777777">
            <w:pPr>
              <w:spacing w:after="0"/>
            </w:pPr>
            <w:r>
              <w:rPr>
                <w:rFonts w:eastAsia="Arial"/>
                <w:b/>
                <w:color w:val="FFFFFF"/>
                <w:sz w:val="17"/>
              </w:rPr>
              <w:t>Definition im Dokument</w:t>
            </w:r>
          </w:p>
        </w:tc>
      </w:tr>
      <w:tr w14:paraId="6969FD3A" w14:textId="77777777">
        <w:trPr>
          <w:cantSplit/>
        </w:trPr>
        <w:tc>
          <w:tcPr>
            <w:tcW w:w="2200" w:type="dxa"/>
            <w:tcMar>
              <w:top w:w="75" w:type="dxa"/>
              <w:left w:w="120" w:type="dxa"/>
              <w:bottom w:w="75" w:type="dxa"/>
              <w:right w:w="120" w:type="dxa"/>
            </w:tcMar>
            <w:vAlign w:val="center"/>
          </w:tcPr>
          <w:p w14:paraId="5AE64457" w14:textId="77777777">
            <w:pPr>
              <w:spacing w:after="0"/>
            </w:pPr>
            <w:r>
              <w:rPr>
                <w:rFonts w:eastAsia="Arial"/>
                <w:sz w:val="16"/>
              </w:rPr>
              <w:t>BGG</w:t>
            </w:r>
          </w:p>
        </w:tc>
        <w:tc>
          <w:tcPr>
            <w:tcW w:w="7440" w:type="dxa"/>
            <w:tcMar>
              <w:top w:w="75" w:type="dxa"/>
              <w:left w:w="120" w:type="dxa"/>
              <w:bottom w:w="75" w:type="dxa"/>
              <w:right w:w="120" w:type="dxa"/>
            </w:tcMar>
            <w:vAlign w:val="center"/>
          </w:tcPr>
          <w:p w14:paraId="4ED8ACCC" w14:textId="77777777">
            <w:pPr>
              <w:spacing w:after="0"/>
            </w:pPr>
            <w:r>
              <w:rPr>
                <w:rFonts w:eastAsia="Arial"/>
                <w:sz w:val="16"/>
              </w:rPr>
              <w:t>Bundesgesetz über das Bundesgericht</w:t>
            </w:r>
          </w:p>
        </w:tc>
      </w:tr>
      <w:tr w14:paraId="5C6694EE" w14:textId="77777777">
        <w:trPr>
          <w:cantSplit/>
        </w:trPr>
        <w:tc>
          <w:tcPr>
            <w:tcW w:w="2200" w:type="dxa"/>
            <w:shd w:val="clear" w:color="auto" w:fill="F6F7F5"/>
            <w:tcMar>
              <w:top w:w="75" w:type="dxa"/>
              <w:left w:w="120" w:type="dxa"/>
              <w:bottom w:w="75" w:type="dxa"/>
              <w:right w:w="120" w:type="dxa"/>
            </w:tcMar>
            <w:vAlign w:val="center"/>
          </w:tcPr>
          <w:p w14:paraId="22248239" w14:textId="77777777">
            <w:pPr>
              <w:spacing w:after="0"/>
            </w:pPr>
            <w:r>
              <w:rPr>
                <w:rFonts w:eastAsia="Arial"/>
                <w:sz w:val="16"/>
              </w:rPr>
              <w:t>M365</w:t>
            </w:r>
          </w:p>
        </w:tc>
        <w:tc>
          <w:tcPr>
            <w:tcW w:w="7440" w:type="dxa"/>
            <w:shd w:val="clear" w:color="auto" w:fill="F6F7F5"/>
            <w:tcMar>
              <w:top w:w="75" w:type="dxa"/>
              <w:left w:w="120" w:type="dxa"/>
              <w:bottom w:w="75" w:type="dxa"/>
              <w:right w:w="120" w:type="dxa"/>
            </w:tcMar>
            <w:vAlign w:val="center"/>
          </w:tcPr>
          <w:p w14:paraId="6DA48A9D" w14:textId="77777777">
            <w:pPr>
              <w:spacing w:after="0"/>
            </w:pPr>
            <w:r>
              <w:rPr>
                <w:rFonts w:eastAsia="Arial"/>
                <w:sz w:val="16"/>
              </w:rPr>
              <w:t>Microsoft 365 mit SharePoint Online und Microsoft Teams</w:t>
            </w:r>
          </w:p>
        </w:tc>
      </w:tr>
      <w:tr w14:paraId="33E44AD8" w14:textId="77777777">
        <w:trPr>
          <w:cantSplit/>
        </w:trPr>
        <w:tc>
          <w:tcPr>
            <w:tcW w:w="2200" w:type="dxa"/>
            <w:tcMar>
              <w:top w:w="75" w:type="dxa"/>
              <w:left w:w="120" w:type="dxa"/>
              <w:bottom w:w="75" w:type="dxa"/>
              <w:right w:w="120" w:type="dxa"/>
            </w:tcMar>
            <w:vAlign w:val="center"/>
          </w:tcPr>
          <w:p w14:paraId="666C5DE1" w14:textId="77777777">
            <w:pPr>
              <w:spacing w:after="0"/>
            </w:pPr>
            <w:r>
              <w:rPr>
                <w:rFonts w:eastAsia="Arial"/>
                <w:sz w:val="16"/>
              </w:rPr>
              <w:t>SPFx</w:t>
            </w:r>
          </w:p>
        </w:tc>
        <w:tc>
          <w:tcPr>
            <w:tcW w:w="7440" w:type="dxa"/>
            <w:tcMar>
              <w:top w:w="75" w:type="dxa"/>
              <w:left w:w="120" w:type="dxa"/>
              <w:bottom w:w="75" w:type="dxa"/>
              <w:right w:w="120" w:type="dxa"/>
            </w:tcMar>
            <w:vAlign w:val="center"/>
          </w:tcPr>
          <w:p w14:paraId="665A5E66" w14:textId="77777777">
            <w:pPr>
              <w:spacing w:after="0"/>
            </w:pPr>
            <w:r>
              <w:rPr>
                <w:rFonts w:eastAsia="Arial"/>
                <w:sz w:val="16"/>
              </w:rPr>
              <w:t>SharePoint Framework für clientseitige Erweiterungen</w:t>
            </w:r>
          </w:p>
        </w:tc>
      </w:tr>
      <w:tr w14:paraId="5914B558" w14:textId="77777777">
        <w:trPr>
          <w:cantSplit/>
        </w:trPr>
        <w:tc>
          <w:tcPr>
            <w:tcW w:w="2200" w:type="dxa"/>
            <w:shd w:val="clear" w:color="auto" w:fill="F6F7F5"/>
            <w:tcMar>
              <w:top w:w="75" w:type="dxa"/>
              <w:left w:w="120" w:type="dxa"/>
              <w:bottom w:w="75" w:type="dxa"/>
              <w:right w:w="120" w:type="dxa"/>
            </w:tcMar>
            <w:vAlign w:val="center"/>
          </w:tcPr>
          <w:p w14:paraId="58180780" w14:textId="77777777">
            <w:pPr>
              <w:spacing w:after="0"/>
            </w:pPr>
            <w:r>
              <w:rPr>
                <w:rFonts w:eastAsia="Arial"/>
                <w:sz w:val="16"/>
              </w:rPr>
              <w:t>Rechtsprofil</w:t>
            </w:r>
          </w:p>
        </w:tc>
        <w:tc>
          <w:tcPr>
            <w:tcW w:w="7440" w:type="dxa"/>
            <w:shd w:val="clear" w:color="auto" w:fill="F6F7F5"/>
            <w:tcMar>
              <w:top w:w="75" w:type="dxa"/>
              <w:left w:w="120" w:type="dxa"/>
              <w:bottom w:w="75" w:type="dxa"/>
              <w:right w:w="120" w:type="dxa"/>
            </w:tcMar>
            <w:vAlign w:val="center"/>
          </w:tcPr>
          <w:p w14:paraId="2CE49AD5" w14:textId="77777777">
            <w:pPr>
              <w:spacing w:after="0"/>
            </w:pPr>
            <w:r>
              <w:rPr>
                <w:rFonts w:eastAsia="Arial"/>
                <w:sz w:val="16"/>
              </w:rPr>
              <w:t>Versionierte Kombination aus Berechnungsregeln, Ausnahmen und Quellen</w:t>
            </w:r>
          </w:p>
        </w:tc>
      </w:tr>
      <w:tr w14:paraId="136CBAA1" w14:textId="77777777">
        <w:trPr>
          <w:cantSplit/>
        </w:trPr>
        <w:tc>
          <w:tcPr>
            <w:tcW w:w="2200" w:type="dxa"/>
            <w:tcMar>
              <w:top w:w="75" w:type="dxa"/>
              <w:left w:w="120" w:type="dxa"/>
              <w:bottom w:w="75" w:type="dxa"/>
              <w:right w:w="120" w:type="dxa"/>
            </w:tcMar>
            <w:vAlign w:val="center"/>
          </w:tcPr>
          <w:p w14:paraId="0A7DD441" w14:textId="77777777">
            <w:pPr>
              <w:spacing w:after="0"/>
            </w:pPr>
            <w:r>
              <w:rPr>
                <w:rFonts w:eastAsia="Arial"/>
                <w:sz w:val="16"/>
              </w:rPr>
              <w:t>Rechenspur</w:t>
            </w:r>
          </w:p>
        </w:tc>
        <w:tc>
          <w:tcPr>
            <w:tcW w:w="7440" w:type="dxa"/>
            <w:tcMar>
              <w:top w:w="75" w:type="dxa"/>
              <w:left w:w="120" w:type="dxa"/>
              <w:bottom w:w="75" w:type="dxa"/>
              <w:right w:w="120" w:type="dxa"/>
            </w:tcMar>
            <w:vAlign w:val="center"/>
          </w:tcPr>
          <w:p w14:paraId="18446894" w14:textId="77777777">
            <w:pPr>
              <w:spacing w:after="0"/>
            </w:pPr>
            <w:r>
              <w:rPr>
                <w:rFonts w:eastAsia="Arial"/>
                <w:sz w:val="16"/>
              </w:rPr>
              <w:t>Maschinen- und menschenlesbare Herleitung eines Fristendes</w:t>
            </w:r>
          </w:p>
        </w:tc>
      </w:tr>
      <w:tr w14:paraId="7EC7A8D9" w14:textId="77777777">
        <w:trPr>
          <w:cantSplit/>
        </w:trPr>
        <w:tc>
          <w:tcPr>
            <w:tcW w:w="2200" w:type="dxa"/>
            <w:shd w:val="clear" w:color="auto" w:fill="F6F7F5"/>
            <w:tcMar>
              <w:top w:w="75" w:type="dxa"/>
              <w:left w:w="120" w:type="dxa"/>
              <w:bottom w:w="75" w:type="dxa"/>
              <w:right w:w="120" w:type="dxa"/>
            </w:tcMar>
            <w:vAlign w:val="center"/>
          </w:tcPr>
          <w:p w14:paraId="4D406331" w14:textId="77777777">
            <w:pPr>
              <w:spacing w:after="0"/>
            </w:pPr>
            <w:r>
              <w:rPr>
                <w:rFonts w:eastAsia="Arial"/>
                <w:sz w:val="16"/>
              </w:rPr>
              <w:t>StPO</w:t>
            </w:r>
          </w:p>
        </w:tc>
        <w:tc>
          <w:tcPr>
            <w:tcW w:w="7440" w:type="dxa"/>
            <w:shd w:val="clear" w:color="auto" w:fill="F6F7F5"/>
            <w:tcMar>
              <w:top w:w="75" w:type="dxa"/>
              <w:left w:w="120" w:type="dxa"/>
              <w:bottom w:w="75" w:type="dxa"/>
              <w:right w:w="120" w:type="dxa"/>
            </w:tcMar>
            <w:vAlign w:val="center"/>
          </w:tcPr>
          <w:p w14:paraId="3A2A2B30" w14:textId="77777777">
            <w:pPr>
              <w:spacing w:after="0"/>
            </w:pPr>
            <w:r>
              <w:rPr>
                <w:rFonts w:eastAsia="Arial"/>
                <w:sz w:val="16"/>
              </w:rPr>
              <w:t>Schweizerische Strafprozessordnung</w:t>
            </w:r>
          </w:p>
        </w:tc>
      </w:tr>
      <w:tr w14:paraId="3AF8F301" w14:textId="77777777">
        <w:trPr>
          <w:cantSplit/>
        </w:trPr>
        <w:tc>
          <w:tcPr>
            <w:tcW w:w="2200" w:type="dxa"/>
            <w:tcMar>
              <w:top w:w="75" w:type="dxa"/>
              <w:left w:w="120" w:type="dxa"/>
              <w:bottom w:w="75" w:type="dxa"/>
              <w:right w:w="120" w:type="dxa"/>
            </w:tcMar>
            <w:vAlign w:val="center"/>
          </w:tcPr>
          <w:p w14:paraId="4CA599EC" w14:textId="77777777">
            <w:pPr>
              <w:spacing w:after="0"/>
            </w:pPr>
            <w:r>
              <w:rPr>
                <w:rFonts w:eastAsia="Arial"/>
                <w:sz w:val="16"/>
              </w:rPr>
              <w:t>VwVG</w:t>
            </w:r>
          </w:p>
        </w:tc>
        <w:tc>
          <w:tcPr>
            <w:tcW w:w="7440" w:type="dxa"/>
            <w:tcMar>
              <w:top w:w="75" w:type="dxa"/>
              <w:left w:w="120" w:type="dxa"/>
              <w:bottom w:w="75" w:type="dxa"/>
              <w:right w:w="120" w:type="dxa"/>
            </w:tcMar>
            <w:vAlign w:val="center"/>
          </w:tcPr>
          <w:p w14:paraId="080ECDC7" w14:textId="77777777">
            <w:pPr>
              <w:spacing w:after="0"/>
            </w:pPr>
            <w:r>
              <w:rPr>
                <w:rFonts w:eastAsia="Arial"/>
                <w:sz w:val="16"/>
              </w:rPr>
              <w:t>Bundesgesetz über das Verwaltungsverfahren</w:t>
            </w:r>
          </w:p>
        </w:tc>
      </w:tr>
      <w:tr w14:paraId="36A5ED9D" w14:textId="77777777">
        <w:trPr>
          <w:cantSplit/>
        </w:trPr>
        <w:tc>
          <w:tcPr>
            <w:tcW w:w="2200" w:type="dxa"/>
            <w:shd w:val="clear" w:color="auto" w:fill="F6F7F5"/>
            <w:tcMar>
              <w:top w:w="75" w:type="dxa"/>
              <w:left w:w="120" w:type="dxa"/>
              <w:bottom w:w="75" w:type="dxa"/>
              <w:right w:w="120" w:type="dxa"/>
            </w:tcMar>
            <w:vAlign w:val="center"/>
          </w:tcPr>
          <w:p w14:paraId="7B8F518A" w14:textId="77777777">
            <w:pPr>
              <w:spacing w:after="0"/>
            </w:pPr>
            <w:r>
              <w:rPr>
                <w:rFonts w:eastAsia="Arial"/>
                <w:sz w:val="16"/>
              </w:rPr>
              <w:t>VRPG</w:t>
            </w:r>
          </w:p>
        </w:tc>
        <w:tc>
          <w:tcPr>
            <w:tcW w:w="7440" w:type="dxa"/>
            <w:shd w:val="clear" w:color="auto" w:fill="F6F7F5"/>
            <w:tcMar>
              <w:top w:w="75" w:type="dxa"/>
              <w:left w:w="120" w:type="dxa"/>
              <w:bottom w:w="75" w:type="dxa"/>
              <w:right w:w="120" w:type="dxa"/>
            </w:tcMar>
            <w:vAlign w:val="center"/>
          </w:tcPr>
          <w:p w14:paraId="443815B7" w14:textId="77777777">
            <w:pPr>
              <w:spacing w:after="0"/>
            </w:pPr>
            <w:r>
              <w:rPr>
                <w:rFonts w:eastAsia="Arial"/>
                <w:sz w:val="16"/>
              </w:rPr>
              <w:t>Kantonales Gesetz über die Verwaltungsrechtspflege</w:t>
            </w:r>
          </w:p>
        </w:tc>
      </w:tr>
      <w:tr w14:paraId="19C3213D" w14:textId="77777777">
        <w:trPr>
          <w:cantSplit/>
        </w:trPr>
        <w:tc>
          <w:tcPr>
            <w:tcW w:w="2200" w:type="dxa"/>
            <w:tcMar>
              <w:top w:w="75" w:type="dxa"/>
              <w:left w:w="120" w:type="dxa"/>
              <w:bottom w:w="75" w:type="dxa"/>
              <w:right w:w="120" w:type="dxa"/>
            </w:tcMar>
            <w:vAlign w:val="center"/>
          </w:tcPr>
          <w:p w14:paraId="16997B9A" w14:textId="77777777">
            <w:pPr>
              <w:spacing w:after="0"/>
            </w:pPr>
            <w:r>
              <w:rPr>
                <w:rFonts w:eastAsia="Arial"/>
                <w:sz w:val="16"/>
              </w:rPr>
              <w:t>ZPO</w:t>
            </w:r>
          </w:p>
        </w:tc>
        <w:tc>
          <w:tcPr>
            <w:tcW w:w="7440" w:type="dxa"/>
            <w:tcMar>
              <w:top w:w="75" w:type="dxa"/>
              <w:left w:w="120" w:type="dxa"/>
              <w:bottom w:w="75" w:type="dxa"/>
              <w:right w:w="120" w:type="dxa"/>
            </w:tcMar>
            <w:vAlign w:val="center"/>
          </w:tcPr>
          <w:p w14:paraId="19277513" w14:textId="77777777">
            <w:pPr>
              <w:spacing w:after="0"/>
            </w:pPr>
            <w:r>
              <w:rPr>
                <w:rFonts w:eastAsia="Arial"/>
                <w:sz w:val="16"/>
              </w:rPr>
              <w:t>Schweizerische Zivilprozessordnung</w:t>
            </w:r>
          </w:p>
        </w:tc>
      </w:tr>
    </w:tbl>
    <w:p w14:paraId="6DDED1A3" w14:textId="77777777">
      <w:pPr>
        <w:spacing w:after="20"/>
      </w:pPr>
    </w:p>
    <w:p w14:paraId="181D4810" w14:textId="77777777">
      <w:pPr>
        <w:pStyle w:val="berschrift2"/>
      </w:pPr>
      <w:r>
        <w:t>C Akzeptanzkriterien für einen Pilot</w:t>
      </w:r>
    </w:p>
    <w:p w14:paraId="36624C3B" w14:textId="77777777">
      <w:pPr>
        <w:pStyle w:val="Aufzhlungszeichen"/>
      </w:pPr>
      <w:r>
        <w:t>Die fünf MVP-Rechtsprofile sind mit Quellen, Gültigkeitsstand und Ausnahmen für Bund und Kanton Bern freigegeben.</w:t>
      </w:r>
    </w:p>
    <w:p w14:paraId="741332AC" w14:textId="77777777">
      <w:pPr>
        <w:pStyle w:val="Aufzhlungszeichen"/>
      </w:pPr>
      <w:r>
        <w:t>Es wird kein zweites kantonales Profil für den MVP vorausgesetzt.</w:t>
      </w:r>
    </w:p>
    <w:p w14:paraId="1F8BD604" w14:textId="77777777">
      <w:pPr>
        <w:pStyle w:val="Aufzhlungszeichen"/>
      </w:pPr>
      <w:r>
        <w:t>Mindestens 50 Golden Cases bestehen in allen unterstützten Browsern innerhalb Microsoft 365.</w:t>
      </w:r>
    </w:p>
    <w:p w14:paraId="529E0FB9" w14:textId="77777777">
      <w:pPr>
        <w:pStyle w:val="Aufzhlungszeichen"/>
      </w:pPr>
      <w:r>
        <w:t>Das Ergebnis zeigt Fristbeginn, rechnerisches Ende, Verschiebung und endgültiges Ende.</w:t>
      </w:r>
    </w:p>
    <w:p w14:paraId="14CE15DC" w14:textId="77777777">
      <w:pPr>
        <w:pStyle w:val="Aufzhlungszeichen"/>
      </w:pPr>
      <w:r>
        <w:t>Automatisch gewählte Parameter und jede Übersteuerung sind sichtbar und in der Rechenspur enthalten.</w:t>
      </w:r>
    </w:p>
    <w:p w14:paraId="412950BE" w14:textId="77777777">
      <w:pPr>
        <w:pStyle w:val="Aufzhlungszeichen"/>
      </w:pPr>
      <w:r>
        <w:t>Der Kalender deckt das laufende Jahr und mindestens zwei Folgejahre vollständig ab.</w:t>
      </w:r>
    </w:p>
    <w:p w14:paraId="690B6F39" w14:textId="77777777">
      <w:pPr>
        <w:pStyle w:val="Aufzhlungszeichen"/>
      </w:pPr>
      <w:r>
        <w:t>Ein fehlgeschlagenes Datenupdate aktiviert das letzte gültige Release und zeigt eine klare Warnung.</w:t>
      </w:r>
    </w:p>
    <w:p w14:paraId="76B6D49D" w14:textId="77777777">
      <w:pPr>
        <w:pStyle w:val="Aufzhlungszeichen"/>
      </w:pPr>
      <w:r>
        <w:t>Die App läuft auf einer SharePoint-Seite und als Teams-Tab mit demselben .sppkg.</w:t>
      </w:r>
    </w:p>
    <w:p w14:paraId="5F07955A" w14:textId="77777777">
      <w:pPr>
        <w:pStyle w:val="Aufzhlungszeichen"/>
      </w:pPr>
      <w:r>
        <w:t>GitHubReleaseProvider und SharePointMirrorProvider verarbeiten dasselbe signierte Testrelease.</w:t>
      </w:r>
    </w:p>
    <w:p w14:paraId="40F98360" w14:textId="77777777">
      <w:pPr>
        <w:pStyle w:val="Aufzhlungszeichen"/>
      </w:pPr>
      <w:r>
        <w:t>Persönliche Defaults werden ausschliesslich im lokalen Browser gespeichert.</w:t>
      </w:r>
    </w:p>
    <w:p w14:paraId="3F31C002" w14:textId="77777777">
      <w:pPr>
        <w:pStyle w:val="Aufzhlungszeichen"/>
      </w:pPr>
      <w:r>
        <w:t>GUI, Hilfetexte, Fehlermeldungen und Rechenspur sind vollständig auf Deutsch und Französisch verfügbar.</w:t>
      </w:r>
    </w:p>
    <w:p w14:paraId="729FE72A" w14:textId="77777777">
      <w:pPr>
        <w:pStyle w:val="Aufzhlungszeichen"/>
      </w:pPr>
      <w:r>
        <w:t>Die App zeigt AGPL-3.0, den passenden Quellcode-Link und die Datenlizenz gut sichtbar an.</w:t>
      </w:r>
    </w:p>
    <w:p w14:paraId="7B74194F" w14:textId="77777777">
      <w:pPr>
        <w:pStyle w:val="Aufzhlungszeichen"/>
      </w:pPr>
      <w:r>
        <w:t>Rollenbesetzung und Prüfstatus des verwendeten Datenreleases sind nachvollziehbar dokumentiert.</w:t>
      </w:r>
    </w:p>
    <w:p w14:paraId="2FFBF0D9" w14:textId="77777777">
      <w:pPr>
        <w:pStyle w:val="Aufzhlungszeichen"/>
      </w:pPr>
      <w:r>
        <w:t>Es werden keine Falldaten oder personenbezogenen Inhalte gespeichert.</w:t>
      </w:r>
    </w:p>
    <w:p w14:paraId="6F538620" w14:textId="77777777">
      <w:pPr>
        <w:pStyle w:val="Aufzhlungszeichen"/>
      </w:pPr>
      <w:r>
        <w:t>Die Bedienung erfüllt WCAG 2.1 AA nach eCH-0059 als Qualitätsziel.</w:t>
      </w:r>
    </w:p>
    <w:p w14:paraId="724D7CE6" w14:textId="77777777">
      <w:pPr>
        <w:pStyle w:val="Aufzhlungszeichen"/>
      </w:pPr>
      <w:r>
        <w:t>Installations-, Betriebs-, Fachpflege- und Sicherheitsdokumentation sind vorhanden.</w:t>
      </w:r>
    </w:p>
    <w:p w14:paraId="21BD6663" w14:textId="77777777">
      <w:pPr>
        <w:pStyle w:val="berschrift2"/>
      </w:pPr>
      <w:r>
        <w:t>D Änderungskontrolle</w:t>
      </w:r>
    </w:p>
    <w:tbl>
      <w:tblPr>
        <w:tblStyle w:val="Tabellenraster"/>
        <w:tblW w:w="9640" w:type="dxa"/>
        <w:tblInd w:w="120" w:type="dxa"/>
        <w:tblLayout w:type="fixed"/>
        <w:tblLook w:val="04A0" w:firstRow="1" w:lastRow="0" w:firstColumn="1" w:lastColumn="0" w:noHBand="0" w:noVBand="1"/>
      </w:tblPr>
      <w:tblGrid>
        <w:gridCol w:w="1400"/>
        <w:gridCol w:w="1700"/>
        <w:gridCol w:w="4540"/>
        <w:gridCol w:w="2000"/>
      </w:tblGrid>
      <w:tr w14:paraId="407AAB85" w14:textId="77777777">
        <w:trPr>
          <w:cantSplit/>
          <w:tblHeader/>
        </w:trPr>
        <w:tc>
          <w:tcPr>
            <w:tcW w:w="1400" w:type="dxa"/>
            <w:shd w:val="clear" w:color="auto" w:fill="122C40"/>
            <w:tcMar>
              <w:top w:w="90" w:type="dxa"/>
              <w:left w:w="120" w:type="dxa"/>
              <w:bottom w:w="90" w:type="dxa"/>
              <w:right w:w="120" w:type="dxa"/>
            </w:tcMar>
            <w:vAlign w:val="center"/>
          </w:tcPr>
          <w:p w14:paraId="7A0DADEA" w14:textId="77777777">
            <w:pPr>
              <w:spacing w:after="0"/>
            </w:pPr>
            <w:r>
              <w:rPr>
                <w:rFonts w:eastAsia="Arial"/>
                <w:b/>
                <w:color w:val="FFFFFF"/>
                <w:sz w:val="17"/>
              </w:rPr>
              <w:t>Version</w:t>
            </w:r>
          </w:p>
        </w:tc>
        <w:tc>
          <w:tcPr>
            <w:tcW w:w="1700" w:type="dxa"/>
            <w:shd w:val="clear" w:color="auto" w:fill="122C40"/>
            <w:tcMar>
              <w:top w:w="90" w:type="dxa"/>
              <w:left w:w="120" w:type="dxa"/>
              <w:bottom w:w="90" w:type="dxa"/>
              <w:right w:w="120" w:type="dxa"/>
            </w:tcMar>
            <w:vAlign w:val="center"/>
          </w:tcPr>
          <w:p w14:paraId="79D5F4EC" w14:textId="77777777">
            <w:pPr>
              <w:spacing w:after="0"/>
            </w:pPr>
            <w:r>
              <w:rPr>
                <w:rFonts w:eastAsia="Arial"/>
                <w:b/>
                <w:color w:val="FFFFFF"/>
                <w:sz w:val="17"/>
              </w:rPr>
              <w:t>Datum</w:t>
            </w:r>
          </w:p>
        </w:tc>
        <w:tc>
          <w:tcPr>
            <w:tcW w:w="4540" w:type="dxa"/>
            <w:shd w:val="clear" w:color="auto" w:fill="122C40"/>
            <w:tcMar>
              <w:top w:w="90" w:type="dxa"/>
              <w:left w:w="120" w:type="dxa"/>
              <w:bottom w:w="90" w:type="dxa"/>
              <w:right w:w="120" w:type="dxa"/>
            </w:tcMar>
            <w:vAlign w:val="center"/>
          </w:tcPr>
          <w:p w14:paraId="2021F8CC" w14:textId="77777777">
            <w:pPr>
              <w:spacing w:after="0"/>
            </w:pPr>
            <w:r>
              <w:rPr>
                <w:rFonts w:eastAsia="Arial"/>
                <w:b/>
                <w:color w:val="FFFFFF"/>
                <w:sz w:val="17"/>
              </w:rPr>
              <w:t>Änderung</w:t>
            </w:r>
          </w:p>
        </w:tc>
        <w:tc>
          <w:tcPr>
            <w:tcW w:w="2000" w:type="dxa"/>
            <w:shd w:val="clear" w:color="auto" w:fill="122C40"/>
            <w:tcMar>
              <w:top w:w="90" w:type="dxa"/>
              <w:left w:w="120" w:type="dxa"/>
              <w:bottom w:w="90" w:type="dxa"/>
              <w:right w:w="120" w:type="dxa"/>
            </w:tcMar>
            <w:vAlign w:val="center"/>
          </w:tcPr>
          <w:p w14:paraId="525275B6" w14:textId="77777777">
            <w:pPr>
              <w:spacing w:after="0"/>
            </w:pPr>
            <w:r>
              <w:rPr>
                <w:rFonts w:eastAsia="Arial"/>
                <w:b/>
                <w:color w:val="FFFFFF"/>
                <w:sz w:val="17"/>
              </w:rPr>
              <w:t>Autor</w:t>
            </w:r>
          </w:p>
        </w:tc>
      </w:tr>
      <w:tr w14:paraId="18EFBDA2" w14:textId="77777777">
        <w:trPr>
          <w:cantSplit/>
        </w:trPr>
        <w:tc>
          <w:tcPr>
            <w:tcW w:w="1400" w:type="dxa"/>
            <w:tcMar>
              <w:top w:w="75" w:type="dxa"/>
              <w:left w:w="120" w:type="dxa"/>
              <w:bottom w:w="75" w:type="dxa"/>
              <w:right w:w="120" w:type="dxa"/>
            </w:tcMar>
            <w:vAlign w:val="center"/>
          </w:tcPr>
          <w:p w14:paraId="3D12F671" w14:textId="77777777">
            <w:pPr>
              <w:spacing w:after="0"/>
            </w:pPr>
            <w:r>
              <w:rPr>
                <w:rFonts w:eastAsia="Arial"/>
                <w:sz w:val="16"/>
              </w:rPr>
              <w:t>0.1</w:t>
            </w:r>
          </w:p>
        </w:tc>
        <w:tc>
          <w:tcPr>
            <w:tcW w:w="1700" w:type="dxa"/>
            <w:tcMar>
              <w:top w:w="75" w:type="dxa"/>
              <w:left w:w="120" w:type="dxa"/>
              <w:bottom w:w="75" w:type="dxa"/>
              <w:right w:w="120" w:type="dxa"/>
            </w:tcMar>
            <w:vAlign w:val="center"/>
          </w:tcPr>
          <w:p w14:paraId="1B8520D3" w14:textId="77777777">
            <w:pPr>
              <w:spacing w:after="0"/>
            </w:pPr>
            <w:r>
              <w:rPr>
                <w:rFonts w:eastAsia="Arial"/>
                <w:sz w:val="16"/>
              </w:rPr>
              <w:t>28.08.2026</w:t>
            </w:r>
          </w:p>
        </w:tc>
        <w:tc>
          <w:tcPr>
            <w:tcW w:w="4540" w:type="dxa"/>
            <w:tcMar>
              <w:top w:w="75" w:type="dxa"/>
              <w:left w:w="120" w:type="dxa"/>
              <w:bottom w:w="75" w:type="dxa"/>
              <w:right w:w="120" w:type="dxa"/>
            </w:tcMar>
            <w:vAlign w:val="center"/>
          </w:tcPr>
          <w:p w14:paraId="5D48F4F9" w14:textId="77777777">
            <w:pPr>
              <w:spacing w:after="0"/>
            </w:pPr>
            <w:r>
              <w:rPr>
                <w:rFonts w:eastAsia="Arial"/>
                <w:sz w:val="16"/>
              </w:rPr>
              <w:t>Erster Konzeptentwurf</w:t>
            </w:r>
          </w:p>
        </w:tc>
        <w:tc>
          <w:tcPr>
            <w:tcW w:w="2000" w:type="dxa"/>
            <w:tcMar>
              <w:top w:w="75" w:type="dxa"/>
              <w:left w:w="120" w:type="dxa"/>
              <w:bottom w:w="75" w:type="dxa"/>
              <w:right w:w="120" w:type="dxa"/>
            </w:tcMar>
            <w:vAlign w:val="center"/>
          </w:tcPr>
          <w:p w14:paraId="52EAE8BF" w14:textId="77777777">
            <w:pPr>
              <w:spacing w:after="0"/>
            </w:pPr>
            <w:r>
              <w:rPr>
                <w:rFonts w:eastAsia="Arial"/>
                <w:sz w:val="16"/>
              </w:rPr>
              <w:t>David Steimer</w:t>
            </w:r>
          </w:p>
        </w:tc>
      </w:tr>
      <w:tr w14:paraId="0177E445" w14:textId="77777777">
        <w:trPr>
          <w:cantSplit/>
        </w:trPr>
        <w:tc>
          <w:tcPr>
            <w:tcW w:w="1400" w:type="dxa"/>
            <w:shd w:val="clear" w:color="auto" w:fill="F6F7F5"/>
            <w:tcMar>
              <w:top w:w="75" w:type="dxa"/>
              <w:left w:w="120" w:type="dxa"/>
              <w:bottom w:w="75" w:type="dxa"/>
              <w:right w:w="120" w:type="dxa"/>
            </w:tcMar>
            <w:vAlign w:val="center"/>
          </w:tcPr>
          <w:p w14:paraId="404AA5F3" w14:textId="77777777">
            <w:pPr>
              <w:spacing w:after="0"/>
            </w:pPr>
            <w:r>
              <w:rPr>
                <w:rFonts w:eastAsia="Arial"/>
                <w:sz w:val="16"/>
              </w:rPr>
              <w:t>0.2</w:t>
            </w:r>
          </w:p>
        </w:tc>
        <w:tc>
          <w:tcPr>
            <w:tcW w:w="1700" w:type="dxa"/>
            <w:shd w:val="clear" w:color="auto" w:fill="F6F7F5"/>
            <w:tcMar>
              <w:top w:w="75" w:type="dxa"/>
              <w:left w:w="120" w:type="dxa"/>
              <w:bottom w:w="75" w:type="dxa"/>
              <w:right w:w="120" w:type="dxa"/>
            </w:tcMar>
            <w:vAlign w:val="center"/>
          </w:tcPr>
          <w:p w14:paraId="0ACD3AAA" w14:textId="77777777">
            <w:pPr>
              <w:spacing w:after="0"/>
            </w:pPr>
            <w:r>
              <w:rPr>
                <w:rFonts w:eastAsia="Arial"/>
                <w:sz w:val="16"/>
              </w:rPr>
              <w:t>28.08.2026</w:t>
            </w:r>
          </w:p>
        </w:tc>
        <w:tc>
          <w:tcPr>
            <w:tcW w:w="4540" w:type="dxa"/>
            <w:shd w:val="clear" w:color="auto" w:fill="F6F7F5"/>
            <w:tcMar>
              <w:top w:w="75" w:type="dxa"/>
              <w:left w:w="120" w:type="dxa"/>
              <w:bottom w:w="75" w:type="dxa"/>
              <w:right w:w="120" w:type="dxa"/>
            </w:tcMar>
            <w:vAlign w:val="center"/>
          </w:tcPr>
          <w:p w14:paraId="7E5047FF" w14:textId="77777777">
            <w:pPr>
              <w:spacing w:after="0"/>
            </w:pPr>
            <w:r>
              <w:rPr>
                <w:rFonts w:eastAsia="Arial"/>
                <w:sz w:val="16"/>
              </w:rPr>
              <w:t>Beschlüsse zu MVP, Rollen, Datenquelle, Defaults, AGPL und Sprachen</w:t>
            </w:r>
          </w:p>
        </w:tc>
        <w:tc>
          <w:tcPr>
            <w:tcW w:w="2000" w:type="dxa"/>
            <w:shd w:val="clear" w:color="auto" w:fill="F6F7F5"/>
            <w:tcMar>
              <w:top w:w="75" w:type="dxa"/>
              <w:left w:w="120" w:type="dxa"/>
              <w:bottom w:w="75" w:type="dxa"/>
              <w:right w:w="120" w:type="dxa"/>
            </w:tcMar>
            <w:vAlign w:val="center"/>
          </w:tcPr>
          <w:p w14:paraId="68E70356" w14:textId="77777777">
            <w:pPr>
              <w:spacing w:after="0"/>
            </w:pPr>
            <w:r>
              <w:rPr>
                <w:rFonts w:eastAsia="Arial"/>
                <w:sz w:val="16"/>
              </w:rPr>
              <w:t>David Steimer</w:t>
            </w:r>
          </w:p>
        </w:tc>
      </w:tr>
      <w:tr w14:paraId="0177E445" w14:textId="77777777">
        <w:trPr>
          <w:cantSplit/>
        </w:trPr>
        <w:tc>
          <w:tcPr>
            <w:tcW w:w="1400" w:type="dxa"/>
            <w:shd w:val="clear" w:color="auto" w:fill="F6F7F5"/>
            <w:tcMar>
              <w:top w:w="75" w:type="dxa"/>
              <w:left w:w="120" w:type="dxa"/>
              <w:bottom w:w="75" w:type="dxa"/>
              <w:right w:w="120" w:type="dxa"/>
            </w:tcMar>
            <w:vAlign w:val="center"/>
          </w:tcPr>
          <w:p w14:paraId="404AA5F3" w14:textId="77777777">
            <w:pPr>
              <w:spacing w:after="0"/>
            </w:pPr>
            <w:r>
              <w:rPr>
                <w:rFonts w:eastAsia="Arial"/>
                <w:sz w:val="16"/>
              </w:rPr>
              <w:t>1.0</w:t>
            </w:r>
          </w:p>
        </w:tc>
        <w:tc>
          <w:tcPr>
            <w:tcW w:w="1700" w:type="dxa"/>
            <w:shd w:val="clear" w:color="auto" w:fill="F6F7F5"/>
            <w:tcMar>
              <w:top w:w="75" w:type="dxa"/>
              <w:left w:w="120" w:type="dxa"/>
              <w:bottom w:w="75" w:type="dxa"/>
              <w:right w:w="120" w:type="dxa"/>
            </w:tcMar>
            <w:vAlign w:val="center"/>
          </w:tcPr>
          <w:p w14:paraId="0ACD3AAA" w14:textId="77777777">
            <w:pPr>
              <w:spacing w:after="0"/>
            </w:pPr>
            <w:r>
              <w:rPr>
                <w:rFonts w:eastAsia="Arial"/>
                <w:sz w:val="16"/>
              </w:rPr>
              <w:t>28.08.2026</w:t>
            </w:r>
          </w:p>
        </w:tc>
        <w:tc>
          <w:tcPr>
            <w:tcW w:w="4540" w:type="dxa"/>
            <w:shd w:val="clear" w:color="auto" w:fill="F6F7F5"/>
            <w:tcMar>
              <w:top w:w="75" w:type="dxa"/>
              <w:left w:w="120" w:type="dxa"/>
              <w:bottom w:w="75" w:type="dxa"/>
              <w:right w:w="120" w:type="dxa"/>
            </w:tcMar>
            <w:vAlign w:val="center"/>
          </w:tcPr>
          <w:p w14:paraId="7E5047FF" w14:textId="77777777">
            <w:pPr>
              <w:spacing w:after="0"/>
            </w:pPr>
            <w:r>
              <w:rPr>
                <w:rFonts w:eastAsia="Arial"/>
                <w:sz w:val="16"/>
              </w:rPr>
              <w:t>Konzept freigegeben und Aufwandplanung mit dem Projekt- und Realisierungsplan harmonisiert</w:t>
            </w:r>
          </w:p>
        </w:tc>
        <w:tc>
          <w:tcPr>
            <w:tcW w:w="2000" w:type="dxa"/>
            <w:shd w:val="clear" w:color="auto" w:fill="F6F7F5"/>
            <w:tcMar>
              <w:top w:w="75" w:type="dxa"/>
              <w:left w:w="120" w:type="dxa"/>
              <w:bottom w:w="75" w:type="dxa"/>
              <w:right w:w="120" w:type="dxa"/>
            </w:tcMar>
            <w:vAlign w:val="center"/>
          </w:tcPr>
          <w:p w14:paraId="68E70356" w14:textId="77777777">
            <w:pPr>
              <w:spacing w:after="0"/>
            </w:pPr>
            <w:r>
              <w:rPr>
                <w:rFonts w:eastAsia="Arial"/>
                <w:sz w:val="16"/>
              </w:rPr>
              <w:t>David Steimer</w:t>
            </w:r>
          </w:p>
        </w:tc>
      </w:tr>
    </w:tbl>
    <w:p w14:paraId="6F7CDF5D" w14:textId="77777777">
      <w:pPr>
        <w:spacing w:after="20"/>
      </w:pPr>
    </w:p>
    <w:sectPr>
      <w:pgSz w:w="11906" w:h="16838"/>
      <w:pgMar w:top="1134" w:right="1134" w:bottom="107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284657669">
    <w:abstractNumId w:val="8"/>
  </w:num>
  <w:num w:numId="2" w16cid:durableId="1685592819">
    <w:abstractNumId w:val="6"/>
  </w:num>
  <w:num w:numId="3" w16cid:durableId="1480656087">
    <w:abstractNumId w:val="5"/>
  </w:num>
  <w:num w:numId="4" w16cid:durableId="819538555">
    <w:abstractNumId w:val="4"/>
  </w:num>
  <w:num w:numId="5" w16cid:durableId="150104808">
    <w:abstractNumId w:val="7"/>
  </w:num>
  <w:num w:numId="6" w16cid:durableId="1582521849">
    <w:abstractNumId w:val="3"/>
  </w:num>
  <w:num w:numId="7" w16cid:durableId="1774207780">
    <w:abstractNumId w:val="2"/>
  </w:num>
  <w:num w:numId="8" w16cid:durableId="1298217982">
    <w:abstractNumId w:val="1"/>
  </w:num>
  <w:num w:numId="9" w16cid:durableId="299187194">
    <w:abstractNumId w:val="0"/>
  </w:num>
  <w:num w:numId="10" w16cid:durableId="745956813">
    <w:abstractNumId w:val="7"/>
    <w:lvlOverride w:ilvl="0">
      <w:startOverride w:val="1"/>
    </w:lvlOverride>
  </w:num>
  <w:num w:numId="11" w16cid:durableId="663049761">
    <w:abstractNumId w:val="7"/>
    <w:lvlOverride w:ilvl="0">
      <w:startOverride w:val="1"/>
    </w:lvlOverride>
  </w:num>
  <w:num w:numId="12" w16cid:durableId="136580313">
    <w:abstractNumId w:val="7"/>
    <w:lvlOverride w:ilvl="0">
      <w:startOverride w:val="1"/>
    </w:lvlOverride>
  </w:num>
  <w:num w:numId="13" w16cid:durableId="1380859021">
    <w:abstractNumId w:val="7"/>
    <w:lvlOverride w:ilvl="0">
      <w:startOverride w:val="1"/>
    </w:lvlOverride>
  </w:num>
  <w:num w:numId="14" w16cid:durableId="327559655">
    <w:abstractNumId w:val="7"/>
    <w:lvlOverride w:ilvl="0">
      <w:startOverride w:val="1"/>
    </w:lvlOverride>
  </w:num>
  <w:num w:numId="15" w16cid:durableId="464733969">
    <w:abstractNumId w:val="7"/>
    <w:lvlOverride w:ilvl="0">
      <w:startOverride w:val="1"/>
    </w:lvlOverride>
  </w:num>
  <w:num w:numId="16" w16cid:durableId="1203446705">
    <w:abstractNumId w:val="7"/>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5E18"/>
    <w:rsid w:val="0029639D"/>
    <w:rsid w:val="00326F90"/>
    <w:rsid w:val="00AA1D8D"/>
    <w:rsid w:val="00B47730"/>
    <w:rsid w:val="00CB0664"/>
    <w:rsid w:val="00E22115"/>
    <w:rsid w:val="00FC693F"/>
    <w:rsid w:val="00FF77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F5E42F2-B22F-CE4A-9F3E-343E023CE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40" w:line="293" w:lineRule="auto"/>
    </w:pPr>
    <w:rPr>
      <w:rFonts w:ascii="Arial" w:hAnsi="Arial"/>
      <w:color w:val="172126"/>
      <w:sz w:val="21"/>
    </w:rPr>
  </w:style>
  <w:style w:type="paragraph" w:styleId="berschrift1">
    <w:name w:val="heading 1"/>
    <w:basedOn w:val="Standard"/>
    <w:next w:val="Standard"/>
    <w:link w:val="berschrift1Zchn"/>
    <w:uiPriority w:val="9"/>
    <w:qFormat/>
    <w:rsid w:val="00FC693F"/>
    <w:pPr>
      <w:keepNext/>
      <w:keepLines/>
      <w:spacing w:before="320"/>
      <w:outlineLvl w:val="0"/>
    </w:pPr>
    <w:rPr>
      <w:rFonts w:asciiTheme="majorHAnsi" w:eastAsiaTheme="majorEastAsia" w:hAnsiTheme="majorHAnsi" w:cstheme="majorBidi"/>
      <w:b/>
      <w:bCs/>
      <w:color w:val="122C40"/>
      <w:sz w:val="34"/>
      <w:szCs w:val="28"/>
    </w:rPr>
  </w:style>
  <w:style w:type="paragraph" w:styleId="berschrift2">
    <w:name w:val="heading 2"/>
    <w:basedOn w:val="Standard"/>
    <w:next w:val="Standard"/>
    <w:link w:val="berschrift2Zchn"/>
    <w:uiPriority w:val="9"/>
    <w:unhideWhenUsed/>
    <w:qFormat/>
    <w:rsid w:val="00FC693F"/>
    <w:pPr>
      <w:keepNext/>
      <w:keepLines/>
      <w:spacing w:before="240" w:after="100"/>
      <w:outlineLvl w:val="1"/>
    </w:pPr>
    <w:rPr>
      <w:rFonts w:asciiTheme="majorHAnsi" w:eastAsiaTheme="majorEastAsia" w:hAnsiTheme="majorHAnsi" w:cstheme="majorBidi"/>
      <w:b/>
      <w:bCs/>
      <w:color w:val="2F6F73"/>
      <w:sz w:val="26"/>
      <w:szCs w:val="26"/>
    </w:rPr>
  </w:style>
  <w:style w:type="paragraph" w:styleId="berschrift3">
    <w:name w:val="heading 3"/>
    <w:basedOn w:val="Standard"/>
    <w:next w:val="Standard"/>
    <w:link w:val="berschrift3Zchn"/>
    <w:uiPriority w:val="9"/>
    <w:unhideWhenUsed/>
    <w:qFormat/>
    <w:rsid w:val="00FC693F"/>
    <w:pPr>
      <w:keepNext/>
      <w:keepLines/>
      <w:spacing w:before="180" w:after="80"/>
      <w:outlineLvl w:val="2"/>
    </w:pPr>
    <w:rPr>
      <w:rFonts w:asciiTheme="majorHAnsi" w:eastAsiaTheme="majorEastAsia" w:hAnsiTheme="majorHAnsi" w:cstheme="majorBidi"/>
      <w:b/>
      <w:bCs/>
      <w:color w:val="122C40"/>
      <w:sz w:val="23"/>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keepNext/>
      <w:spacing w:after="160" w:line="240" w:lineRule="auto"/>
      <w:contextualSpacing/>
    </w:pPr>
    <w:rPr>
      <w:rFonts w:asciiTheme="majorHAnsi" w:eastAsiaTheme="majorEastAsia" w:hAnsiTheme="majorHAnsi" w:cstheme="majorBidi"/>
      <w:b/>
      <w:color w:val="122C40"/>
      <w:spacing w:val="5"/>
      <w:kern w:val="28"/>
      <w:sz w:val="60"/>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spacing w:after="320"/>
    </w:pPr>
    <w:rPr>
      <w:rFonts w:asciiTheme="majorHAnsi" w:eastAsiaTheme="majorEastAsia" w:hAnsiTheme="majorHAnsi" w:cstheme="majorBidi"/>
      <w:i/>
      <w:iCs/>
      <w:color w:val="2F6F73"/>
      <w:spacing w:val="15"/>
      <w:sz w:val="28"/>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spacing w:after="80" w:line="276" w:lineRule="auto"/>
      <w:ind w:left="369" w:hanging="170"/>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spacing w:after="80" w:line="276" w:lineRule="auto"/>
      <w:ind w:left="369" w:hanging="170"/>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andKicker">
    <w:name w:val="Brand Kicker"/>
    <w:basedOn w:val="Standard"/>
    <w:rPr>
      <w:b/>
      <w:color w:val="C46A3A"/>
      <w:sz w:val="18"/>
    </w:rPr>
  </w:style>
  <w:style w:type="paragraph" w:customStyle="1" w:styleId="BrandLead">
    <w:name w:val="Brand Lead"/>
    <w:basedOn w:val="Standard"/>
    <w:rPr>
      <w:color w:val="122C40"/>
      <w:sz w:val="26"/>
    </w:rPr>
  </w:style>
  <w:style w:type="paragraph" w:customStyle="1" w:styleId="BrandSmall">
    <w:name w:val="Brand Small"/>
    <w:basedOn w:val="Standard"/>
    <w:rPr>
      <w:color w:val="566168"/>
      <w:sz w:val="17"/>
    </w:rPr>
  </w:style>
  <w:style w:type="paragraph" w:customStyle="1" w:styleId="BrandLabel">
    <w:name w:val="Brand Label"/>
    <w:basedOn w:val="Standard"/>
    <w:rPr>
      <w:b/>
      <w:color w:val="122C4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7" Type="http://schemas.openxmlformats.org/officeDocument/2006/relationships/settings" Target="settings.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3917</Words>
  <Characters>31931</Characters>
  <Application>Microsoft Office Word</Application>
  <DocSecurity>0</DocSecurity>
  <Lines>840</Lines>
  <Paragraphs>512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Konzept Fristenrechner Schweiz</dc:title>
  <dc:subject>Freigegebene Version 1.0 für den MVP Kanton Bern</dc:subject>
  <cp:keywords>Fristen, StPO, ZPO, BGG, VwVG, VRPG, SharePoint Framework, Teams, HERMES</cp:keywords>
  <dc:description>Freigegebene Version 1.0 vom 28. August 2026</dc:description>
  <cp:category/>
</cp:coreProperties>
</file>