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sz w:val="26"/>
        </w:rPr>
        <w:t>FICHA TÉCNICA</w:t>
        <w:br/>
        <w:t>DURVALUMAB 50 MG/ML, CONCENTRADO PARA SOLUCIÓN PARA PERFUSIÓN, VIAL DE 10 ML (500 MG)</w:t>
      </w:r>
    </w:p>
    <w:p>
      <w:pPr>
        <w:spacing w:before="200" w:after="80"/>
      </w:pPr>
      <w:r>
        <w:rPr>
          <w:b/>
          <w:color w:val="1F3A68"/>
          <w:sz w:val="22"/>
        </w:rPr>
        <w:t>1. DESCRIPCIÓN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Principio activo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Durvalumab. Anticuerpo monoclonal humano IgG1κ dirigido contra el ligando 1 de muerte programada (PD-L1), producido en células de ovario de hámster chino (CHO) mediante tecnología de ADN recombinante.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Código ATC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L01FF03 (Agentes antineoplásicos › Anticuerpos monoclonales y conjugados anticuerpo-fármaco › Inhibidores de PD-1/PD-L1 › durvalumab).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Concentración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50 mg/mL. Cada vial contiene 500 mg de durvalumab en 10 mL de concentrado.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Forma farmacéutica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Concentrado para solución para perfusión (solución inyectable concentrada, estéril, sin conservantes). Se acepta la denominación «solución inyectable» o «solución concentrada para infusión» cuando así conste en el registro sanitario.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Vía de administración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Intravenosa (perfusión), previa dilución.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2. ESPECIFICACIONES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Especificaciones de calidad y metodología analítica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Producto biológico sin monografía farmacopeica: debe cumplir las especificaciones de producto terminado del fabricante aprobadas en el registro sanitario vigente ante el Ministerio de Salud de Costa Rica.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Metodología analítica validada, conforme a los principios de ICH Q6B (identidad, pureza e impurezas, potencia, cantidad de proteína) y a los ensayos farmacopeicos generales aplicables a inyectables: esterilidad, endotoxinas bacterianas, partículas visibles y subvisibles, pH, osmolalidad y volumen extraíble.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Atributos de calidad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Solución de transparente a opalescente, de incolora a ligeramente amarilla, sin partículas visibles.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pH aproximado de 6,0 y osmolalidad aproximada de 400 mOsm/kg (producto de referencia).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Vial de dosis única, sin conservantes.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Condiciones de transporte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Cadena de frío entre 2 °C y 8 °C en todo el trayecto hasta la entrega. No congelar.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Protegido de la luz y de golpes; evitar la agitación del producto.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Embalaje de transporte calificado para mantener el intervalo de temperatura, con registrador continuo de temperatura (data logger) o indicador equivalente.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Condiciones de almacenamiento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Conservar en refrigeración entre 2 °C y 8 °C. No congelar. No agitar. Conservar el vial en su empaque secundario para protegerlo de la luz.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Vida útil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La aprobada en el registro sanitario (referencia: 36 meses para el vial sin abrir).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Vida útil remanente mínima al momento de la entrega: [por completar] (según la política institucional vigente).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3. REQUISITOS DE EMPAQUE PRIMARIO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Presentación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Vial (frasco ampolla) de vidrio tipo I, con tapón de elastómero y precinto de aluminio con tapa de apertura fácil (flip-off).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mL de concentrado, equivalentes a 500 mg de durvalumab (50 mg/mL). Un vial de dosis única.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Aditamentos de dosificación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 aplica.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Rotulación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Conforme al RTCA 11.01.02:04 «Productos farmacéuticos. Etiquetado de productos farmacéuticos para uso humano» y sus reformas vigentes.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Como mínimo: nombre del producto, denominación común internacional (durvalumab), concentración (50 mg/mL) y contenido total (500 mg/10 mL), vía de administración (intravenosa), número de lote, fecha de vencimiento y nombre del fabricante o titular.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Etiqueta legible e indeleble, que resista la refrigeración y la condensación sin desprenderse.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4. REQUISITOS DE EMPAQUE SECUNDARIO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Presentación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Caja de cartón individual que proteja el vial de la luz.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Cantidad de unidades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 (1) vial de 10 mL (500 mg) por caja.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Sistema de fijación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Inserto, separador o bandeja que inmovilice el vial y lo proteja de quebraduras y derrames.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Rotulación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Conforme al RTCA 11.01.02:04 y sus reformas vigentes, incluidas las leyendas especiales del Anexo 1 que correspondan según la composición del producto ofertado.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Como mínimo: nombre del producto, denominación común internacional, concentración y contenido total, forma farmacéutica, vía de administración, composición cuali-cuantitativa del principio activo por mL, número de lote, fecha de vencimiento, número de registro sanitario, nombre y país del fabricante.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Condiciones de almacenamiento: «Conservar en refrigeración entre 2 °C y 8 °C. No congelar. No agitar. Proteger de la luz».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Leyendas de venta bajo prescripción médica y de uso exclusivo institucional, según la disposición vigente de la institución.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5. REQUISITOS TÉCNICOS DOCUMENTALES A PRESENTAR EN LA OFERTA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Documentos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Registro sanitario vigente emitido por el Ministerio de Salud de Costa Rica para la presentación ofertada (50 mg/mL, vial de 10 mL).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Certificado de Buenas Prácticas de Manufactura vigente del fabricante del producto terminado.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Monografía o inserto aprobado en español.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Especificaciones del producto terminado y certificado de análisis de un lote comercial.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Declaración de la vida útil aprobada y de las condiciones de almacenamiento.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Artes o muestras de los empaques primario y secundario.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Descripción del sistema de distribución en cadena de frío (embalaje calificado y monitoreo de temperatura).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6. REQUISITOS TÉCNICOS POR PRESENTAR EN CADA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Documentos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• Certificado de análisis de cada lote entregado, emitido por el fabricante.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Registro de temperatura del transporte, desde la salida del almacén del proveedor hasta la recepción, que demuestre el cumplimiento del intervalo de 2 °C a 8 °C.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El producto entregado debe corresponder al registro sanitario y a la presentación adjudicados, y cumplir la vida útil remanente indicada en el apartado 2.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7. CONTROL DE CAMBIOS GENERAL DE LA FICHA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Versión 01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Emisión inicial. Sesión: [por completar]. Fecha: [por completar].</w:t>
            </w:r>
          </w:p>
        </w:tc>
      </w:tr>
    </w:tbl>
    <w:p>
      <w:pPr>
        <w:spacing w:before="200" w:after="80"/>
      </w:pPr>
      <w:r>
        <w:rPr>
          <w:b/>
          <w:color w:val="1F3A68"/>
          <w:sz w:val="22"/>
        </w:rPr>
        <w:t>FUENTES DE REFERENCIA (consultadas el 1 de octubre de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Ficha técnica UE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IMFINZI 50 mg/ml concentrado para solución para perfusión, AEMPS/CIMA n.º 1181322001 (EU/1/18/1322/001, vial de 500 mg), secciones 2, 3, 6.1, 6.3, 6.4, 6.5 y 6.6. https://cima.aemps.es/cima/dochtml/ft/1181322001/FT_1181322001.html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Ficha técnica FDA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IMFINZI (durvalumab) injection, sección 16 «How Supplied/Storage and Handling», revisión del 31-08-2026 (openFDA/DailyMed).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Código ATC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WHO Collaborating Centre for Drug Statistics Methodology, índice ATC/DDD: L01FF03 (DDD 53,6 mg, parenteral). https://atcddd.fhi.no/atc_ddd_index/?code=L01FF03</w:t>
            </w:r>
          </w:p>
        </w:tc>
      </w:tr>
      <w:tr>
        <w:tc>
          <w:tcPr>
            <w:tcW w:type="dxa" w:w="2608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Rotulación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RTCA 11.01.02:04 Productos farmacéuticos. Etiquetado de productos farmacéuticos para uso humano, y sus reformas.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1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Durvalumab 50 mg/mL, concentrado para solución para perfusión, vial de 10 mL (500 mg) · Versión 01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shd w:val="clear" w:color="auto" w:fill="D9E2F3"/>
        </w:tcPr>
        <w:p>
          <w:pPr>
            <w:spacing w:after="40"/>
          </w:pPr>
          <w:r/>
          <w:r>
            <w:rPr>
              <w:b w:val="0"/>
              <w:sz w:val="16"/>
            </w:rPr>
            <w:t>FICHA TÉCNICA DE MEDICAMENTO</w:t>
          </w:r>
        </w:p>
      </w:tc>
      <w:tc>
        <w:tcPr>
          <w:tcW w:type="dxa" w:w="4819"/>
          <w:shd w:val="clear" w:color="auto" w:fill="D9E2F3"/>
        </w:tcPr>
        <w:p>
          <w:pPr>
            <w:spacing w:after="40"/>
          </w:pPr>
          <w:r/>
          <w:r>
            <w:rPr>
              <w:b w:val="0"/>
              <w:sz w:val="16"/>
            </w:rPr>
            <w:t>Código institucional: [por completar]</w:t>
          </w:r>
        </w:p>
      </w:tc>
    </w:tr>
    <w:tr>
      <w:tc>
        <w:tcPr>
          <w:tcW w:type="dxa" w:w="4819"/>
        </w:tcPr>
        <w:p>
          <w:pPr>
            <w:spacing w:after="40"/>
          </w:pPr>
          <w:r/>
          <w:r>
            <w:rPr>
              <w:b w:val="0"/>
              <w:sz w:val="16"/>
            </w:rPr>
            <w:t>Durvalumab 50 mg/mL, concentrado para solución para perfusión, vial de 10 mL (500 mg)</w:t>
          </w:r>
        </w:p>
      </w:tc>
      <w:tc>
        <w:tcPr>
          <w:tcW w:type="dxa" w:w="4819"/>
        </w:tcPr>
        <w:p>
          <w:pPr>
            <w:spacing w:after="40"/>
          </w:pPr>
          <w:r/>
          <w:r>
            <w:rPr>
              <w:b w:val="0"/>
              <w:sz w:val="16"/>
            </w:rPr>
            <w:t>Versión: 01   ·   Sustituye a: no aplica (emisión inicial)</w:t>
          </w:r>
        </w:p>
      </w:tc>
    </w:tr>
    <w:tr>
      <w:tc>
        <w:tcPr>
          <w:tcW w:type="dxa" w:w="4819"/>
        </w:tcPr>
        <w:p>
          <w:pPr>
            <w:spacing w:after="40"/>
          </w:pPr>
          <w:r/>
          <w:r>
            <w:rPr>
              <w:b w:val="0"/>
              <w:sz w:val="16"/>
            </w:rPr>
            <w:t>Aprobada en sesión: [por completar]   ·   Fecha: [por completar]</w:t>
          </w:r>
        </w:p>
      </w:tc>
      <w:tc>
        <w:tcPr>
          <w:tcW w:type="dxa" w:w="4819"/>
        </w:tcPr>
        <w:p>
          <w:pPr>
            <w:spacing w:after="40"/>
          </w:pPr>
          <w:r/>
          <w:r>
            <w:rPr>
              <w:b w:val="0"/>
              <w:sz w:val="16"/>
            </w:rPr>
            <w:t>Referencia: [por completar]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