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The primary synthetic cohort will represent prostate radiotherapy. Each case will be defined on a cubic voxel grid and will contain a pelvic body mask, a PTV-like prostate target, a bladder, a rectal wall, and separate left and right femoral-head shapes. The two femoral heads will share one named priority group so that the action vocabulary remains matched to the three-OAR generic development environment. The parameterized generator will vary body dimensions, prostate and target dimensions, bladder filling, rectal dimensions, femoral-head position, target–OAR separation, and partial overlap. Hard cases will include a superior seminal-vesicle-like target extension and restricted usable beam angles. Invalid geometries, including structures outside the body and targets below a minimum volume, will be rejected before trajectory generation.</w:t>
      </w:r>
    </w:p>
    <w:p>
      <w:pPr/>
      <w:r>
        <w:t>The prostate development and primary synthetic grid will contain 64 × 64 × 64 voxels. The policy image encoder will receive 32 × 32 × 32 resampled channels. The primary beam set will contain 12 coplanar candidate gantry angles with a 12 × 12 fluence map per beam. A resolution analysis will use 96 × 96 × 96 voxels and 16 × 16 fluence maps. Noncoplanar actions will not be included in the primary experiment. They may be evaluated subsequently as a distinct distribution shift.</w:t>
      </w:r>
    </w:p>
    <w:p>
      <w:pPr/>
      <w:r>
        <w:t>An external-anatomy feasibility test will use planning CT and RTSTRUCT data from the Prostate Anatomical Edge Cases collection in The Cancer Imaging Archive.9 The prostate contour will receive an isotropic 5-mm expansion to form a PTV-like target. The bladder, rectum, and bilateral femoral-head contours will be mapped to the same three OAR priority groups used in the synthetic prostate cohort. A CT threshold will define the body mask. The contour field of view will be padded in physical coordinates and resampled to 64 × 64 × 64 voxels. This test will use 24 × 24 fluence maps. CT Hounsfield units will not modify dose deposition in this contour-only phase.</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L_OAR,k is mean squared excess dose above the limit for OAR k, ||x||_1 penalizes total fluence, and L_smooth penalizes differences between neighboring fluence pixels. The lower-tail term aligns numerical optimization with the D95 acceptance metric while retaining a differentiable voxelwise objective. All terms will be normalized so that their scales remain comparable across cases. The objective and every component will be recomputed from saved records as a validation check.</w:t>
      </w:r>
    </w:p>
    <w:p>
      <w:pPr/>
      <w:r>
        <w:t>The provisional acceptance criteria are PTV D95 at least 0.85 times prescription, PTV D02 at most 1.25 times prescription, and mean dose to every OAR no greater than its stored synthetic limit. These thresholds are engineering values rather than clinical constraints. They will be calibrated using cases excluded from learner comparison and frozen with environment version 1.0. The final criteria and their calibration distributions will be reported before learner training.</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add one candidate beam angle;</w:t>
      </w:r>
    </w:p>
    <w:p>
      <w:pPr>
        <w:ind w:firstLine="0" w:left="360"/>
      </w:pPr>
      <w:r>
        <w:t>2. remove one active beam angle;</w:t>
      </w:r>
    </w:p>
    <w:p>
      <w:pPr>
        <w:ind w:firstLine="0" w:left="360"/>
      </w:pPr>
      <w:r>
        <w:t>3. increase or decrease target-coverage priority;</w:t>
      </w:r>
    </w:p>
    <w:p>
      <w:pPr>
        <w:ind w:firstLine="0" w:left="360"/>
      </w:pPr>
      <w:r>
        <w:t>4. increase or decrease target hot-spot priority;</w:t>
      </w:r>
    </w:p>
    <w:p>
      <w:pPr>
        <w:ind w:firstLine="0" w:left="360"/>
      </w:pPr>
      <w:r>
        <w:t>5. increase or decrease the priority of one named OAR; or</w:t>
      </w:r>
    </w:p>
    <w:p>
      <w:pPr>
        <w:ind w:firstLine="0" w:left="360"/>
      </w:pPr>
      <w:r>
        <w:t>6. stop and accept the current plan, permitted only when all acceptance criteria are satisfied.</w:t>
      </w:r>
    </w:p>
    <w:p>
      <w:pPr/>
      <w:r>
        <w:t>Each priority action applies a discrete multiplicative increment selected before dataset generation. Each beam action modifies one binary angle indicator.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keepNext/>
        <w:ind w:firstLine="0"/>
        <w:jc w:val="center"/>
      </w:pPr>
      <w:r>
        <w:drawing>
          <wp:inline xmlns:a="http://schemas.openxmlformats.org/drawingml/2006/main" xmlns:pic="http://schemas.openxmlformats.org/drawingml/2006/picture">
            <wp:extent cx="5715000" cy="5715000"/>
            <wp:docPr id="3" name="Picture 3"/>
            <wp:cNvGraphicFramePr>
              <a:graphicFrameLocks noChangeAspect="1"/>
            </wp:cNvGraphicFramePr>
            <a:graphic>
              <a:graphicData uri="http://schemas.openxmlformats.org/drawingml/2006/picture">
                <pic:pic>
                  <pic:nvPicPr>
                    <pic:cNvPr id="0" name="prostate_phantom_preview.png"/>
                    <pic:cNvPicPr/>
                  </pic:nvPicPr>
                  <pic:blipFill>
                    <a:blip r:embed="rId15"/>
                    <a:stretch>
                      <a:fillRect/>
                    </a:stretch>
                  </pic:blipFill>
                  <pic:spPr>
                    <a:xfrm>
                      <a:off x="0" y="0"/>
                      <a:ext cx="5715000" cy="5715000"/>
                    </a:xfrm>
                    <a:prstGeom prst="rect"/>
                  </pic:spPr>
                </pic:pic>
              </a:graphicData>
            </a:graphic>
          </wp:inline>
        </w:drawing>
      </w:r>
    </w:p>
    <w:p>
      <w:pPr>
        <w:pStyle w:val="CaptionScientific"/>
      </w:pPr>
      <w:r>
        <w:rPr>
          <w:b/>
        </w:rPr>
        <w:t>Figure 3.</w:t>
      </w:r>
      <w:r>
        <w:t xml:space="preserve"> Parametric prostate planning phantom in axial, coronal, and sagittal planes. The prostate PTV, bladder, rectal wall, and bilateral femoral heads are shown for easy, moderate, and hard settings. This figure documents the synthetic anatomy method and is not a learner result.</w:t>
      </w:r>
    </w:p>
    <w:p>
      <w:pPr>
        <w:keepNext/>
        <w:ind w:firstLine="0"/>
        <w:jc w:val="center"/>
      </w:pPr>
      <w:r>
        <w:drawing>
          <wp:inline xmlns:a="http://schemas.openxmlformats.org/drawingml/2006/main" xmlns:pic="http://schemas.openxmlformats.org/drawingml/2006/picture">
            <wp:extent cx="5715000" cy="2078182"/>
            <wp:docPr id="4" name="Picture 4"/>
            <wp:cNvGraphicFramePr>
              <a:graphicFrameLocks noChangeAspect="1"/>
            </wp:cNvGraphicFramePr>
            <a:graphic>
              <a:graphicData uri="http://schemas.openxmlformats.org/drawingml/2006/picture">
                <pic:pic>
                  <pic:nvPicPr>
                    <pic:cNvPr id="0" name="tcia_prostate_preview.png"/>
                    <pic:cNvPicPr/>
                  </pic:nvPicPr>
                  <pic:blipFill>
                    <a:blip r:embed="rId16"/>
                    <a:stretch>
                      <a:fillRect/>
                    </a:stretch>
                  </pic:blipFill>
                  <pic:spPr>
                    <a:xfrm>
                      <a:off x="0" y="0"/>
                      <a:ext cx="5715000" cy="2078182"/>
                    </a:xfrm>
                    <a:prstGeom prst="rect"/>
                  </pic:spPr>
                </pic:pic>
              </a:graphicData>
            </a:graphic>
          </wp:inline>
        </w:drawing>
      </w:r>
    </w:p>
    <w:p>
      <w:pPr>
        <w:pStyle w:val="CaptionScientific"/>
      </w:pPr>
      <w:r>
        <w:rPr>
          <w:b/>
        </w:rPr>
        <w:t>Figure 4.</w:t>
      </w:r>
      <w:r>
        <w:t xml:space="preserve"> One imported TCIA prostate case after physical padding and resampling to the planning grid. The PTV-like target was formed by applying a 5-mm margin to the prostate contour. This figure documents the external-anatomy import method and is not a learner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action policy will be optimized from rewards computed only after terminal simulator rollout; the reward will combine plan acceptability, capped terminal constraint violation, and a small action-count penalty. Its auxiliary terminal loss will predict final high-level planning settings. No intermediate demonstration state or action will be available to this condition.</w:t>
      </w:r>
    </w:p>
    <w:p>
      <w:pPr/>
      <w:r>
        <w:t>The trajectory-supervised policy will use the identical network, terminal rollout reward, auxiliary terminal loss, legal-action mask, and rollout limit. It will additionally receive categorical action loss at each demonstration state and, if retained after the model pilot, a next-state dose-change loss. The relative trajectory-loss coefficient was selected using the validation partition and fixed at 0.20 before test evaluation. During rollout, the stop action will be masked until the current plan satisfies the same visible acceptance criteria used to label demonstrations. Both policies will use equal numbers of auxiliary pretraining and terminal-rollout updates.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A delivery-complexity analysis will compare the primary 12-angle static representation with 180-degree and 360-degree arc-like angular sampling. These arc-like conditions will assign an independent fluence map to each control point and therefore will not be described as delivery-realistic VMAT; they omit MLC-aperture continuity, cumulative monitor units, dose-rate modulation, and gantry-speed constraints.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from 64 × 64 × 64 through 256 × 256 × 256 resolution and passes the available automated tests with a CUDA backend. A deterministic 32-case development run verified the matched iterative-policy implementation and exact repeatability of its serialized case metrics. A subsequent 300-case validation-stage pilot used a compact multilayer perceptron with scalar metrics and centroid-based geometry features. A one-seed development run then tested a matched 93,476-parameter three-dimensional image-plus-scalar policy on 24 training and 60 validation cases. The endpoint-only and trajectory-supervised acceptable-plan rates were 0.467 and 0.583, respectively; this validation-stage result was used only to verify the image path and does not enter the planned hypothesis test. The prostate generator produced 300 valid seeded anatomies. At 64 × 64 × 64 resolution with 12 × 12 fluence maps, an independent reference optimizer reached the provisional constraints in four of four sampled hard cases. One TCIA subject was imported with all five required clinical contours. The reference optimizer did not meet the synthetic rules with 12 × 12 fluence maps but met all rules with 24 × 24 and 32 × 32 fluence maps. Development and validation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spacing w:line="240" w:lineRule="auto" w:after="80"/>
        <w:ind w:hanging="360" w:left="360"/>
      </w:pPr>
      <w:r>
        <w:t>9. Prostate Anatomical Edge Cases. The Cancer Imaging Archive. Published 2023. doi:10.7937/QSTF-ST65.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