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The primary synthetic cohort will represent prostate radiotherapy. Each case will be defined on a cubic voxel grid and will contain a pelvic body mask, a PTV-like prostate target, a bladder, a rectal wall, and separate left and right femoral-head shapes. The two femoral heads will share one named priority group so that the action vocabulary remains matched to the three-OAR generic development environment. The parameterized generator will vary body dimensions, prostate and target dimensions, bladder filling, rectal dimensions, femoral-head position, target–OAR separation, and partial overlap. Hard cases will include a superior seminal-vesicle-like target extension and restricted usable beam angles. Invalid geometries, including structures outside the body and targets below a minimum volume, will be rejected before trajectory generation.</w:t>
      </w:r>
    </w:p>
    <w:p>
      <w:pPr/>
      <w:r>
        <w:t>The prostate development and primary synthetic grid will contain 64 × 64 × 64 voxels. The policy image encoder will receive 32 × 32 × 32 resampled channels. Each field will use a 12 × 12 fluence map. Each manual-planning episode will start from a standard seven-field coplanar arrangement. Manual beam-angle refinement will change one field by 10 degrees while holding field count constant. The action can produce unequal angular separation in response to beam-eye-view PTV-OAR overlap. A 5-degree increment will be evaluated as a resolution sensitivity analysis. A resolution analysis will use 96 × 96 × 96 voxels and 16 × 16 fluence maps. Noncoplanar actions will not be included in the primary experiment. They may be evaluated subsequently as a distinct distribution shift.</w:t>
      </w:r>
    </w:p>
    <w:p>
      <w:pPr/>
      <w:r>
        <w:t>An external-anatomy feasibility test will use planning CT and RTSTRUCT data from the Prostate Anatomical Edge Cases collection in The Cancer Imaging Archive.9 The prostate contour will receive an isotropic 5-mm expansion to form a PTV-like target. The bladder, rectum, and bilateral femoral-head contours will be mapped to the same three OAR priority groups used in the synthetic prostate cohort. A CT threshold will define the body mask. The contour field of view will be padded in physical coordinates and resampled to 64 × 64 × 64 voxels. This test will use 24 × 24 fluence maps. CT Hounsfield units will not modify dose deposition in this contour-only phase.</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and L_OAR,k is mean squared excess dose above the limit for OAR k. The prostate objective will also include a squared normal-tissue excess-dose term above 0.50 relative dose and a normal-tissue integral-dose term. Their base development weights will be 50 and 2. A planner-controlled normal-tissue priority will multiply both terms. A small fluence-magnitude penalty will control numerical scale. The lower-tail term aligns numerical optimization with the D95 acceptance metric while retaining a differentiable voxelwise objective. The objective and every component will be recomputed from saved records as a validation check.</w:t>
      </w:r>
    </w:p>
    <w:p>
      <w:pPr/>
      <w:r>
        <w:t>The prostate experiment will use a prescription of 60 Gy in 20 fractions, or 3 Gy per fraction. A protocol-inspired DVH objective will represent the NRG prostate template goals for regimens delivered at 3.0-3.1 Gy per fraction. Target terms will include D98 at least 60 Gy and D99 at least 57 Gy. Rectal objectives will include V60 Gy at most 3%, V56 Gy at most 15%, V52 Gy at most 30%, V48 Gy at most 35%, and V40 Gy at most 50%. Bladder objectives will include V60 Gy at most 5%, V48 Gy at most 25%, and V40 Gy at most 50%. The femoral-head objective will include V40 Gy at most 5%. The current phantom stores the left and right femoral heads as one priority group; the aggregate V40 Gy value is therefore an engineering approximation pending separation of the two structures. The D0.03-cc target maximum cannot be represented faithfully on the current dimensionless grid. D02 will remain a visible engineering hot-spot diagnostic but will not be labeled or scored as the NRG D0.03-cc constraint.10</w:t>
      </w:r>
    </w:p>
    <w:p>
      <w:pPr/>
      <w:r>
        <w:t>The primary standard-goal acceptance criteria will require the selected protocol-inspired DVH tier, Paddick CI95 at least 0.40, R50 at most 15, and at least seven active fields. The initial calibration will use the NRG variation-acceptable DVH tier because the environment is a dose surrogate. A separate coverage-compromise cohort may be defined only after an independent standard-goal reference attempt fails and all noncoverage criteria pass. Goal tier will be fixed before policy rollout. Standard and compromise cases will be analyzed separately. These thresholds remain research-environment criteria and do not establish clinical acceptability.</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shift one active beam angle by the frozen angular increment while preserving field count;</w:t>
      </w:r>
    </w:p>
    <w:p>
      <w:pPr>
        <w:ind w:firstLine="0" w:left="360"/>
      </w:pPr>
      <w:r>
        <w:t>2. increase or decrease target-coverage priority;</w:t>
      </w:r>
    </w:p>
    <w:p>
      <w:pPr>
        <w:ind w:firstLine="0" w:left="360"/>
      </w:pPr>
      <w:r>
        <w:t>3. increase or decrease target hot-spot priority;</w:t>
      </w:r>
    </w:p>
    <w:p>
      <w:pPr>
        <w:ind w:firstLine="0" w:left="360"/>
      </w:pPr>
      <w:r>
        <w:t>4. increase or decrease the priority of one named OAR;</w:t>
      </w:r>
    </w:p>
    <w:p>
      <w:pPr>
        <w:ind w:firstLine="0" w:left="360"/>
      </w:pPr>
      <w:r>
        <w:t>5. increase or decrease normal-tissue priority; or</w:t>
      </w:r>
    </w:p>
    <w:p>
      <w:pPr>
        <w:ind w:firstLine="0" w:left="360"/>
      </w:pPr>
      <w:r>
        <w:t>6. stop and accept the current plan, permitted only when all acceptance criteria for the stored goal tier are satisfied.</w:t>
      </w:r>
    </w:p>
    <w:p>
      <w:pPr/>
      <w:r>
        <w:t>Each priority action applies a discrete multiplicative increment selected before dataset generation. Each beam action changes one recorded gantry angle by the frozen increment.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descr="Figure 1. Nested planning process"/>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descr="Figure 2. Synthetic three-dimensional anatomy"/>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keepNext/>
        <w:ind w:firstLine="0"/>
        <w:jc w:val="center"/>
      </w:pPr>
      <w:r>
        <w:drawing>
          <wp:inline xmlns:a="http://schemas.openxmlformats.org/drawingml/2006/main" xmlns:pic="http://schemas.openxmlformats.org/drawingml/2006/picture">
            <wp:extent cx="5715000" cy="5715000"/>
            <wp:docPr id="3" name="Picture 3" descr="Figure 3. Parametric prostate anatomy"/>
            <wp:cNvGraphicFramePr>
              <a:graphicFrameLocks noChangeAspect="1"/>
            </wp:cNvGraphicFramePr>
            <a:graphic>
              <a:graphicData uri="http://schemas.openxmlformats.org/drawingml/2006/picture">
                <pic:pic>
                  <pic:nvPicPr>
                    <pic:cNvPr id="0" name="prostate_phantom_preview.png"/>
                    <pic:cNvPicPr/>
                  </pic:nvPicPr>
                  <pic:blipFill>
                    <a:blip r:embed="rId15"/>
                    <a:stretch>
                      <a:fillRect/>
                    </a:stretch>
                  </pic:blipFill>
                  <pic:spPr>
                    <a:xfrm>
                      <a:off x="0" y="0"/>
                      <a:ext cx="5715000" cy="5715000"/>
                    </a:xfrm>
                    <a:prstGeom prst="rect"/>
                  </pic:spPr>
                </pic:pic>
              </a:graphicData>
            </a:graphic>
          </wp:inline>
        </w:drawing>
      </w:r>
    </w:p>
    <w:p>
      <w:pPr>
        <w:pStyle w:val="CaptionScientific"/>
      </w:pPr>
      <w:r>
        <w:rPr>
          <w:b/>
        </w:rPr>
        <w:t>Figure 3.</w:t>
      </w:r>
      <w:r>
        <w:t xml:space="preserve"> Parametric prostate planning phantom in axial, coronal, and sagittal planes. The prostate PTV, bladder, rectal wall, and bilateral femoral heads are shown for easy, moderate, and hard settings. This figure documents the synthetic anatomy method and is not a learner result.</w:t>
      </w:r>
    </w:p>
    <w:p>
      <w:pPr>
        <w:keepNext/>
        <w:ind w:firstLine="0"/>
        <w:jc w:val="center"/>
      </w:pPr>
      <w:r>
        <w:drawing>
          <wp:inline xmlns:a="http://schemas.openxmlformats.org/drawingml/2006/main" xmlns:pic="http://schemas.openxmlformats.org/drawingml/2006/picture">
            <wp:extent cx="5715000" cy="2078182"/>
            <wp:docPr id="4" name="Picture 4" descr="Figure 4. Imported TCIA prostate anatomy"/>
            <wp:cNvGraphicFramePr>
              <a:graphicFrameLocks noChangeAspect="1"/>
            </wp:cNvGraphicFramePr>
            <a:graphic>
              <a:graphicData uri="http://schemas.openxmlformats.org/drawingml/2006/picture">
                <pic:pic>
                  <pic:nvPicPr>
                    <pic:cNvPr id="0" name="tcia_prostate_preview.png"/>
                    <pic:cNvPicPr/>
                  </pic:nvPicPr>
                  <pic:blipFill>
                    <a:blip r:embed="rId16"/>
                    <a:stretch>
                      <a:fillRect/>
                    </a:stretch>
                  </pic:blipFill>
                  <pic:spPr>
                    <a:xfrm>
                      <a:off x="0" y="0"/>
                      <a:ext cx="5715000" cy="2078182"/>
                    </a:xfrm>
                    <a:prstGeom prst="rect"/>
                  </pic:spPr>
                </pic:pic>
              </a:graphicData>
            </a:graphic>
          </wp:inline>
        </w:drawing>
      </w:r>
    </w:p>
    <w:p>
      <w:pPr>
        <w:pStyle w:val="CaptionScientific"/>
      </w:pPr>
      <w:r>
        <w:rPr>
          <w:b/>
        </w:rPr>
        <w:t>Figure 4.</w:t>
      </w:r>
      <w:r>
        <w:t xml:space="preserve"> One imported TCIA prostate case after physical padding and resampling to the planning grid. The PTV-like target was formed by applying a 5-mm margin to the prostate contour. This figure documents the external-anatomy import method and is not a learner result.</w:t>
      </w:r>
    </w:p>
    <w:p>
      <w:pPr>
        <w:keepNext/>
        <w:ind w:firstLine="0"/>
        <w:jc w:val="center"/>
      </w:pPr>
      <w:r>
        <w:drawing>
          <wp:inline xmlns:a="http://schemas.openxmlformats.org/drawingml/2006/main" xmlns:pic="http://schemas.openxmlformats.org/drawingml/2006/picture">
            <wp:extent cx="5715000" cy="1826486"/>
            <wp:docPr id="5" name="Picture 5" descr="Figure 5. Anatomy-guided beam-angle refinement"/>
            <wp:cNvGraphicFramePr>
              <a:graphicFrameLocks noChangeAspect="1"/>
            </wp:cNvGraphicFramePr>
            <a:graphic>
              <a:graphicData uri="http://schemas.openxmlformats.org/drawingml/2006/picture">
                <pic:pic>
                  <pic:nvPicPr>
                    <pic:cNvPr id="0" name="02_representative_plan.png"/>
                    <pic:cNvPicPr/>
                  </pic:nvPicPr>
                  <pic:blipFill>
                    <a:blip r:embed="rId17"/>
                    <a:stretch>
                      <a:fillRect/>
                    </a:stretch>
                  </pic:blipFill>
                  <pic:spPr>
                    <a:xfrm>
                      <a:off x="0" y="0"/>
                      <a:ext cx="5715000" cy="1826486"/>
                    </a:xfrm>
                    <a:prstGeom prst="rect"/>
                  </pic:spPr>
                </pic:pic>
              </a:graphicData>
            </a:graphic>
          </wp:inline>
        </w:drawing>
      </w:r>
    </w:p>
    <w:p>
      <w:pPr>
        <w:pStyle w:val="CaptionScientific"/>
      </w:pPr>
      <w:r>
        <w:rPr>
          <w:b/>
        </w:rPr>
        <w:t>Figure 5.</w:t>
      </w:r>
      <w:r>
        <w:t xml:space="preserve"> Development example of rule-based beam-angle refinement. A seven-field equal-separation plan is compared with the same plan after two 10-degree anatomy-guided field changes. Dashed and solid DVHs show the initial and revised plans. This figure documents the proposed manual geometry action and is not a learner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action policy will be optimized from rewards computed only after terminal simulator rollout; the reward will combine plan acceptability, capped terminal constraint violation, and a small action-count penalty. Its auxiliary terminal loss will predict final high-level planning settings. No intermediate demonstration state or action will be available to this condition.</w:t>
      </w:r>
    </w:p>
    <w:p>
      <w:pPr/>
      <w:r>
        <w:t>The trajectory-supervised policy will use the identical network, terminal rollout reward, auxiliary terminal loss, legal-action mask, and rollout limit. It will additionally receive categorical action loss at each demonstration state and, if retained after the model pilot, a next-state dose-change loss. The relative trajectory-loss coefficient was selected using the validation partition and fixed at 0.20 before test evaluation. During rollout, the stop action will be masked until the current plan satisfies the same visible acceptance criteria used to label demonstrations. Both policies will use equal numbers of auxiliary pretraining and terminal-rollout updates.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from 64 × 64 × 64 through 256 × 256 × 256 resolution and passes the available automated tests with a CUDA backend. A deterministic 32-case development run verified the matched iterative-policy implementation and exact repeatability of its serialized case metrics. A subsequent 300-case validation-stage pilot used a compact multilayer perceptron with scalar metrics and centroid-based geometry features. A one-seed development run then tested a matched 93,476-parameter three-dimensional image-plus-scalar policy on 24 training and 60 validation cases. The endpoint-only and trajectory-supervised acceptable-plan rates were 0.467 and 0.583, respectively; this validation-stage result was used only to verify the image path and does not enter the planned hypothesis test. The prostate generator produced 300 valid seeded anatomies. The retained prostate development dataset contains 240 training and 60 validation cases selected from 322 attempts. Easy, moderate, and hard retention rates were 1.000, 1.000, and 0.794. A five-seed prostate image-policy development run used 24 training and 60 validation cases. Endpoint-only and trajectory-supervised acceptable-plan rates were 0.757 and 0.700. The paired difference was -0.057, with a hierarchical-bootstrap 95% confidence interval from -0.170 to 0.047. Mean violation scores were 0.0574 and 0.0422. Trajectory supervision reduced hard-case violation but reduced moderate-case acceptability. All 25 failed moderate-case trajectory rollouts with recorded action sequences reached the ten-action limit; 20 repeatedly increased the femoral-head and hot-spot priorities. A subsequent one-seed calibration used all 240 training cases. Endpoint-only and trajectory-supervised acceptable-plan rates were 0.767 and 0.833, and mean violation scores were 0.0625 and 0.0243. The trajectory model accepted all 22 moderate cases and 5 of 15 hard cases, compared with 21 and 2 for the endpoint model. The run required 1429.8 s and 7119 MB of peak CUDA memory. Paired review records contain dose images, target and OAR metrics, beam angles, priorities, and all high-level actions. These development findings require replication across training seeds before the primary computation. One TCIA subject was imported with all five required clinical contours. The reference optimizer did not meet the synthetic rules with 12 × 12 fluence maps but met all rules with 24 × 24 and 32 × 32 fluence maps. Development and validation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spacing w:line="240" w:lineRule="auto" w:after="80"/>
        <w:ind w:hanging="360" w:left="360"/>
      </w:pPr>
      <w:r>
        <w:t>9. Prostate Anatomical Edge Cases. The Cancer Imaging Archive. Published 2023. doi:10.7937/QSTF-ST65.</w:t>
      </w:r>
    </w:p>
    <w:p>
      <w:pPr>
        <w:spacing w:line="240" w:lineRule="auto" w:after="80"/>
        <w:ind w:hanging="360" w:left="360"/>
      </w:pPr>
      <w:r>
        <w:t>10. NRG Oncology. Radiation Therapy Section: Protocol Prostate Treatment Template. Version 2.4. Updated 2025. Accessed August 10, 2026. https://www.nrgoncology.org/wp-content/uploads/2025/09/RT-section-Protocol-Prostate-Treatment-Template-update-v.2.4.2025-FINAL_updated.pdf.</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