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was selected using the validation partition and fixed at 0.20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A deterministic 32-case development run verified the matched iterative-policy implementation and exact repeatability of its serialized case metrics. A subsequent 300-case validation-stage pilot used a compact multilayer perceptron with scalar metrics and centroid-based geometry features. The planned primary model retains the three-dimensional convolutional encoder specified above. Development and validation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