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Each case will be defined on a cubic voxel grid and will contain a body mask, one planning target volume (PTV), and one to three OARs. Structures will be generated from parameterized three-dimensional ellipsoids with bounded perturbations in center, orientation, and principal-axis length. The generator will control target–OAR separation, partial overlap, number of OARs, and usable beam-angle restrictions. Invalid geometries, including structures outside the body and targets below a minimum volume, will be rejected before trajectory generation.</w:t>
      </w:r>
    </w:p>
    <w:p>
      <w:pPr/>
      <w:r>
        <w:t>The development grid will contain 64 × 64 × 64 voxels. The primary environment will contain 96 × 96 × 96 voxels. A prespecified resolution analysis will use 128 × 128 × 128 voxels. The primary beam set will contain 12 coplanar candidate gantry angles with a 16 × 16 fluence map per beam. Noncoplanar actions will not be included in the primary experiment. They may be evaluated subsequently as a distinct distribution shift.</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L_OAR,k is mean squared excess dose above the limit for OAR k, ||x||_1 penalizes total fluence, and L_smooth penalizes differences between neighboring fluence pixels. The lower-tail term aligns numerical optimization with the D95 acceptance metric while retaining a differentiable voxelwise objective.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 permitted only when all acceptance criteria are satisfied.</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loss will contain terminal dose distance, terminal objective, and constraint-violation terms. No intermediate demonstration state or action will be available to this condition.</w:t>
      </w:r>
    </w:p>
    <w:p>
      <w:pPr/>
      <w:r>
        <w:t>The trajectory-supervised policy will use the identical network and terminal losses. Additional terms will include categorical action loss at each demonstration state and, if retained after the model pilot, a next-state dose-change loss. The relative trajectory-loss coefficient will be selected using the validation partition and frozen before test evaluation. During rollout, the stop action will be masked until the current plan satisfies the same visible acceptance criteria used to label demonstrations. Both policies will use the same optimizer-update budget.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at 64³ through 256³ resolution and passes the available automated tests with a CUDA backend. These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