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Universidad del Rosario</w:t>
      </w:r>
    </w:p>
    <w:p w:rsidR="00000000" w:rsidDel="00000000" w:rsidP="00000000" w:rsidRDefault="00000000" w:rsidRPr="00000000" w14:paraId="00000002">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Haciendo Economía - 2026-2</w:t>
      </w:r>
    </w:p>
    <w:p w:rsidR="00000000" w:rsidDel="00000000" w:rsidP="00000000" w:rsidRDefault="00000000" w:rsidRPr="00000000" w14:paraId="00000003">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Profesor: Paul Rodríguez L.</w:t>
      </w:r>
    </w:p>
    <w:p w:rsidR="00000000" w:rsidDel="00000000" w:rsidP="00000000" w:rsidRDefault="00000000" w:rsidRPr="00000000" w14:paraId="00000004">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Estudiantes: Santiago Gómez, Camilo Ospina, David Pascagaza y Emily Rodríguez</w:t>
      </w:r>
    </w:p>
    <w:p w:rsidR="00000000" w:rsidDel="00000000" w:rsidP="00000000" w:rsidRDefault="00000000" w:rsidRPr="00000000" w14:paraId="00000005">
      <w:pPr>
        <w:spacing w:after="0" w:line="36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¿Quién paga la diferencia? Disposición a pagar por café de especialidad en Chapinero, Bogotá</w:t>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 temático: Demanda y comportamiento del consumidor</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Pregunta de investigación y objetivos</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varía la disposición a pagar por una bebida de especialidad y la prima que esta implica frente al tinto tradicional según el nivel socioeconómico, el conocimiento del café y los hábitos de consumo de los clientes de cafeterías de especialidad en Chapinero, Bogotá?</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disposición a pagar (DAP) es declarada, no una compra observada, y su relación con las características de los clientes se lee como asociación, no como efecto causal. </w:t>
      </w:r>
    </w:p>
    <w:p w:rsidR="00000000" w:rsidDel="00000000" w:rsidP="00000000" w:rsidRDefault="00000000" w:rsidRPr="00000000" w14:paraId="0000000C">
      <w:pPr>
        <w:numPr>
          <w:ilvl w:val="0"/>
          <w:numId w:val="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w:t>
      </w:r>
      <w:r w:rsidDel="00000000" w:rsidR="00000000" w:rsidRPr="00000000">
        <w:rPr>
          <w:rFonts w:ascii="Times New Roman" w:cs="Times New Roman" w:eastAsia="Times New Roman" w:hAnsi="Times New Roman"/>
          <w:i w:val="1"/>
          <w:iCs w:val="1"/>
          <w:sz w:val="22"/>
          <w:szCs w:val="22"/>
          <w:rtl w:val="0"/>
        </w:rPr>
        <w:t xml:space="preserve">nivel socioeconómico</w:t>
      </w:r>
      <w:r w:rsidDel="00000000" w:rsidR="00000000" w:rsidRPr="00000000">
        <w:rPr>
          <w:rFonts w:ascii="Times New Roman" w:cs="Times New Roman" w:eastAsia="Times New Roman" w:hAnsi="Times New Roman"/>
          <w:sz w:val="22"/>
          <w:szCs w:val="22"/>
          <w:rtl w:val="0"/>
        </w:rPr>
        <w:t xml:space="preserve"> se mide con estrato, ingreso del hogar por rangos, educación y ocupación</w:t>
      </w:r>
    </w:p>
    <w:p w:rsidR="00000000" w:rsidDel="00000000" w:rsidP="00000000" w:rsidRDefault="00000000" w:rsidRPr="00000000" w14:paraId="0000000D">
      <w:pPr>
        <w:numPr>
          <w:ilvl w:val="0"/>
          <w:numId w:val="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w:t>
      </w:r>
      <w:r w:rsidDel="00000000" w:rsidR="00000000" w:rsidRPr="00000000">
        <w:rPr>
          <w:rFonts w:ascii="Times New Roman" w:cs="Times New Roman" w:eastAsia="Times New Roman" w:hAnsi="Times New Roman"/>
          <w:i w:val="1"/>
          <w:iCs w:val="1"/>
          <w:sz w:val="22"/>
          <w:szCs w:val="22"/>
          <w:rtl w:val="0"/>
        </w:rPr>
        <w:t xml:space="preserve">conocimiento del café</w:t>
      </w:r>
      <w:r w:rsidDel="00000000" w:rsidR="00000000" w:rsidRPr="00000000">
        <w:rPr>
          <w:rFonts w:ascii="Times New Roman" w:cs="Times New Roman" w:eastAsia="Times New Roman" w:hAnsi="Times New Roman"/>
          <w:sz w:val="22"/>
          <w:szCs w:val="22"/>
          <w:rtl w:val="0"/>
        </w:rPr>
        <w:t xml:space="preserve"> se mide con un puntaje de 0 a 4 en preguntas básicas y una autoevaluación de 1 a 5</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w:t>
      </w:r>
      <w:r w:rsidDel="00000000" w:rsidR="00000000" w:rsidRPr="00000000">
        <w:rPr>
          <w:rFonts w:ascii="Times New Roman" w:cs="Times New Roman" w:eastAsia="Times New Roman" w:hAnsi="Times New Roman"/>
          <w:i w:val="1"/>
          <w:iCs w:val="1"/>
          <w:sz w:val="22"/>
          <w:szCs w:val="22"/>
          <w:rtl w:val="0"/>
        </w:rPr>
        <w:t xml:space="preserve">hábitos</w:t>
      </w:r>
      <w:r w:rsidDel="00000000" w:rsidR="00000000" w:rsidRPr="00000000">
        <w:rPr>
          <w:rFonts w:ascii="Times New Roman" w:cs="Times New Roman" w:eastAsia="Times New Roman" w:hAnsi="Times New Roman"/>
          <w:sz w:val="22"/>
          <w:szCs w:val="22"/>
          <w:rtl w:val="0"/>
        </w:rPr>
        <w:t xml:space="preserve"> se mide con la frecuencia de visita, el lugar habitual de consumo y el motivo de la visita.</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Objetivo general.</w:t>
      </w:r>
      <w:r w:rsidDel="00000000" w:rsidR="00000000" w:rsidRPr="00000000">
        <w:rPr>
          <w:rFonts w:ascii="Times New Roman" w:cs="Times New Roman" w:eastAsia="Times New Roman" w:hAnsi="Times New Roman"/>
          <w:sz w:val="22"/>
          <w:szCs w:val="22"/>
          <w:rtl w:val="0"/>
        </w:rPr>
        <w:t xml:space="preserve"> Describir la distribución de la DAP declarada por la bebida de referencia, y de la prima que implica frente al tinto, entre los clientes adultos de las cafeterías seleccionadas, y compararlas entre grupos de nivel socioeconómico, conocimiento y hábitos.</w:t>
      </w:r>
    </w:p>
    <w:p w:rsidR="00000000" w:rsidDel="00000000" w:rsidP="00000000" w:rsidRDefault="00000000" w:rsidRPr="00000000" w14:paraId="00000010">
      <w:pPr>
        <w:spacing w:after="0" w:line="15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Diseño del estudio</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 una encuesta presencial, transversal y descriptiva a clientes adultos de un grupo de cafeterías de especialidad de Chapinero, con observación estructurada de cartas y precios. Solo se asignan al azar los precios ofrecidos, para medir la DAP sin que el encuestador elija la oferta. No se asigna nada que permita atribuir efectos causales a las características del cliente.</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Población y unidades.</w:t>
      </w:r>
      <w:r w:rsidDel="00000000" w:rsidR="00000000" w:rsidRPr="00000000">
        <w:rPr>
          <w:rFonts w:ascii="Times New Roman" w:cs="Times New Roman" w:eastAsia="Times New Roman" w:hAnsi="Times New Roman"/>
          <w:sz w:val="22"/>
          <w:szCs w:val="22"/>
          <w:rtl w:val="0"/>
        </w:rPr>
        <w:t xml:space="preserve"> Personas de 18 años o más que compran una bebida en las cafeterías seleccionadas, en las fechas y franjas del campo. La unidad de observación es el cliente en una visita, con una sola encuesta por persona. Como no existe una lista de clientes, se muestrean visitas dentro de cada tienda y franja.</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Inclusión y exclusión.</w:t>
      </w:r>
      <w:r w:rsidDel="00000000" w:rsidR="00000000" w:rsidRPr="00000000">
        <w:rPr>
          <w:rFonts w:ascii="Times New Roman" w:cs="Times New Roman" w:eastAsia="Times New Roman" w:hAnsi="Times New Roman"/>
          <w:sz w:val="22"/>
          <w:szCs w:val="22"/>
          <w:rtl w:val="0"/>
        </w:rPr>
        <w:t xml:space="preserve"> Se incluye a quien tiene 18 años o más, compró (o le compraron) una bebida en la tienda ese día, entiende el guión en español y acepta participar. Se excluye a quien ya respondió, trabaja en la tienda, pertenece al grupo o al curso, está en una mesa donde ya se encuestó a alguien o no puede dar su consentimiento. Cada exclusión se registra con su motivo.</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Cafetería de especialidad.</w:t>
      </w:r>
      <w:r w:rsidDel="00000000" w:rsidR="00000000" w:rsidRPr="00000000">
        <w:rPr>
          <w:rFonts w:ascii="Times New Roman" w:cs="Times New Roman" w:eastAsia="Times New Roman" w:hAnsi="Times New Roman"/>
          <w:sz w:val="22"/>
          <w:szCs w:val="22"/>
          <w:rtl w:val="0"/>
        </w:rPr>
        <w:t xml:space="preserve"> Es elegible la tienda que ofrece al menos un método de filtrado manual, informa el origen del café (región o finca) y prepara en barra con barista. Se registra si es independiente o de cadena.</w:t>
      </w:r>
    </w:p>
    <w:p w:rsidR="00000000" w:rsidDel="00000000" w:rsidP="00000000" w:rsidRDefault="00000000" w:rsidRPr="00000000" w14:paraId="000000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Selección de tiendas.</w:t>
      </w:r>
      <w:r w:rsidDel="00000000" w:rsidR="00000000" w:rsidRPr="00000000">
        <w:rPr>
          <w:rFonts w:ascii="Times New Roman" w:cs="Times New Roman" w:eastAsia="Times New Roman" w:hAnsi="Times New Roman"/>
          <w:sz w:val="22"/>
          <w:szCs w:val="22"/>
          <w:rtl w:val="0"/>
        </w:rPr>
        <w:t xml:space="preserve"> El número de tiendas elegibles son 26. Se eligieron investigando de antemano si estas son de especialidad para no perder tiempo en los días de encuestas, también tratando de abarcar todo el sector elegido ya que queremos indagar a fondo y el solo elegir un sector alto o bajo ciega otros datos. Si una tienda no autoriza, se invita a la siguiente de su zona y se registra la sustitución. La muestra resultante es de conveniencia dentro de un orden aleatorio, no probabilístico.</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Tamaño de muestra.</w:t>
      </w:r>
      <w:r w:rsidDel="00000000" w:rsidR="00000000" w:rsidRPr="00000000">
        <w:rPr>
          <w:rFonts w:ascii="Times New Roman" w:cs="Times New Roman" w:eastAsia="Times New Roman" w:hAnsi="Times New Roman"/>
          <w:sz w:val="22"/>
          <w:szCs w:val="22"/>
          <w:rtl w:val="0"/>
        </w:rPr>
        <w:t xml:space="preserve"> No se calcula desde una población, sino para que cada versión de precios tenga respuestas suficientes. El margen de error máximo de una proporción con </w:t>
      </w:r>
      <w:r w:rsidDel="00000000" w:rsidR="00000000" w:rsidRPr="00000000">
        <w:rPr>
          <w:rFonts w:ascii="Times New Roman" w:cs="Times New Roman" w:eastAsia="Times New Roman" w:hAnsi="Times New Roman"/>
          <w:i w:val="1"/>
          <w:iCs w:val="1"/>
          <w:sz w:val="22"/>
          <w:szCs w:val="22"/>
          <w:rtl w:val="0"/>
        </w:rPr>
        <w:t xml:space="preserve">n</w:t>
      </w:r>
      <w:r w:rsidDel="00000000" w:rsidR="00000000" w:rsidRPr="00000000">
        <w:rPr>
          <w:rFonts w:ascii="Times New Roman" w:cs="Times New Roman" w:eastAsia="Times New Roman" w:hAnsi="Times New Roman"/>
          <w:sz w:val="22"/>
          <w:szCs w:val="22"/>
          <w:rtl w:val="0"/>
        </w:rPr>
        <w:t xml:space="preserve"> respuestas es:</w:t>
      </w:r>
    </w:p>
    <w:p w:rsidR="00000000" w:rsidDel="00000000" w:rsidP="00000000" w:rsidRDefault="00000000" w:rsidRPr="00000000" w14:paraId="00000018">
      <w:pPr>
        <w:spacing w:after="60" w:before="20" w:lineRule="auto"/>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margen</m:t>
            </m:r>
          </m:e>
          <m:sub>
            <m:r>
              <w:rPr>
                <w:rFonts w:ascii="Times New Roman" w:cs="Times New Roman" w:eastAsia="Times New Roman" w:hAnsi="Times New Roman"/>
                <w:sz w:val="22"/>
                <w:szCs w:val="22"/>
              </w:rPr>
              <m:t xml:space="preserve">95 %</m:t>
            </m:r>
          </m:sub>
        </m:sSub>
        <m:r>
          <w:rPr>
            <w:rFonts w:ascii="Times New Roman" w:cs="Times New Roman" w:eastAsia="Times New Roman" w:hAnsi="Times New Roman"/>
            <w:sz w:val="22"/>
            <w:szCs w:val="22"/>
          </w:rPr>
          <m:t xml:space="preserve">=1,96</m:t>
        </m:r>
        <m:rad>
          <m:radPr>
            <m:degHide m:val="1"/>
            <m:ctrlPr>
              <w:rPr>
                <w:rFonts w:ascii="Times New Roman" w:cs="Times New Roman" w:eastAsia="Times New Roman" w:hAnsi="Times New Roman"/>
                <w:sz w:val="22"/>
                <w:szCs w:val="22"/>
              </w:rPr>
            </m:ctrlPr>
          </m:radPr>
          <m:e>
            <m:f>
              <m:fPr>
                <m:ctrlPr>
                  <w:rPr>
                    <w:rFonts w:ascii="Times New Roman" w:cs="Times New Roman" w:eastAsia="Times New Roman" w:hAnsi="Times New Roman"/>
                    <w:sz w:val="22"/>
                    <w:szCs w:val="22"/>
                  </w:rPr>
                </m:ctrlPr>
              </m:fPr>
              <m:num>
                <m:r>
                  <w:rPr>
                    <w:rFonts w:ascii="Times New Roman" w:cs="Times New Roman" w:eastAsia="Times New Roman" w:hAnsi="Times New Roman"/>
                    <w:sz w:val="22"/>
                    <w:szCs w:val="22"/>
                  </w:rPr>
                  <m:t xml:space="preserve">0,25</m:t>
                </m:r>
              </m:num>
              <m:den>
                <m:r>
                  <w:rPr>
                    <w:rFonts w:ascii="Times New Roman" w:cs="Times New Roman" w:eastAsia="Times New Roman" w:hAnsi="Times New Roman"/>
                    <w:sz w:val="22"/>
                    <w:szCs w:val="22"/>
                  </w:rPr>
                  <m:t xml:space="preserve">n</m:t>
                </m:r>
              </m:den>
            </m:f>
          </m:e>
        </m:rad>
      </m:oMath>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estas cifras hay que sumar rechazos, protestas e incompletas, que solo el resultado de la encuesta puede estimar, ningún escenario está garantizado. Las cuotas son iguales por tienda (por ejemplo, 5 tiendas con 25 encuestas), en tres franjas fijas (mañana, mediodía y tarde) y encuestar al menos 10 tiendas por día. La meta de duración es de cinco a seis minutos.</w:t>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Riesgos de sesgo.</w:t>
      </w:r>
      <w:r w:rsidDel="00000000" w:rsidR="00000000" w:rsidRPr="00000000">
        <w:rPr>
          <w:rtl w:val="0"/>
        </w:rPr>
      </w:r>
    </w:p>
    <w:tbl>
      <w:tblPr>
        <w:tblStyle w:val="Table1"/>
        <w:tblW w:w="9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6192"/>
        <w:tblGridChange w:id="0">
          <w:tblGrid>
            <w:gridCol w:w="3212"/>
            <w:gridCol w:w="6192"/>
          </w:tblGrid>
        </w:tblGridChange>
      </w:tblGrid>
      <w:tr>
        <w:trPr>
          <w:cantSplit w:val="1"/>
          <w:tblHeader w:val="1"/>
        </w:trPr>
        <w:tc>
          <w:tcPr>
            <w:shd w:fill="cccccc" w:val="clear"/>
            <w:tcMar>
              <w:top w:w="25.0" w:type="dxa"/>
              <w:left w:w="75.0" w:type="dxa"/>
              <w:bottom w:w="25.0" w:type="dxa"/>
              <w:right w:w="75.0" w:type="dxa"/>
            </w:tcMar>
            <w:vAlign w:val="bottom"/>
          </w:tcPr>
          <w:p w:rsidR="00000000" w:rsidDel="00000000" w:rsidP="00000000" w:rsidRDefault="00000000" w:rsidRPr="00000000" w14:paraId="0000001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Riesgo</w:t>
            </w:r>
            <w:r w:rsidDel="00000000" w:rsidR="00000000" w:rsidRPr="00000000">
              <w:rPr>
                <w:rtl w:val="0"/>
              </w:rPr>
            </w:r>
          </w:p>
        </w:tc>
        <w:tc>
          <w:tcPr>
            <w:shd w:fill="cccccc" w:val="clear"/>
            <w:tcMar>
              <w:top w:w="25.0" w:type="dxa"/>
              <w:left w:w="75.0" w:type="dxa"/>
              <w:bottom w:w="25.0" w:type="dxa"/>
              <w:right w:w="75.0" w:type="dxa"/>
            </w:tcMar>
            <w:vAlign w:val="bottom"/>
          </w:tcPr>
          <w:p w:rsidR="00000000" w:rsidDel="00000000" w:rsidP="00000000" w:rsidRDefault="00000000" w:rsidRPr="00000000" w14:paraId="0000001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Mitigación</w:t>
            </w:r>
            <w:r w:rsidDel="00000000" w:rsidR="00000000" w:rsidRPr="00000000">
              <w:rPr>
                <w:rtl w:val="0"/>
              </w:rPr>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1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Selección, pues solo aceptan tiendas que autorizan, en franjas elegidas</w:t>
            </w:r>
          </w:p>
        </w:tc>
        <w:tc>
          <w:tcPr>
            <w:tcMar>
              <w:top w:w="25.0" w:type="dxa"/>
              <w:left w:w="75.0" w:type="dxa"/>
              <w:bottom w:w="25.0" w:type="dxa"/>
              <w:right w:w="75.0" w:type="dxa"/>
            </w:tcMar>
            <w:vAlign w:val="top"/>
          </w:tcPr>
          <w:p w:rsidR="00000000" w:rsidDel="00000000" w:rsidP="00000000" w:rsidRDefault="00000000" w:rsidRPr="00000000" w14:paraId="0000001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Regla sistemática para abordar clientes; registro de rechazos; reportar la población alcanzada</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1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Frecuencia, pues quien va más a la tienda tiene más probabilidad de ser encuestado</w:t>
            </w:r>
          </w:p>
        </w:tc>
        <w:tc>
          <w:tcPr>
            <w:tcMar>
              <w:top w:w="25.0" w:type="dxa"/>
              <w:left w:w="75.0" w:type="dxa"/>
              <w:bottom w:w="25.0" w:type="dxa"/>
              <w:right w:w="75.0" w:type="dxa"/>
            </w:tcMar>
            <w:vAlign w:val="top"/>
          </w:tcPr>
          <w:p w:rsidR="00000000" w:rsidDel="00000000" w:rsidP="00000000" w:rsidRDefault="00000000" w:rsidRPr="00000000" w14:paraId="0000002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Preguntar la frecuencia en esa tienda y repetir los resultados ponderando por su inverso</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2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Anclaje y orden, pues la escalera siempre baja desde $18.000 y la carta de la tienda está a la vista</w:t>
            </w:r>
          </w:p>
        </w:tc>
        <w:tc>
          <w:tcPr>
            <w:tcMar>
              <w:top w:w="25.0" w:type="dxa"/>
              <w:left w:w="75.0" w:type="dxa"/>
              <w:bottom w:w="25.0" w:type="dxa"/>
              <w:right w:w="75.0" w:type="dxa"/>
            </w:tcMar>
            <w:vAlign w:val="top"/>
          </w:tcPr>
          <w:p w:rsidR="00000000" w:rsidDel="00000000" w:rsidP="00000000" w:rsidRDefault="00000000" w:rsidRPr="00000000" w14:paraId="0000002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hay versiones entre las cuales promediar el efecto del orden. Se mide en la encuesta aplicando la escalera al revés (Herriges y Shogren, 1996); el precio pagado se pregunta después de la escalera y se registra el precio de carta</w:t>
            </w:r>
          </w:p>
        </w:tc>
      </w:tr>
    </w:tbl>
    <w:p w:rsidR="00000000" w:rsidDel="00000000" w:rsidP="00000000" w:rsidRDefault="00000000" w:rsidRPr="00000000" w14:paraId="00000023">
      <w:pPr>
        <w:spacing w:after="0" w:line="15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Bebida de referencia y comparador</w:t>
      </w:r>
    </w:p>
    <w:p w:rsidR="00000000" w:rsidDel="00000000" w:rsidP="00000000" w:rsidRDefault="00000000" w:rsidRPr="00000000" w14:paraId="000000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DAP se pregunta por una sola bebida, descrita igual a todos que son café filtrado manual (V60, Chemex, Kalita u otro), de una finca o región identificada, negro, en la taza estándar de la tienda y para tomar allí, comprado hoy con dinero propio y sin promociones. Fijarla evita que la DAP mezcle bienes distintos. Como los montos de las ofertas ya están fijados, la ficha de cada tienda solo registra, para comparar con la DAP, el precio y el tamaño del filtrado en la carta, los métodos disponibles, el origen informado, el tipo de tienda y una foto fechada de la carta.</w:t>
      </w:r>
    </w:p>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comparador es el tinto de la cafetería, el precio que el cliente dice pagar normalmente (B5). La prima mide la diferencia de valoración entre dos experiencias completas (tamaño, grano, método, servicio y espacio), no solo la calidad del grano. Como el árbol ubica a cada persona en un intervalo [L, U), con P_T el precio de su tinto:</w:t>
      </w:r>
    </w:p>
    <w:p w:rsidR="00000000" w:rsidDel="00000000" w:rsidP="00000000" w:rsidRDefault="00000000" w:rsidRPr="00000000" w14:paraId="00000027">
      <w:pPr>
        <w:spacing w:after="60" w:before="20" w:lineRule="auto"/>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DAP</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L</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28">
      <w:pPr>
        <w:spacing w:after="60" w:before="20" w:lineRule="auto"/>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Prima</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L</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i</m:t>
            </m:r>
          </m:sub>
          <m:sup>
            <m:r>
              <w:rPr>
                <w:rFonts w:ascii="Times New Roman" w:cs="Times New Roman" w:eastAsia="Times New Roman" w:hAnsi="Times New Roman"/>
                <w:sz w:val="22"/>
                <w:szCs w:val="22"/>
              </w:rPr>
              <m:t xml:space="preserve">T</m:t>
            </m:r>
          </m:sup>
        </m:sSubSup>
        <m:r>
          <w:rPr>
            <w:rFonts w:ascii="Times New Roman" w:cs="Times New Roman" w:eastAsia="Times New Roman" w:hAnsi="Times New Roman"/>
            <w:sz w:val="22"/>
            <w:szCs w:val="22"/>
          </w:rPr>
          <m:t xml:space="preserve">, </m:t>
        </m:r>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i</m:t>
            </m:r>
          </m:sub>
          <m:sup>
            <m:r>
              <w:rPr>
                <w:rFonts w:ascii="Times New Roman" w:cs="Times New Roman" w:eastAsia="Times New Roman" w:hAnsi="Times New Roman"/>
                <w:sz w:val="22"/>
                <w:szCs w:val="22"/>
              </w:rPr>
              <m:t xml:space="preserve">T</m:t>
            </m:r>
          </m:sup>
        </m:sSubSup>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29">
      <w:pPr>
        <w:spacing w:after="60" w:before="20" w:lineRule="auto"/>
        <w:jc w:val="center"/>
        <w:rPr>
          <w:rFonts w:ascii="Times New Roman" w:cs="Times New Roman" w:eastAsia="Times New Roman" w:hAnsi="Times New Roman"/>
          <w:sz w:val="22"/>
          <w:szCs w:val="22"/>
        </w:rPr>
      </w:pPr>
      <m:oMath>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Prima relativa</m:t>
            </m:r>
          </m:e>
          <m:sub>
            <m:r>
              <w:rPr>
                <w:rFonts w:ascii="Times New Roman" w:cs="Times New Roman" w:eastAsia="Times New Roman" w:hAnsi="Times New Roman"/>
                <w:sz w:val="22"/>
                <w:szCs w:val="22"/>
              </w:rPr>
              <m:t xml:space="preserve">i</m:t>
            </m:r>
          </m:sub>
        </m:sSub>
        <m:r>
          <w:rPr>
            <w:rFonts w:ascii="Times New Roman" w:cs="Times New Roman" w:eastAsia="Times New Roman" w:hAnsi="Times New Roman"/>
            <w:sz w:val="22"/>
            <w:szCs w:val="22"/>
          </w:rPr>
          <m:t xml:space="preserve">∈[</m:t>
        </m:r>
        <m:f>
          <m:fPr>
            <m:ctrlPr>
              <w:rPr>
                <w:rFonts w:ascii="Times New Roman" w:cs="Times New Roman" w:eastAsia="Times New Roman" w:hAnsi="Times New Roman"/>
                <w:sz w:val="22"/>
                <w:szCs w:val="22"/>
              </w:rPr>
            </m:ctrlPr>
          </m:fPr>
          <m:num>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L</m:t>
                </m:r>
              </m:e>
              <m:sub>
                <m:r>
                  <w:rPr>
                    <w:rFonts w:ascii="Times New Roman" w:cs="Times New Roman" w:eastAsia="Times New Roman" w:hAnsi="Times New Roman"/>
                    <w:sz w:val="22"/>
                    <w:szCs w:val="22"/>
                  </w:rPr>
                  <m:t xml:space="preserve">i</m:t>
                </m:r>
              </m:sub>
            </m:sSub>
          </m:num>
          <m:den>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i</m:t>
                </m:r>
              </m:sub>
              <m:sup>
                <m:r>
                  <w:rPr>
                    <w:rFonts w:ascii="Times New Roman" w:cs="Times New Roman" w:eastAsia="Times New Roman" w:hAnsi="Times New Roman"/>
                    <w:sz w:val="22"/>
                    <w:szCs w:val="22"/>
                  </w:rPr>
                  <m:t xml:space="preserve">T</m:t>
                </m:r>
              </m:sup>
            </m:sSubSup>
          </m:den>
        </m:f>
        <m:r>
          <w:rPr>
            <w:rFonts w:ascii="Times New Roman" w:cs="Times New Roman" w:eastAsia="Times New Roman" w:hAnsi="Times New Roman"/>
            <w:sz w:val="22"/>
            <w:szCs w:val="22"/>
          </w:rPr>
          <m:t xml:space="preserve">, </m:t>
        </m:r>
        <m:f>
          <m:fPr>
            <m:ctrlPr>
              <w:rPr>
                <w:rFonts w:ascii="Times New Roman" w:cs="Times New Roman" w:eastAsia="Times New Roman" w:hAnsi="Times New Roman"/>
                <w:sz w:val="22"/>
                <w:szCs w:val="22"/>
              </w:rPr>
            </m:ctrlPr>
          </m:fPr>
          <m:num>
            <m:sSub>
              <m:sSubPr>
                <m:ctrlPr>
                  <w:rPr>
                    <w:rFonts w:ascii="Times New Roman" w:cs="Times New Roman" w:eastAsia="Times New Roman" w:hAnsi="Times New Roman"/>
                    <w:sz w:val="22"/>
                    <w:szCs w:val="22"/>
                  </w:rPr>
                </m:ctrlPr>
              </m:sSubPr>
              <m:e>
                <m:r>
                  <w:rPr>
                    <w:rFonts w:ascii="Times New Roman" w:cs="Times New Roman" w:eastAsia="Times New Roman" w:hAnsi="Times New Roman"/>
                    <w:sz w:val="22"/>
                    <w:szCs w:val="22"/>
                  </w:rPr>
                  <m:t xml:space="preserve">U</m:t>
                </m:r>
              </m:e>
              <m:sub>
                <m:r>
                  <w:rPr>
                    <w:rFonts w:ascii="Times New Roman" w:cs="Times New Roman" w:eastAsia="Times New Roman" w:hAnsi="Times New Roman"/>
                    <w:sz w:val="22"/>
                    <w:szCs w:val="22"/>
                  </w:rPr>
                  <m:t xml:space="preserve">i</m:t>
                </m:r>
              </m:sub>
            </m:sSub>
          </m:num>
          <m:den>
            <m:sSubSup>
              <m:sSubSupPr>
                <m:ctrlPr>
                  <w:rPr>
                    <w:rFonts w:ascii="Times New Roman" w:cs="Times New Roman" w:eastAsia="Times New Roman" w:hAnsi="Times New Roman"/>
                    <w:sz w:val="22"/>
                    <w:szCs w:val="22"/>
                  </w:rPr>
                </m:ctrlPr>
              </m:sSubSupPr>
              <m:e>
                <m:r>
                  <w:rPr>
                    <w:rFonts w:ascii="Times New Roman" w:cs="Times New Roman" w:eastAsia="Times New Roman" w:hAnsi="Times New Roman"/>
                    <w:sz w:val="22"/>
                    <w:szCs w:val="22"/>
                  </w:rPr>
                  <m:t xml:space="preserve">P</m:t>
                </m:r>
              </m:e>
              <m:sub>
                <m:r>
                  <w:rPr>
                    <w:rFonts w:ascii="Times New Roman" w:cs="Times New Roman" w:eastAsia="Times New Roman" w:hAnsi="Times New Roman"/>
                    <w:sz w:val="22"/>
                    <w:szCs w:val="22"/>
                  </w:rPr>
                  <m:t xml:space="preserve">i</m:t>
                </m:r>
              </m:sub>
              <m:sup>
                <m:r>
                  <w:rPr>
                    <w:rFonts w:ascii="Times New Roman" w:cs="Times New Roman" w:eastAsia="Times New Roman" w:hAnsi="Times New Roman"/>
                    <w:sz w:val="22"/>
                    <w:szCs w:val="22"/>
                  </w:rPr>
                  <m:t xml:space="preserve">T</m:t>
                </m:r>
              </m:sup>
            </m:sSubSup>
          </m:den>
        </m:f>
        <m:r>
          <w:rPr>
            <w:rFonts w:ascii="Times New Roman" w:cs="Times New Roman" w:eastAsia="Times New Roman" w:hAnsi="Times New Roman"/>
            <w:sz w:val="22"/>
            <w:szCs w:val="22"/>
          </w:rPr>
          <m:t xml:space="preserve">)</m:t>
        </m:r>
      </m:oMath>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2"/>
          <w:szCs w:val="22"/>
        </w:rPr>
      </w:pPr>
      <w:r w:rsidDel="00000000" w:rsidR="00000000" w:rsidRPr="00000000">
        <w:rPr>
          <w:rFonts w:ascii="Gungsuh" w:cs="Gungsuh" w:eastAsia="Gungsuh" w:hAnsi="Gungsuh"/>
          <w:sz w:val="22"/>
          <w:szCs w:val="22"/>
          <w:rtl w:val="0"/>
        </w:rPr>
        <w:t xml:space="preserve">Frente al precio de carta del filtrado (P_E), la DAP queda por encima (L ≥ P_E), por debajo (U ≤ P_E) o indeterminada. El precio pagado en la visita solo es un piso revelado de la DAP para quien compró justamente un filtrado.</w:t>
      </w:r>
    </w:p>
    <w:p w:rsidR="00000000" w:rsidDel="00000000" w:rsidP="00000000" w:rsidRDefault="00000000" w:rsidRPr="00000000" w14:paraId="0000002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Árbol de preguntas de disposición a pagar</w:t>
      </w:r>
    </w:p>
    <w:p w:rsidR="00000000" w:rsidDel="00000000" w:rsidP="00000000" w:rsidRDefault="00000000" w:rsidRPr="00000000" w14:paraId="000000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cada persona se le ofrecen los mismos diez precios, uno por uno y de mayor a menor, y en cada uno responde si compraría o no la taza de referencia (E1.1 a E1.10). Es una tarjeta de pago aplicada como una escalera de preguntas dicotómicas, pues no hay versiones ni asignación aleatoria, y el precio más alto que la persona acepta es su máximo declarado dentro de la escalera. Se descartaron la elección dicotómica de doble límite, que da un intervalo con dos preguntas pero exige asignar al azar el precio inicial (Hanemann et al., 1991), y la pregunta abierta por el precio máximo, que produce ceros y valores extremos (Miller et al., 2011). Con la escalera completa esa pregunta abierta ya no aporta, porque el punto de cambio es ese máximo.</w:t>
      </w:r>
    </w:p>
    <w:p w:rsidR="00000000" w:rsidDel="00000000" w:rsidP="00000000" w:rsidRDefault="00000000" w:rsidRPr="00000000" w14:paraId="000000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diez montos que son $18.000, $16.000, $14.000, $12.000, $10.000, $8.000, $6.000, $4.000, $2.500 y $1.500. Se fijaron antes del campo con precios publicados en internet y consultados el 22 de octubre de 2026. Los siete primeros bajan de $2.000 en $2.000 y cubren el rango del café filtrado en las fuentes consultadas. El peldaño de $12.000 coincide con el V60 de las dos cartas en línea y el de $18.000 queda por encima de todo lo publicado, así que sirve de techo. Los tres últimos bajan hasta el precio de un tinto callejero, para no perder a quien solo pagaría eso por una taza; esa parte de la escalera es la que permite ver la prima frente al tinto. </w:t>
      </w:r>
    </w:p>
    <w:p w:rsidR="00000000" w:rsidDel="00000000" w:rsidP="00000000" w:rsidRDefault="00000000" w:rsidRPr="00000000" w14:paraId="0000002F">
      <w:pPr>
        <w:keepNext w:val="1"/>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Estas fuentes no son una muestra de las tiendas de Chapinero, son referencias públicas para que la escalera cubra el rango plausible de precios. Los montos solo se cambiarían si el piloto muestra una falla gruesa, por ejemplo que casi todos acepten $18.000 o casi nadie acepte $1.500. Cualquier cambio se hace una sola vez, antes del campo, y se documenta.</w:t>
      </w:r>
    </w:p>
    <w:p w:rsidR="00000000" w:rsidDel="00000000" w:rsidP="00000000" w:rsidRDefault="00000000" w:rsidRPr="00000000" w14:paraId="00000030">
      <w:pPr>
        <w:rPr>
          <w:rFonts w:ascii="Times New Roman" w:cs="Times New Roman" w:eastAsia="Times New Roman" w:hAnsi="Times New Roman"/>
          <w:sz w:val="22"/>
          <w:szCs w:val="22"/>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330"/>
        <w:gridCol w:w="3375"/>
        <w:tblGridChange w:id="0">
          <w:tblGrid>
            <w:gridCol w:w="2685"/>
            <w:gridCol w:w="3330"/>
            <w:gridCol w:w="33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20.0" w:type="dxa"/>
              <w:left w:w="80.0" w:type="dxa"/>
              <w:bottom w:w="20.0" w:type="dxa"/>
              <w:right w:w="80.0" w:type="dxa"/>
            </w:tcMar>
            <w:vAlign w:val="bottom"/>
          </w:tcPr>
          <w:p w:rsidR="00000000" w:rsidDel="00000000" w:rsidP="00000000" w:rsidRDefault="00000000" w:rsidRPr="00000000" w14:paraId="00000031">
            <w:pPr>
              <w:spacing w:after="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Patrón de respuestas</w:t>
            </w:r>
          </w:p>
        </w:tc>
        <w:tc>
          <w:tcPr>
            <w:tcBorders>
              <w:top w:color="000000" w:space="0" w:sz="5" w:val="single"/>
              <w:left w:color="000000" w:space="0" w:sz="5" w:val="single"/>
              <w:bottom w:color="000000" w:space="0" w:sz="5" w:val="single"/>
              <w:right w:color="000000" w:space="0" w:sz="5" w:val="single"/>
            </w:tcBorders>
            <w:shd w:fill="d9d9d9" w:val="clear"/>
            <w:tcMar>
              <w:top w:w="20.0" w:type="dxa"/>
              <w:left w:w="80.0" w:type="dxa"/>
              <w:bottom w:w="20.0" w:type="dxa"/>
              <w:right w:w="80.0" w:type="dxa"/>
            </w:tcMar>
            <w:vAlign w:val="bottom"/>
          </w:tcPr>
          <w:p w:rsidR="00000000" w:rsidDel="00000000" w:rsidP="00000000" w:rsidRDefault="00000000" w:rsidRPr="00000000" w14:paraId="00000032">
            <w:pPr>
              <w:spacing w:after="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Intervalo de DAP</w:t>
            </w:r>
          </w:p>
        </w:tc>
        <w:tc>
          <w:tcPr>
            <w:tcBorders>
              <w:top w:color="000000" w:space="0" w:sz="5" w:val="single"/>
              <w:left w:color="000000" w:space="0" w:sz="5" w:val="single"/>
              <w:bottom w:color="000000" w:space="0" w:sz="5" w:val="single"/>
              <w:right w:color="000000" w:space="0" w:sz="5" w:val="single"/>
            </w:tcBorders>
            <w:shd w:fill="d9d9d9" w:val="clear"/>
            <w:tcMar>
              <w:top w:w="20.0" w:type="dxa"/>
              <w:left w:w="80.0" w:type="dxa"/>
              <w:bottom w:w="20.0" w:type="dxa"/>
              <w:right w:w="80.0" w:type="dxa"/>
            </w:tcMar>
            <w:vAlign w:val="bottom"/>
          </w:tcPr>
          <w:p w:rsidR="00000000" w:rsidDel="00000000" w:rsidP="00000000" w:rsidRDefault="00000000" w:rsidRPr="00000000" w14:paraId="00000033">
            <w:pPr>
              <w:spacing w:after="0" w:line="276"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Lectura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4">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Acepta $18.000</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5">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$18.000 o más</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6">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Solo se conoce un piso: la escalera se quedó corta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7">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Rechaza los precios altos y acepta de uno en adelante</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8">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Entre el precio aceptado más alto y el rechazado inmediatamente superior</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9">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Caso esperado; intervalo cerrado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A">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Rechaza los diez precios</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B">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Menos de $1.500, o protesta según E3</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C">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Solo se conoce un techo; E3 separa el valor bajo de la protesta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D">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Acepta, rechaza más abajo y vuelve a aceptar</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E">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toma el precio aceptado más alto y se marca como inconsistente</w:t>
            </w:r>
          </w:p>
        </w:tc>
        <w:tc>
          <w:tcPr>
            <w:tcBorders>
              <w:top w:color="000000" w:space="0" w:sz="5" w:val="single"/>
              <w:left w:color="000000" w:space="0" w:sz="5" w:val="single"/>
              <w:bottom w:color="000000" w:space="0" w:sz="5" w:val="single"/>
              <w:right w:color="000000" w:space="0" w:sz="5" w:val="single"/>
            </w:tcBorders>
            <w:tcMar>
              <w:top w:w="20.0" w:type="dxa"/>
              <w:left w:w="80.0" w:type="dxa"/>
              <w:bottom w:w="20.0" w:type="dxa"/>
              <w:right w:w="80.0" w:type="dxa"/>
            </w:tcMar>
            <w:vAlign w:val="top"/>
          </w:tcPr>
          <w:p w:rsidR="00000000" w:rsidDel="00000000" w:rsidP="00000000" w:rsidRDefault="00000000" w:rsidRPr="00000000" w14:paraId="0000003F">
            <w:pPr>
              <w:spacing w:after="0"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reporta cuántos son y se repite el análisis sin ellos</w:t>
            </w:r>
          </w:p>
        </w:tc>
      </w:tr>
    </w:tbl>
    <w:p w:rsidR="00000000" w:rsidDel="00000000" w:rsidP="00000000" w:rsidRDefault="00000000" w:rsidRPr="00000000" w14:paraId="00000040">
      <w:pPr>
        <w:spacing w:after="0" w:line="163.63636363636363"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1">
      <w:pPr>
        <w:spacing w:after="0" w:line="163.63636363636363"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está seguro" se trata como "no", con una marca, porque en estudios de DAP el "no sabe" se comporta como un "no" (Groothuis y Whitehead, 2002) y "no responde" es un faltante. Después de la escalera, E3 recoge el motivo de rechazar los diez precios, incluida la protesta, y E4 la seguridad del último "sí" en una escala de 1 a 5, que alimenta un análisis de sensibilidad (Ready et al., 1995). La escalera dice entre qué montos está la DAP de cada persona el punto medio del intervalo no es su precio máximo.</w:t>
      </w:r>
    </w:p>
    <w:p w:rsidR="00000000" w:rsidDel="00000000" w:rsidP="00000000" w:rsidRDefault="00000000" w:rsidRPr="00000000" w14:paraId="000000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Qué se gana y qué se pierde con este formato.</w:t>
      </w:r>
      <w:r w:rsidDel="00000000" w:rsidR="00000000" w:rsidRPr="00000000">
        <w:rPr>
          <w:rFonts w:ascii="Times New Roman" w:cs="Times New Roman" w:eastAsia="Times New Roman" w:hAnsi="Times New Roman"/>
          <w:sz w:val="22"/>
          <w:szCs w:val="22"/>
          <w:rtl w:val="0"/>
        </w:rPr>
        <w:t xml:space="preserve"> Se gana que cada persona responda en los diez precios, de modo que la curva de aceptación se estima con toda la muestra en cada punto y no con una quinta parte, y que el campo se simplifica en una sola secuencia, sin hojas de asignación ni versiones que cuadrar. Se pierde la aleatorización del precio inicial pues todos empiezan en $18.000 y bajan, así que el orden puede arrastrar las respuestas y no hay versiones entre las cuales promediar ese efecto (Herriges y Shogren, 1996; Johnston et al., 2017).</w:t>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 Cuestionario </w:t>
      </w:r>
    </w:p>
    <w:p w:rsidR="00000000" w:rsidDel="00000000" w:rsidP="00000000" w:rsidRDefault="00000000" w:rsidRPr="00000000" w14:paraId="00000046">
      <w:pPr>
        <w:rPr>
          <w:rFonts w:ascii="Times New Roman" w:cs="Times New Roman" w:eastAsia="Times New Roman" w:hAnsi="Times New Roman"/>
          <w:sz w:val="22"/>
          <w:szCs w:val="22"/>
        </w:rPr>
      </w:pPr>
      <w:r w:rsidDel="00000000" w:rsidR="00000000" w:rsidRPr="00000000">
        <w:rPr>
          <w:rFonts w:ascii="Cardo" w:cs="Cardo" w:eastAsia="Cardo" w:hAnsi="Cardo"/>
          <w:sz w:val="22"/>
          <w:szCs w:val="22"/>
          <w:rtl w:val="0"/>
        </w:rPr>
        <w:t xml:space="preserve">El cuestionario tiene como máximo 37 preguntas por participante (dos opcionales), de las cuales diez son los precios de la escalera, y 9 registros del encuestador, aplicados en este orden: Z → A → B1 → C → E → B2–B5 → F → D → G → cierre. La escalera va antes del precio pagado, para no sumar un ancla, y antes del bloque de conocimiento, para que las preguntas técnicas no influyan en la DAP. Las preguntas opcionales se eliminan si el piloto supera nueve minutos. </w:t>
      </w:r>
    </w:p>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Escenario de introducción a la escalera: "Ahora piense en una taza de café filtrado, preparado a mano en V60 u otro método, con café colombiano de una finca o región identificada, de unos 240 mililitros, es decir, una taza de 8 onzas, para tomar aquí mismo. Le voy a decir un precio y usted me dice si la compraría hoy, con su propio dinero. Si no, le diré uno más bajo. Mucha gente responde que pagaría más de lo que de verdad paga, así que piense que lo que gaste en esa taza no lo podrá gastar en otras cosas. No hay respuestas correctas."</w:t>
      </w:r>
    </w:p>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tl w:val="0"/>
        </w:rPr>
      </w:r>
    </w:p>
    <w:tbl>
      <w:tblPr>
        <w:tblStyle w:val="Table3"/>
        <w:tblW w:w="8726.0869565217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326.08695652174"/>
        <w:tblGridChange w:id="0">
          <w:tblGrid>
            <w:gridCol w:w="2400"/>
            <w:gridCol w:w="6326.08695652174"/>
          </w:tblGrid>
        </w:tblGridChange>
      </w:tblGrid>
      <w:tr>
        <w:trPr>
          <w:cantSplit w:val="1"/>
          <w:tblHeader w:val="1"/>
        </w:trPr>
        <w:tc>
          <w:tcPr>
            <w:shd w:fill="d9d9d9" w:val="clear"/>
            <w:tcMar>
              <w:top w:w="25.0" w:type="dxa"/>
              <w:left w:w="75.0" w:type="dxa"/>
              <w:bottom w:w="25.0" w:type="dxa"/>
              <w:right w:w="75.0" w:type="dxa"/>
            </w:tcMar>
            <w:vAlign w:val="bottom"/>
          </w:tcPr>
          <w:p w:rsidR="00000000" w:rsidDel="00000000" w:rsidP="00000000" w:rsidRDefault="00000000" w:rsidRPr="00000000" w14:paraId="0000004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Módulo</w:t>
            </w:r>
            <w:r w:rsidDel="00000000" w:rsidR="00000000" w:rsidRPr="00000000">
              <w:rPr>
                <w:rtl w:val="0"/>
              </w:rPr>
            </w:r>
          </w:p>
        </w:tc>
        <w:tc>
          <w:tcPr>
            <w:shd w:fill="d9d9d9" w:val="clear"/>
            <w:tcMar>
              <w:top w:w="25.0" w:type="dxa"/>
              <w:left w:w="75.0" w:type="dxa"/>
              <w:bottom w:w="25.0" w:type="dxa"/>
              <w:right w:w="75.0" w:type="dxa"/>
            </w:tcMar>
            <w:vAlign w:val="bottom"/>
          </w:tcPr>
          <w:p w:rsidR="00000000" w:rsidDel="00000000" w:rsidP="00000000" w:rsidRDefault="00000000" w:rsidRPr="00000000" w14:paraId="0000004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Preguntas</w:t>
            </w:r>
            <w:r w:rsidDel="00000000" w:rsidR="00000000" w:rsidRPr="00000000">
              <w:rPr>
                <w:rtl w:val="0"/>
              </w:rPr>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4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 Registro</w:t>
            </w:r>
          </w:p>
        </w:tc>
        <w:tc>
          <w:tcPr>
            <w:tcMar>
              <w:top w:w="25.0" w:type="dxa"/>
              <w:left w:w="75.0" w:type="dxa"/>
              <w:bottom w:w="25.0" w:type="dxa"/>
              <w:right w:w="75.0" w:type="dxa"/>
            </w:tcMar>
            <w:vAlign w:val="top"/>
          </w:tcPr>
          <w:p w:rsidR="00000000" w:rsidDel="00000000" w:rsidP="00000000" w:rsidRDefault="00000000" w:rsidRPr="00000000" w14:paraId="0000004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Z1 nombre de la tienda, Z2 franja horaria</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4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Consentimiento y elegibilidad</w:t>
            </w:r>
          </w:p>
        </w:tc>
        <w:tc>
          <w:tcPr>
            <w:tcMar>
              <w:top w:w="25.0" w:type="dxa"/>
              <w:left w:w="75.0" w:type="dxa"/>
              <w:bottom w:w="25.0" w:type="dxa"/>
              <w:right w:w="75.0" w:type="dxa"/>
            </w:tcMar>
            <w:vAlign w:val="top"/>
          </w:tcPr>
          <w:p w:rsidR="00000000" w:rsidDel="00000000" w:rsidP="00000000" w:rsidRDefault="00000000" w:rsidRPr="00000000" w14:paraId="0000004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acepta participar, A2 tiene 18 años o más, A3 compró una bebida hoy</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4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B1. Compra actual</w:t>
            </w:r>
          </w:p>
        </w:tc>
        <w:tc>
          <w:tcPr>
            <w:tcMar>
              <w:top w:w="25.0" w:type="dxa"/>
              <w:left w:w="75.0" w:type="dxa"/>
              <w:bottom w:w="25.0" w:type="dxa"/>
              <w:right w:w="75.0" w:type="dxa"/>
            </w:tcMar>
            <w:vAlign w:val="top"/>
          </w:tcPr>
          <w:p w:rsidR="00000000" w:rsidDel="00000000" w:rsidP="00000000" w:rsidRDefault="00000000" w:rsidRPr="00000000" w14:paraId="0000005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Bebida comprada hoy</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 Hábitos</w:t>
            </w:r>
          </w:p>
        </w:tc>
        <w:tc>
          <w:tcPr>
            <w:tcMar>
              <w:top w:w="25.0" w:type="dxa"/>
              <w:left w:w="75.0" w:type="dxa"/>
              <w:bottom w:w="25.0" w:type="dxa"/>
              <w:right w:w="75.0" w:type="dxa"/>
            </w:tcMar>
            <w:vAlign w:val="top"/>
          </w:tcPr>
          <w:p w:rsidR="00000000" w:rsidDel="00000000" w:rsidP="00000000" w:rsidRDefault="00000000" w:rsidRPr="00000000" w14:paraId="0000005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C1 frecuencia en cafeterías de especialidad, C2 frecuencia en esta tienda, C3 lugar habitual de consumo, C4 motivo de la visita (opcional)</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 Escalera de DAP</w:t>
            </w:r>
          </w:p>
        </w:tc>
        <w:tc>
          <w:tcPr>
            <w:tcMar>
              <w:top w:w="25.0" w:type="dxa"/>
              <w:left w:w="75.0" w:type="dxa"/>
              <w:bottom w:w="25.0" w:type="dxa"/>
              <w:right w:w="75.0" w:type="dxa"/>
            </w:tcMar>
            <w:vAlign w:val="top"/>
          </w:tcPr>
          <w:p w:rsidR="00000000" w:rsidDel="00000000" w:rsidP="00000000" w:rsidRDefault="00000000" w:rsidRPr="00000000" w14:paraId="0000005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 Escalera de DAP, E1.1 a E1.10 "¿Compraría esa taza aquí hoy a $18.000?", y así bajando hasta $1.500, E3 motivo de rechazar los diez precios, incluida la protesta, E4 seguridad del último "sí" (1 a 5)</w:t>
              <w:tab/>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B2–B5. Precios y tinto</w:t>
            </w:r>
          </w:p>
        </w:tc>
        <w:tc>
          <w:tcPr>
            <w:tcMar>
              <w:top w:w="25.0" w:type="dxa"/>
              <w:left w:w="75.0" w:type="dxa"/>
              <w:bottom w:w="25.0" w:type="dxa"/>
              <w:right w:w="75.0" w:type="dxa"/>
            </w:tcMar>
            <w:vAlign w:val="top"/>
          </w:tcPr>
          <w:p w:rsidR="00000000" w:rsidDel="00000000" w:rsidP="00000000" w:rsidRDefault="00000000" w:rsidRPr="00000000" w14:paraId="0000005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B2 precio pagado, B3 gasto total de la visita, B4 si el total incluye a otros (opcional), B5 precio habitual del tinto</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 Atributos</w:t>
            </w:r>
          </w:p>
        </w:tc>
        <w:tc>
          <w:tcPr>
            <w:tcMar>
              <w:top w:w="25.0" w:type="dxa"/>
              <w:left w:w="75.0" w:type="dxa"/>
              <w:bottom w:w="25.0" w:type="dxa"/>
              <w:right w:w="75.0" w:type="dxa"/>
            </w:tcMar>
            <w:vAlign w:val="top"/>
          </w:tcPr>
          <w:p w:rsidR="00000000" w:rsidDel="00000000" w:rsidP="00000000" w:rsidRDefault="00000000" w:rsidRPr="00000000" w14:paraId="0000005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F1 atributo más importante y F2 segundo: sabor, aroma, origen, método, precio, ambiente o servicio </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 Conocimiento</w:t>
            </w:r>
          </w:p>
        </w:tc>
        <w:tc>
          <w:tcPr>
            <w:tcMar>
              <w:top w:w="25.0" w:type="dxa"/>
              <w:left w:w="75.0" w:type="dxa"/>
              <w:bottom w:w="25.0" w:type="dxa"/>
              <w:right w:w="75.0" w:type="dxa"/>
            </w:tcMar>
            <w:vAlign w:val="top"/>
          </w:tcPr>
          <w:p w:rsidR="00000000" w:rsidDel="00000000" w:rsidP="00000000" w:rsidRDefault="00000000" w:rsidRPr="00000000" w14:paraId="0000005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D1 autoevaluación de 1 a 5 · D2 café "de origen" · D3 V60 · D4 "lavado" o "natural" · D5 café de 85 puntos ("no sé" cuenta como no acierto)</w:t>
            </w:r>
          </w:p>
        </w:tc>
      </w:tr>
      <w:tr>
        <w:trPr>
          <w:cantSplit w:val="1"/>
          <w:tblHeader w:val="0"/>
        </w:trPr>
        <w:tc>
          <w:tcPr>
            <w:tcMar>
              <w:top w:w="25.0" w:type="dxa"/>
              <w:left w:w="75.0" w:type="dxa"/>
              <w:bottom w:w="25.0" w:type="dxa"/>
              <w:right w:w="75.0" w:type="dxa"/>
            </w:tcMar>
            <w:vAlign w:val="top"/>
          </w:tcPr>
          <w:p w:rsidR="00000000" w:rsidDel="00000000" w:rsidP="00000000" w:rsidRDefault="00000000" w:rsidRPr="00000000" w14:paraId="0000005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 Sociodemográficas</w:t>
            </w:r>
          </w:p>
        </w:tc>
        <w:tc>
          <w:tcPr>
            <w:tcMar>
              <w:top w:w="25.0" w:type="dxa"/>
              <w:left w:w="75.0" w:type="dxa"/>
              <w:bottom w:w="25.0" w:type="dxa"/>
              <w:right w:w="75.0" w:type="dxa"/>
            </w:tcMar>
            <w:vAlign w:val="top"/>
          </w:tcPr>
          <w:p w:rsidR="00000000" w:rsidDel="00000000" w:rsidP="00000000" w:rsidRDefault="00000000" w:rsidRPr="00000000" w14:paraId="0000005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G1 edad · G2 educación · G3 ocupación · G4 ingreso del hogar en rangos · G5 estrato</w:t>
            </w:r>
          </w:p>
        </w:tc>
      </w:tr>
      <w:tr>
        <w:trPr>
          <w:cantSplit w:val="1"/>
          <w:trHeight w:val="465" w:hRule="atLeast"/>
          <w:tblHeader w:val="0"/>
        </w:trPr>
        <w:tc>
          <w:tcPr>
            <w:tcMar>
              <w:top w:w="25.0" w:type="dxa"/>
              <w:left w:w="75.0" w:type="dxa"/>
              <w:bottom w:w="25.0" w:type="dxa"/>
              <w:right w:w="75.0" w:type="dxa"/>
            </w:tcMar>
            <w:vAlign w:val="top"/>
          </w:tcPr>
          <w:p w:rsidR="00000000" w:rsidDel="00000000" w:rsidP="00000000" w:rsidRDefault="00000000" w:rsidRPr="00000000" w14:paraId="0000005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Cierre</w:t>
            </w:r>
          </w:p>
        </w:tc>
        <w:tc>
          <w:tcPr>
            <w:tcMar>
              <w:top w:w="25.0" w:type="dxa"/>
              <w:left w:w="75.0" w:type="dxa"/>
              <w:bottom w:w="25.0" w:type="dxa"/>
              <w:right w:w="75.0" w:type="dxa"/>
            </w:tcMar>
            <w:vAlign w:val="top"/>
          </w:tcPr>
          <w:p w:rsidR="00000000" w:rsidDel="00000000" w:rsidP="00000000" w:rsidRDefault="00000000" w:rsidRPr="00000000" w14:paraId="0000005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Z6 atención, Z7 si alguien escuchó los precios, Z8 interrupción</w:t>
            </w:r>
          </w:p>
        </w:tc>
      </w:tr>
    </w:tbl>
    <w:p w:rsidR="00000000" w:rsidDel="00000000" w:rsidP="00000000" w:rsidRDefault="00000000" w:rsidRPr="00000000" w14:paraId="0000005F">
      <w:pPr>
        <w:spacing w:after="0" w:line="15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rangos de ingreso tienen cortes en 1, 2, 4, 6 y 10 salarios mínimos de 2026, COP 1.750.905 (Decreto 1469 de 2025). El Consejo de Estado levantó en julio de 2026 la suspensión provisional del decreto (Murillo Herrera, 2026), y en octubre las demandas de nulidad seguían en trámite (Silva Hernández, 2026).</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w:t>
      </w:r>
      <w:r w:rsidDel="00000000" w:rsidR="00000000" w:rsidRPr="00000000">
        <w:rPr>
          <w:rFonts w:ascii="Times New Roman" w:cs="Times New Roman" w:eastAsia="Times New Roman" w:hAnsi="Times New Roman"/>
          <w:b w:val="1"/>
          <w:bCs w:val="1"/>
          <w:sz w:val="22"/>
          <w:szCs w:val="22"/>
          <w:rtl w:val="0"/>
        </w:rPr>
        <w:t xml:space="preserve">. Logística de campo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6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Roles.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Los cuatro integrantes encuestan con el mismo guion, la misma regla de abordaje y la misma lista de versiones. Además, uno coordina el campo (tiendas, autorizaciones y calendario), uno gestiona los datos (formulario, lista de asignación y respaldo diario), uno controla la calidad y uno observa precios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6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Autorización.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 pide permiso al administrador para encuestar unas dos horas por franja. Se registran la fecha, el cargo de quien autoriza y sus condiciones. Nunca se encuesta sin permiso.</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6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Abordaje.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 aborda a </w:t>
      </w:r>
      <w:r w:rsidDel="00000000" w:rsidR="00000000" w:rsidRPr="00000000">
        <w:rPr>
          <w:rFonts w:ascii="Times New Roman" w:cs="Times New Roman" w:eastAsia="Times New Roman" w:hAnsi="Times New Roman"/>
          <w:sz w:val="22"/>
          <w:szCs w:val="22"/>
          <w:rtl w:val="0"/>
        </w:rPr>
        <w:t xml:space="preserve">una persona que esté consumiendo en el sitio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contando desde el final de la encuesta anterior. El encuestador no elige a quien "parece más dispuesto".</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252.00000000000003" w:lineRule="auto"/>
        <w:ind w:left="360" w:right="0" w:hanging="260"/>
        <w:jc w:val="left"/>
        <w:rPr>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Duplicados e incidencias.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C</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ada </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id_encuesta</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es único. El encuestador no corrige respuesta</w:t>
      </w:r>
      <w:r w:rsidDel="00000000" w:rsidR="00000000" w:rsidRPr="00000000">
        <w:rPr>
          <w:rFonts w:ascii="Times New Roman" w:cs="Times New Roman" w:eastAsia="Times New Roman" w:hAnsi="Times New Roman"/>
          <w:sz w:val="22"/>
          <w:szCs w:val="22"/>
          <w:rtl w:val="0"/>
        </w:rPr>
        <w:t xml:space="preserve">, solo se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anota las inconsistencias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y se tratan en la limpieza con reglas escritas. Un </w:t>
      </w:r>
      <w:r w:rsidDel="00000000" w:rsidR="00000000" w:rsidRPr="00000000">
        <w:rPr>
          <w:rFonts w:ascii="Times New Roman" w:cs="Times New Roman" w:eastAsia="Times New Roman" w:hAnsi="Times New Roman"/>
          <w:sz w:val="22"/>
          <w:szCs w:val="22"/>
          <w:rtl w:val="0"/>
        </w:rPr>
        <w:t xml:space="preserve">documento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de incidencias registra permisos retirados y fallas del formulario.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52.00000000000003" w:lineRule="auto"/>
        <w:ind w:left="36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7. Consentimiento informado y tratamiento de datos</w:t>
      </w:r>
    </w:p>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consentimiento es oral y queda registrado en la primera parte de la encuesta, para no recoger nombres ni firmas.</w:t>
      </w:r>
    </w:p>
    <w:p w:rsidR="00000000" w:rsidDel="00000000" w:rsidP="00000000" w:rsidRDefault="00000000" w:rsidRPr="00000000" w14:paraId="0000006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i w:val="1"/>
          <w:iCs w:val="1"/>
          <w:color w:val="1f1f1f"/>
          <w:sz w:val="22"/>
          <w:szCs w:val="22"/>
        </w:rPr>
      </w:pPr>
      <w:r w:rsidDel="00000000" w:rsidR="00000000" w:rsidRPr="00000000">
        <w:rPr>
          <w:rFonts w:ascii="Times New Roman" w:cs="Times New Roman" w:eastAsia="Times New Roman" w:hAnsi="Times New Roman"/>
          <w:i w:val="1"/>
          <w:iCs w:val="1"/>
          <w:sz w:val="22"/>
          <w:szCs w:val="22"/>
          <w:rtl w:val="0"/>
        </w:rPr>
        <w:t xml:space="preserve">"</w:t>
      </w:r>
      <w:r w:rsidDel="00000000" w:rsidR="00000000" w:rsidRPr="00000000">
        <w:rPr>
          <w:rFonts w:ascii="Times New Roman" w:cs="Times New Roman" w:eastAsia="Times New Roman" w:hAnsi="Times New Roman"/>
          <w:i w:val="1"/>
          <w:iCs w:val="1"/>
          <w:color w:val="1f1f1f"/>
          <w:sz w:val="22"/>
          <w:szCs w:val="22"/>
          <w:rtl w:val="0"/>
        </w:rPr>
        <w:t xml:space="preserve">Un cordial saludo. Somos estudiantes de Economía de la Universidad del Rosario, del curso Haciendo Economía, a cargo del profesor Paul Rodríguez L  [ paul.rodriguez@urosario.edu.co ]. Hacemos un estudio académico sobre cuánto están dispuestas a pagar las personas por el café de especialidad en Chapinero. Si acepta, le haremos preguntas sobre el café que compró hoy, sus hábitos, cuánto pagaría por una taza y algunos datos generales, como su rango de edad y de ingreso, que sirven para comparar grupos. La encuesta es anónima pues no le pediremos nombre, teléfono, correo ni documento. Participar es voluntario; puede no responder cualquier pregunta y retirarse cuando quiera, sin ninguna consecuencia. No hay riesgos previsibles más allá de su tiempo, ni pagos ni beneficios directos. Los resultados se usarán solo con fines académicos y de forma agregada, conforme a la Ley 1581 de 2012. Si tiene preguntas, en esta sección están nuestros datos de contacto. ¿Acepta participar?</w:t>
      </w:r>
    </w:p>
    <w:p w:rsidR="00000000" w:rsidDel="00000000" w:rsidP="00000000" w:rsidRDefault="00000000" w:rsidRPr="00000000" w14:paraId="0000006B">
      <w:pPr>
        <w:rPr>
          <w:rFonts w:ascii="Times New Roman" w:cs="Times New Roman" w:eastAsia="Times New Roman" w:hAnsi="Times New Roman"/>
          <w:i w:val="1"/>
          <w:iCs w:val="1"/>
          <w:color w:val="1f1f1f"/>
          <w:sz w:val="22"/>
          <w:szCs w:val="22"/>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color w:val="1f1f1f"/>
          <w:sz w:val="22"/>
          <w:szCs w:val="22"/>
          <w:rtl w:val="0"/>
        </w:rPr>
        <w:t xml:space="preserve">Responsables: Santiago Gómez (santiago.gomezi@urosario.edu.co), Camilo Ospina (holman.ospina@urosario.edu.co), David Pascagaza (david.pascagaza@urosario.edu.co) y Emily Rodríguez (emily.rddriguez@urosario.edu.co).</w:t>
      </w:r>
      <w:r w:rsidDel="00000000" w:rsidR="00000000" w:rsidRPr="00000000">
        <w:rPr>
          <w:rFonts w:ascii="Times New Roman" w:cs="Times New Roman" w:eastAsia="Times New Roman" w:hAnsi="Times New Roman"/>
          <w:i w:val="1"/>
          <w:iCs w:val="1"/>
          <w:sz w:val="22"/>
          <w:szCs w:val="22"/>
          <w:rtl w:val="0"/>
        </w:rPr>
        <w:t xml:space="preserve"> "</w:t>
      </w:r>
    </w:p>
    <w:p w:rsidR="00000000" w:rsidDel="00000000" w:rsidP="00000000" w:rsidRDefault="00000000" w:rsidRPr="00000000" w14:paraId="0000006D">
      <w:pPr>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sección lleva los correos del grupo y del profesor. La edad, ingreso y estrato van en rangos con opción de no responder, y no se pregunta género, salud, religión ni posición política. Las respuestas se guardan en una cuenta del grupo, los datos crudos en una carpeta de solo lectura y los scripts en el repositorio; por otro lado, el listado de tiendas con nombres va aparte. Solo se publican resultados agregados.</w:t>
      </w:r>
    </w:p>
    <w:p w:rsidR="00000000" w:rsidDel="00000000" w:rsidP="00000000" w:rsidRDefault="00000000" w:rsidRPr="00000000" w14:paraId="0000006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8. Plan de análisis estadístico</w:t>
      </w:r>
    </w:p>
    <w:p w:rsidR="00000000" w:rsidDel="00000000" w:rsidP="00000000" w:rsidRDefault="00000000" w:rsidRPr="00000000" w14:paraId="000000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plan se guarda en el repositorio antes del campo y funciona como plan de pre-análisis. Todo se puede hacer en Excel o en Stata, con el comando entre paréntesis. Se reporta primero el flujo de casos los cuales son abordados, rechazos, no elegibles, completas y protestas, que quedan fuera del análisis principal.</w:t>
      </w:r>
    </w:p>
    <w:p w:rsidR="00000000" w:rsidDel="00000000" w:rsidP="00000000" w:rsidRDefault="00000000" w:rsidRPr="00000000" w14:paraId="00000071">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Descripción de los participantes.</w:t>
      </w:r>
      <w:r w:rsidDel="00000000" w:rsidR="00000000" w:rsidRPr="00000000">
        <w:rPr>
          <w:rFonts w:ascii="Times New Roman" w:cs="Times New Roman" w:eastAsia="Times New Roman" w:hAnsi="Times New Roman"/>
          <w:sz w:val="22"/>
          <w:szCs w:val="22"/>
          <w:rtl w:val="0"/>
        </w:rPr>
        <w:t xml:space="preserve"> Frecuencias y porcentajes con su </w:t>
      </w:r>
      <w:r w:rsidDel="00000000" w:rsidR="00000000" w:rsidRPr="00000000">
        <w:rPr>
          <w:rFonts w:ascii="Times New Roman" w:cs="Times New Roman" w:eastAsia="Times New Roman" w:hAnsi="Times New Roman"/>
          <w:i w:val="1"/>
          <w:iCs w:val="1"/>
          <w:sz w:val="22"/>
          <w:szCs w:val="22"/>
          <w:rtl w:val="0"/>
        </w:rPr>
        <w:t xml:space="preserve">n</w:t>
      </w:r>
      <w:r w:rsidDel="00000000" w:rsidR="00000000" w:rsidRPr="00000000">
        <w:rPr>
          <w:rFonts w:ascii="Times New Roman" w:cs="Times New Roman" w:eastAsia="Times New Roman" w:hAnsi="Times New Roman"/>
          <w:sz w:val="22"/>
          <w:szCs w:val="22"/>
          <w:rtl w:val="0"/>
        </w:rPr>
        <w:t xml:space="preserve"> en las variables categóricas. Mediana, cuartiles, mínimo y máximo en precios y gastos.</w:t>
      </w:r>
    </w:p>
    <w:p w:rsidR="00000000" w:rsidDel="00000000" w:rsidP="00000000" w:rsidRDefault="00000000" w:rsidRPr="00000000" w14:paraId="00000072">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Curva de aceptación, resultado principal.</w:t>
      </w:r>
      <w:r w:rsidDel="00000000" w:rsidR="00000000" w:rsidRPr="00000000">
        <w:rPr>
          <w:rFonts w:ascii="Times New Roman" w:cs="Times New Roman" w:eastAsia="Times New Roman" w:hAnsi="Times New Roman"/>
          <w:sz w:val="22"/>
          <w:szCs w:val="22"/>
          <w:rtl w:val="0"/>
        </w:rPr>
        <w:t xml:space="preserve"> Porcentaje que acepta cada uno de los diez precios, calculado con la muestra completa en cada punto, con intervalo de confianza al 95 % igual a </w:t>
      </w:r>
      <w:r w:rsidDel="00000000" w:rsidR="00000000" w:rsidRPr="00000000">
        <w:rPr>
          <w:rFonts w:ascii="Times New Roman" w:cs="Times New Roman" w:eastAsia="Times New Roman" w:hAnsi="Times New Roman"/>
          <w:i w:val="1"/>
          <w:iCs w:val="1"/>
          <w:sz w:val="22"/>
          <w:szCs w:val="22"/>
          <w:rtl w:val="0"/>
        </w:rPr>
        <w:t xml:space="preserve">p</w:t>
      </w:r>
      <w:r w:rsidDel="00000000" w:rsidR="00000000" w:rsidRPr="00000000">
        <w:rPr>
          <w:rFonts w:ascii="Gungsuh" w:cs="Gungsuh" w:eastAsia="Gungsuh" w:hAnsi="Gungsuh"/>
          <w:sz w:val="22"/>
          <w:szCs w:val="22"/>
          <w:rtl w:val="0"/>
        </w:rPr>
        <w:t xml:space="preserve"> ± 1,96·√(</w:t>
      </w:r>
      <w:r w:rsidDel="00000000" w:rsidR="00000000" w:rsidRPr="00000000">
        <w:rPr>
          <w:rFonts w:ascii="Times New Roman" w:cs="Times New Roman" w:eastAsia="Times New Roman" w:hAnsi="Times New Roman"/>
          <w:i w:val="1"/>
          <w:iCs w:val="1"/>
          <w:sz w:val="22"/>
          <w:szCs w:val="22"/>
          <w:rtl w:val="0"/>
        </w:rPr>
        <w:t xml:space="preserve">p</w:t>
      </w:r>
      <w:r w:rsidDel="00000000" w:rsidR="00000000" w:rsidRPr="00000000">
        <w:rPr>
          <w:rFonts w:ascii="Gungsuh" w:cs="Gungsuh" w:eastAsia="Gungsuh" w:hAnsi="Gungsuh"/>
          <w:sz w:val="22"/>
          <w:szCs w:val="22"/>
          <w:rtl w:val="0"/>
        </w:rPr>
        <w:t xml:space="preserve">(1−</w:t>
      </w:r>
      <w:r w:rsidDel="00000000" w:rsidR="00000000" w:rsidRPr="00000000">
        <w:rPr>
          <w:rFonts w:ascii="Times New Roman" w:cs="Times New Roman" w:eastAsia="Times New Roman" w:hAnsi="Times New Roman"/>
          <w:i w:val="1"/>
          <w:iCs w:val="1"/>
          <w:sz w:val="22"/>
          <w:szCs w:val="22"/>
          <w:rtl w:val="0"/>
        </w:rPr>
        <w:t xml:space="preserve">p</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n</w:t>
      </w:r>
      <w:r w:rsidDel="00000000" w:rsidR="00000000" w:rsidRPr="00000000">
        <w:rPr>
          <w:rFonts w:ascii="Times New Roman" w:cs="Times New Roman" w:eastAsia="Times New Roman" w:hAnsi="Times New Roman"/>
          <w:sz w:val="22"/>
          <w:szCs w:val="22"/>
          <w:rtl w:val="0"/>
        </w:rPr>
        <w:t xml:space="preserve">). Se grafica con el precio en el eje horizontal y se reporta entre qué dos montos la aceptación cae por debajo del 50 %.</w:t>
      </w:r>
    </w:p>
    <w:p w:rsidR="00000000" w:rsidDel="00000000" w:rsidP="00000000" w:rsidRDefault="00000000" w:rsidRPr="00000000" w14:paraId="00000073">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Distribución de la DAP y prima.</w:t>
      </w:r>
      <w:r w:rsidDel="00000000" w:rsidR="00000000" w:rsidRPr="00000000">
        <w:rPr>
          <w:rFonts w:ascii="Times New Roman" w:cs="Times New Roman" w:eastAsia="Times New Roman" w:hAnsi="Times New Roman"/>
          <w:sz w:val="22"/>
          <w:szCs w:val="22"/>
          <w:rtl w:val="0"/>
        </w:rPr>
        <w:t xml:space="preserve"> El precio más alto aceptado y el rechazado inmediatamente superior son los límites inferior y superior de cada persona, nunca se usa el punto medio. Tabla de frecuencias por intervalo como resumen donde se ve el promedio de los límites inferiores, que es un mínimo. La prima mínima (límite inferior menos el precio del tinto) se resume con mediana y cuartiles, y en veces el precio del tinto. Se reporta también el porcentaje con DAP por encima, por debajo o indeterminada frente al precio de carta.</w:t>
      </w:r>
    </w:p>
    <w:p w:rsidR="00000000" w:rsidDel="00000000" w:rsidP="00000000" w:rsidRDefault="00000000" w:rsidRPr="00000000" w14:paraId="00000074">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Comparaciones entre grupos, definidos antes del campo.</w:t>
      </w:r>
      <w:r w:rsidDel="00000000" w:rsidR="00000000" w:rsidRPr="00000000">
        <w:rPr>
          <w:rFonts w:ascii="Times New Roman" w:cs="Times New Roman" w:eastAsia="Times New Roman" w:hAnsi="Times New Roman"/>
          <w:sz w:val="22"/>
          <w:szCs w:val="22"/>
          <w:rtl w:val="0"/>
        </w:rPr>
        <w:t xml:space="preserve"> estrato (3 o menos, 4, 5 o más); ingreso (hasta 4 salarios mínimos, más de 4); educación (sin pregrado, pregrado, posgrado); conocimiento (0–1, 2–3, 4 aciertos); y frecuencia (menos de semanal, semanal o más). Para cada una las curvas de aceptación de los grupos se presentará en un mismo gráfico. La diferencia de proporciones de "sí" en un precio de referencia, el de $12.000 ; y una ji cuadrado entre el grupo y la DAP en tres niveles, juntando categorías si una casilla esperada queda por debajo de 5.</w:t>
      </w:r>
    </w:p>
    <w:p w:rsidR="00000000" w:rsidDel="00000000" w:rsidP="00000000" w:rsidRDefault="00000000" w:rsidRPr="00000000" w14:paraId="00000075">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Atributos y gráficos.</w:t>
      </w:r>
      <w:r w:rsidDel="00000000" w:rsidR="00000000" w:rsidRPr="00000000">
        <w:rPr>
          <w:rFonts w:ascii="Times New Roman" w:cs="Times New Roman" w:eastAsia="Times New Roman" w:hAnsi="Times New Roman"/>
          <w:sz w:val="22"/>
          <w:szCs w:val="22"/>
          <w:rtl w:val="0"/>
        </w:rPr>
        <w:t xml:space="preserve"> Porcentaje que menciona cada atributo en primer o segundo lugar, según la DAP quede por encima, por debajo o sobre el peldaño central de COP 12.000. Todo se presenta en gráficos con unidades en los ejes y títulos que dicen el hallazgo (Schwabish, 2021).</w:t>
      </w:r>
    </w:p>
    <w:p w:rsidR="00000000" w:rsidDel="00000000" w:rsidP="00000000" w:rsidRDefault="00000000" w:rsidRPr="00000000" w14:paraId="00000076">
      <w:pPr>
        <w:spacing w:after="40" w:lineRule="auto"/>
        <w:ind w:left="620" w:hanging="2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2"/>
          <w:szCs w:val="22"/>
          <w:rtl w:val="0"/>
        </w:rPr>
        <w:t xml:space="preserve">Límites de inferencia.</w:t>
      </w:r>
      <w:r w:rsidDel="00000000" w:rsidR="00000000" w:rsidRPr="00000000">
        <w:rPr>
          <w:rFonts w:ascii="Times New Roman" w:cs="Times New Roman" w:eastAsia="Times New Roman" w:hAnsi="Times New Roman"/>
          <w:sz w:val="22"/>
          <w:szCs w:val="22"/>
          <w:rtl w:val="0"/>
        </w:rPr>
        <w:t xml:space="preserve"> La muestra no es probabilística ya que las pruebas describen la incertidumbre por tamaño de muestra, no la selección, y solo describen a los clientes encuestados. Las diez respuestas de una misma persona no son independientes, así que la curva no se lee como diez muestras distintas. La DAP declarada sobrestima lo que se pagaría de verdad, el orden descendente puede arrastrarla y ninguna diferencia es causal.</w:t>
      </w:r>
    </w:p>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 Calendario y pendientes</w:t>
      </w:r>
    </w:p>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Calendario propuesto:</w:t>
      </w:r>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Confirmaciones con el profesor, listado de tiendas y fichas de precios,  autorizaciones, formulario y lista aleatoria,  del 26 al 28 de octubre. Aplicación del trabajo de campo de 2  al 6 de noviembre (por confirmar). Las demás fechas están por confirmar igualmente por el profesor. Durante el campo hay una reunión diaria de 15 minutos para realizar mejoras en comunicación con los encuestados.</w:t>
      </w:r>
    </w:p>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Referencias</w:t>
      </w:r>
    </w:p>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D">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Bjärkefur, K., Cardoso de Andrade, L., Daniels, B., y Jones, M. R. (2021). Development research in practice: The DIME Analytics data handbook. World Bank. http://hdl.handle.net/10986/35594</w:t>
      </w:r>
    </w:p>
    <w:p w:rsidR="00000000" w:rsidDel="00000000" w:rsidP="00000000" w:rsidRDefault="00000000" w:rsidRPr="00000000" w14:paraId="0000007E">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Cero Filtro. (s. f.). Carta [Menú en línea]. Recuperado el 28 de octubre de 2026, de https://cerofiltro.github.io/CFCARTA/</w:t>
      </w:r>
    </w:p>
    <w:p w:rsidR="00000000" w:rsidDel="00000000" w:rsidP="00000000" w:rsidRDefault="00000000" w:rsidRPr="00000000" w14:paraId="0000007F">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Coffelia. (2026). Menú de Coffelia [Menú en línea]. Recuperado el 28 de octubre de 2026, de https://coffelia.com.co/menu/</w:t>
      </w:r>
    </w:p>
    <w:p w:rsidR="00000000" w:rsidDel="00000000" w:rsidP="00000000" w:rsidRDefault="00000000" w:rsidRPr="00000000" w14:paraId="00000080">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Congreso de la República de Colombia. (1983). Ley 51 de 1983, por la cual se traslada el descanso remunerado de algunos días festivos. Diario Oficial No. 36.428. https://normativa.colpensiones.gov.co/colpens/docs/ley_0051_1983.htm</w:t>
      </w:r>
    </w:p>
    <w:p w:rsidR="00000000" w:rsidDel="00000000" w:rsidP="00000000" w:rsidRDefault="00000000" w:rsidRPr="00000000" w14:paraId="00000081">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Congreso de la República de Colombia. (2012, 17 de octubre). Ley Estatutaria 1581 de 2012, por la cual se dictan disposiciones generales para la protección de datos personales. https://www.funcionpublica.gov.co/eva/gestornormativo/norma.php?i=49981</w:t>
      </w:r>
    </w:p>
    <w:p w:rsidR="00000000" w:rsidDel="00000000" w:rsidP="00000000" w:rsidRDefault="00000000" w:rsidRPr="00000000" w14:paraId="00000082">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CORE Project. (2019). Doing Economics: Empirical projects (E. Tipoe y R. Becker; versión 1.4.0 consultada). https://www.core-econ.org/doing-economics/</w:t>
      </w:r>
    </w:p>
    <w:p w:rsidR="00000000" w:rsidDel="00000000" w:rsidP="00000000" w:rsidRDefault="00000000" w:rsidRPr="00000000" w14:paraId="00000083">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Cummings, R. G., y Taylor, L. O. (1999). Unbiased value estimates for environmental goods: A cheap talk design for the contingent valuation method. American Economic Review, 89(3), 649–665. https://doi.org/10.1257/aer.89.3.649</w:t>
      </w:r>
    </w:p>
    <w:p w:rsidR="00000000" w:rsidDel="00000000" w:rsidP="00000000" w:rsidRDefault="00000000" w:rsidRPr="00000000" w14:paraId="00000084">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Decreto 1469 de 2025. (2025, 29 de diciembre). Por el cual se fija el salario mínimo mensual legal. Presidencia de la República de Colombia y Ministerio del Trabajo. https://normativa.colpensiones.gov.co/compilacion/docs/decreto_1469_2025.htm</w:t>
      </w:r>
    </w:p>
    <w:p w:rsidR="00000000" w:rsidDel="00000000" w:rsidP="00000000" w:rsidRDefault="00000000" w:rsidRPr="00000000" w14:paraId="00000085">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Field, A. (2013). Discovering statistics using IBM SPSS Statistics (4.ª ed.). SAGE.</w:t>
      </w:r>
    </w:p>
    <w:p w:rsidR="00000000" w:rsidDel="00000000" w:rsidP="00000000" w:rsidRDefault="00000000" w:rsidRPr="00000000" w14:paraId="00000086">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Groothuis, P. A., y Whitehead, J. C. (2002). Does don't know mean no? Analysis of "don't know" responses in dichotomous choice contingent valuation questions. Applied Economics, 34(15), 1935–1940. https://doi.org/10.1080/00036840210128717</w:t>
      </w:r>
    </w:p>
    <w:p w:rsidR="00000000" w:rsidDel="00000000" w:rsidP="00000000" w:rsidRDefault="00000000" w:rsidRPr="00000000" w14:paraId="00000087">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Gunatilake, H., Yang, J.-C., Pattanayak, S., y Choe, K. A. (2007). Good practices for estimating reliable willingness-to-pay values in the water supply and sanitation sector (ERD Technical Note Series No. 23). Asian Development Bank. https://www.adb.org/sites/default/files/publication/29866/tn-23-good-practices-willingness-pay-values.pdf</w:t>
      </w:r>
    </w:p>
    <w:p w:rsidR="00000000" w:rsidDel="00000000" w:rsidP="00000000" w:rsidRDefault="00000000" w:rsidRPr="00000000" w14:paraId="00000088">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Haab, T. C., y McConnell, K. E. (2002). Valuing environmental and natural resources: The econometrics of non-market valuation. Edward Elgar.</w:t>
      </w:r>
    </w:p>
    <w:p w:rsidR="00000000" w:rsidDel="00000000" w:rsidP="00000000" w:rsidRDefault="00000000" w:rsidRPr="00000000" w14:paraId="00000089">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Hanemann, M., Loomis, J., y Kanninen, B. (1991). Statistical efficiency of double-bounded dichotomous choice contingent valuation. American Journal of Agricultural Economics, 73(4), 1255–1263. https://doi.org/10.2307/1242453</w:t>
      </w:r>
    </w:p>
    <w:p w:rsidR="00000000" w:rsidDel="00000000" w:rsidP="00000000" w:rsidRDefault="00000000" w:rsidRPr="00000000" w14:paraId="0000008A">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Herriges, J. A., y Shogren, J. F. (1996). Starting point bias in dichotomous choice valuation with follow-up questioning. Journal of Environmental Economics and Management, 30(1), 112–131. https://ideas.repec.org/a/eee/jeeman/v30y1996i1p112-131.html</w:t>
      </w:r>
    </w:p>
    <w:p w:rsidR="00000000" w:rsidDel="00000000" w:rsidP="00000000" w:rsidRDefault="00000000" w:rsidRPr="00000000" w14:paraId="0000008B">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Johnston, R. J., Boyle, K. J., Adamowicz, W., Bennett, J., Brouwer, R., Cameron, T. A., Hanemann, W. M., Hanley, N., Ryan, M., Scarpa, R., Tourangeau, R., y Vossler, C. A. (2017). Contemporary guidance for stated preference studies. Journal of the Association of Environmental and Resource Economists, 4(2), 319–405. https://doi.org/10.1086/691697</w:t>
      </w:r>
    </w:p>
    <w:p w:rsidR="00000000" w:rsidDel="00000000" w:rsidP="00000000" w:rsidRDefault="00000000" w:rsidRPr="00000000" w14:paraId="0000008C">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Miller, K. M., Hofstetter, R., Krohmer, H., y Zhang, Z. J. (2011). How should consumers' willingness to pay be measured? An empirical comparison of state-of-the-art approaches. Journal of Marketing Research, 48(1), 172–184. https://doi.org/10.1509/jmkr.48.1.172</w:t>
      </w:r>
    </w:p>
    <w:p w:rsidR="00000000" w:rsidDel="00000000" w:rsidP="00000000" w:rsidRDefault="00000000" w:rsidRPr="00000000" w14:paraId="0000008D">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Murillo Herrera, J. M. (2026, 17 de julio). Revive el aumento del salario mínimo del 23% tras importante fallo del Consejo de Estado. Portafolio. https://www.portafolio.co/economia/gobierno/consejo-de-estado-reactiva-el-aumento-del-23-del-salario-minimo-de-2026-esto-determino-498416</w:t>
      </w:r>
    </w:p>
    <w:p w:rsidR="00000000" w:rsidDel="00000000" w:rsidP="00000000" w:rsidRDefault="00000000" w:rsidRPr="00000000" w14:paraId="0000008E">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Murphy, J. J., Allen, P. G., Stevens, T. H., y Weatherhead, D. (2005). A meta-analysis of hypothetical bias in stated preference valuation. Environmental and Resource Economics, 30(3), 313–325. https://doi.org/10.1007/s10640-004-3332-z</w:t>
      </w:r>
    </w:p>
    <w:p w:rsidR="00000000" w:rsidDel="00000000" w:rsidP="00000000" w:rsidRDefault="00000000" w:rsidRPr="00000000" w14:paraId="0000008F">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Pulled. (s. f.). Bogota [Directorio de cafeterías]. Recuperado el 28 de octubre de 2026, de https://www.pulled.coffee/city/bogota</w:t>
      </w:r>
    </w:p>
    <w:p w:rsidR="00000000" w:rsidDel="00000000" w:rsidP="00000000" w:rsidRDefault="00000000" w:rsidRPr="00000000" w14:paraId="00000090">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Rappi. (2026a). Colo Coffee – Chapinero: precios y menú a domicilio. Recuperado el 28 de octubre de 2026, de https://www.rappi.com.co/restaurantes/900405608-colo-coffee</w:t>
      </w:r>
    </w:p>
    <w:p w:rsidR="00000000" w:rsidDel="00000000" w:rsidP="00000000" w:rsidRDefault="00000000" w:rsidRPr="00000000" w14:paraId="00000091">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Rappi. (2026b). Libertario Coffee Roasters – Chapinero: precios y menú a domicilio. Recuperado el 28 de octubre de 2026, de https://www.rappi.com.co/restaurantes/900065039-libertario-coffee-roasters</w:t>
      </w:r>
    </w:p>
    <w:p w:rsidR="00000000" w:rsidDel="00000000" w:rsidP="00000000" w:rsidRDefault="00000000" w:rsidRPr="00000000" w14:paraId="00000092">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Ready, R. C., Whitehead, J. C., y Blomquist, G. C. (1995). Contingent valuation when respondents are ambivalent. Journal of Environmental Economics and Management, 29(2), 181–196. https://doi.org/10.1006/jeem.1995.1040</w:t>
      </w:r>
    </w:p>
    <w:p w:rsidR="00000000" w:rsidDel="00000000" w:rsidP="00000000" w:rsidRDefault="00000000" w:rsidRPr="00000000" w14:paraId="00000093">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Rodríguez Lesmes, P. (2026). Doing Economics: Revisión de literatura y obtención de datos [Diapositivas de clase, "6. Acquiring data"]. Universidad del Rosario.</w:t>
      </w:r>
    </w:p>
    <w:p w:rsidR="00000000" w:rsidDel="00000000" w:rsidP="00000000" w:rsidRDefault="00000000" w:rsidRPr="00000000" w14:paraId="00000094">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Schwabish, J. (2021). Better data visualizations: A guide for scholars, researchers, and wonks. Columbia University Press.</w:t>
      </w:r>
    </w:p>
    <w:p w:rsidR="00000000" w:rsidDel="00000000" w:rsidP="00000000" w:rsidRDefault="00000000" w:rsidRPr="00000000" w14:paraId="00000095">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Sectacafetera. (2026, 25 de septiembre). Mejores cafés de Bogotá 2026: ruta de especialidad. https://sectacafetera.com/mejores-cafes-de-bogota/</w:t>
      </w:r>
    </w:p>
    <w:p w:rsidR="00000000" w:rsidDel="00000000" w:rsidP="00000000" w:rsidRDefault="00000000" w:rsidRPr="00000000" w14:paraId="00000096">
      <w:pPr>
        <w:spacing w:after="50" w:line="240" w:lineRule="auto"/>
        <w:ind w:left="567" w:hanging="56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Silva Hernández, B. F. (2026, 10 de octubre). Salario mínimo de 2026 sigue en $1.750.905 tras aclaración sobre fallos del Consejo de Estado. Portafolio. https://www.portafolio.co/economia/gobierno/salario-minimo-de-2026-sigue-en-1-750-905-millones-tras-aclaracion-sobre-fallos-del-consejo-de-estado-504236</w:t>
      </w:r>
    </w:p>
    <w:p w:rsidR="00000000" w:rsidDel="00000000" w:rsidP="00000000" w:rsidRDefault="00000000" w:rsidRPr="00000000" w14:paraId="00000097">
      <w:pPr>
        <w:spacing w:after="50" w:line="240" w:lineRule="auto"/>
        <w:ind w:left="567" w:hanging="567"/>
        <w:rPr>
          <w:rFonts w:ascii="Times New Roman" w:cs="Times New Roman" w:eastAsia="Times New Roman" w:hAnsi="Times New Roman"/>
          <w:sz w:val="22"/>
          <w:szCs w:val="22"/>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18" w:top="1418" w:left="1418" w:right="1418"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spacing w:after="0" w:lineRule="auto"/>
      <w:jc w:val="center"/>
      <w:rPr/>
    </w:pPr>
    <w:r w:rsidDel="00000000" w:rsidR="00000000" w:rsidRPr="00000000">
      <w:rPr>
        <w:color w:val="6d6d6d"/>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spacing w:after="0" w:lineRule="auto"/>
      <w:jc w:val="center"/>
      <w:rPr/>
    </w:pPr>
    <w:r w:rsidDel="00000000" w:rsidR="00000000" w:rsidRPr="00000000">
      <w:rPr>
        <w:color w:val="6d6d6d"/>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O"/>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d7ccc8" w:space="4" w:sz="4" w:val="single"/>
      </w:pBdr>
      <w:spacing w:after="80" w:before="200" w:lineRule="auto"/>
    </w:pPr>
    <w:rPr>
      <w:rFonts w:ascii="Calibri" w:cs="Calibri" w:eastAsia="Calibri" w:hAnsi="Calibri"/>
      <w:b w:val="1"/>
      <w:bCs w:val="1"/>
      <w:color w:val="3e2723"/>
      <w:sz w:val="25"/>
      <w:szCs w:val="25"/>
    </w:rPr>
  </w:style>
  <w:style w:type="paragraph" w:styleId="Heading2">
    <w:name w:val="heading 2"/>
    <w:basedOn w:val="Normal"/>
    <w:next w:val="Normal"/>
    <w:pPr>
      <w:keepNext w:val="1"/>
      <w:keepLines w:val="1"/>
      <w:spacing w:after="100" w:before="260" w:lineRule="auto"/>
    </w:pPr>
    <w:rPr>
      <w:rFonts w:ascii="Calibri" w:cs="Calibri" w:eastAsia="Calibri" w:hAnsi="Calibri"/>
      <w:b w:val="1"/>
      <w:bCs w:val="1"/>
      <w:color w:val="4e342e"/>
      <w:sz w:val="24"/>
      <w:szCs w:val="24"/>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