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del Rosario</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Haciendo Economía - 2026-2</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Paul Rodríguez L.</w:t>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Santiago Gómez, Camilo Ospina, David Pascagaza y Emily Rodríguez</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¿Quién paga la diferencia? Disposición a pagar por café de especialidad en Chapinero, Bogotá</w:t>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 temático: Demanda y comportamiento del consumidor</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p w:rsidR="00000000" w:rsidDel="00000000" w:rsidP="00000000" w:rsidRDefault="00000000" w:rsidRPr="00000000" w14:paraId="0000000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Bogotá, el café está en todas partes. Lo vende un tintero en la esquina, una panadería, una cadena o una cafetería de especialidad. Un mismo consumidor puede pagar por un tinto en la calle una fracción de lo que cuesta un filtrado de origen en una barra de especialidad. La pregunta económica es quién está dispuesto a pagar esa diferencia y por qué.</w:t>
      </w:r>
      <w:r w:rsidDel="00000000" w:rsidR="00000000" w:rsidRPr="00000000">
        <w:rPr>
          <w:rtl w:val="0"/>
        </w:rPr>
      </w:r>
    </w:p>
    <w:p w:rsidR="00000000" w:rsidDel="00000000" w:rsidP="00000000" w:rsidRDefault="00000000" w:rsidRPr="00000000" w14:paraId="0000000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Jaimes (2026) documenta un cambio en la forma en que los colombianos eligen su café. Según el estudio de mercado Consumer Understanding and Usage Study (CUAS) que cita el autor, el sabor desplazó al precio como principal criterio para escoger una marca y para probar nuevas referencias, y las generaciones más jóvenes muestran mayor interés por cafés de origen, métodos alternativos y cafeterías especializadas. El mercado acompaña ese cambio: según datos de NielsenIQ que reporta el mismo artículo, el café empacado en supermercados mueve cerca de US$550 millones y creció más de 40 % en dos años (Jaimes, 2026). Hasta aquí llega lo que afirma la fuente. La interpretación económica es nuestra: si el consumidor elige por atributos como el sabor, el origen o la experiencia, y no solo por el precio, podría estar dispuesto a pagar una prima por ellos. La planteamos como una hipótesis y no como una conclusión, porque la importancia que se declara por un atributo no implica por sí sola que la demanda sea menos sensible al precio; para saberlo hay que medir cuánto se paga.</w:t>
      </w:r>
    </w:p>
    <w:p w:rsidR="00000000" w:rsidDel="00000000" w:rsidP="00000000" w:rsidRDefault="00000000" w:rsidRPr="00000000" w14:paraId="0000000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fuentes apuntan en la misma dirección. Aunque Colombia exporta cerca del 94 % de su producción y su consumo interno, de unos 2,2 millones de sacos al año, está estancado desde 2020 (Bloomberg Línea, 2024), los hogares pagaron 15 % más por gramo de café en el primer semestre de 2023 (Suárez, 2023). Es decir, no se toma mucho más café, pero se paga más por él. Y el mercado de cafés especiales crece impulsado por consumidores “dispuestos a pagar más” (Colombia Más Competitiva, 2026). El Distrito también reconoce el segmento: en 2025, la Secretaría Distrital de Desarrollo Económico y el Instituto Distrital de Turismo reconocieron a 25 cafeterías de especialidad como embajadoras del café colombiano y anunciaron que Bogotá será sede del World of Coffee 2027 (Alcaldía Mayor de Bogotá, 2025).</w:t>
      </w:r>
    </w:p>
    <w:p w:rsidR="00000000" w:rsidDel="00000000" w:rsidP="00000000" w:rsidRDefault="00000000" w:rsidRPr="00000000" w14:paraId="0000000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ninguna de estas fuentes dice cuánto más se paga ni quién lo paga. El estudio que cita Jaimes (2026) no publica esas cifras y se refiere al café empacado; las estadísticas oficiales que miden el consumo de café en los hogares no distingue el tipo de establecimiento ni el precio por taza (Federación Nacional de Cafeteros de Colombia [FNC], 2019), y la única estimación local de la disposición a pagar también trata sobre café empacado (Vaca Neira, 2014). Este proyecto lleva la pregunta a la cafetería de especialidad, donde la prima se paga en la práctica.</w:t>
      </w:r>
    </w:p>
    <w:p w:rsidR="00000000" w:rsidDel="00000000" w:rsidP="00000000" w:rsidRDefault="00000000" w:rsidRPr="00000000" w14:paraId="0000000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estudiar esa prima partimos de una idea de la teoría del consumidor: una bebida de especialidad es un conjunto de atributos, como el sabor y el aroma, el origen, el método de preparación, el servicio y el espacio, y el consumidor la valora por esos atributos y no por la bebida en sí (Lancaster, 1966). No todos los consumidores valoran igual esos atributos. La literatura ordena los determinantes del consumo de café en cinco categorías: preferencias personales, atributos económicos, atributos del producto, contexto de consumo y rasgos sociodemográficos (Samoggia y Riedel, 2018). Este proyecto se concentra en tres características que pueden observarse directamente en el cliente: su nivel socioeconómico, su conocimiento del café y sus hábitos de consumo. La Figura 1 ordena estas conexiones y guía el resto del documento.</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520"/>
        <w:gridCol w:w="2660"/>
        <w:gridCol w:w="520"/>
        <w:gridCol w:w="2660"/>
        <w:tblGridChange w:id="0">
          <w:tblGrid>
            <w:gridCol w:w="2660"/>
            <w:gridCol w:w="520"/>
            <w:gridCol w:w="2660"/>
            <w:gridCol w:w="520"/>
            <w:gridCol w:w="2660"/>
          </w:tblGrid>
        </w:tblGridChange>
      </w:tblGrid>
      <w:tr>
        <w:trPr>
          <w:cantSplit w:val="0"/>
          <w:tblHeader w:val="0"/>
        </w:trPr>
        <w:tc>
          <w:tcPr>
            <w:tcBorders>
              <w:top w:color="ffffff" w:space="0" w:sz="24" w:val="single"/>
              <w:left w:color="ffffff" w:space="0" w:sz="24" w:val="single"/>
              <w:bottom w:color="ffffff" w:space="0" w:sz="24" w:val="single"/>
              <w:right w:color="ffffff" w:space="0" w:sz="24" w:val="single"/>
            </w:tcBorders>
            <w:shd w:fill="1f4e5f" w:val="clear"/>
            <w:tcMar>
              <w:top w:w="120.0" w:type="dxa"/>
              <w:bottom w:w="12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Características del consumidor</w:t>
            </w:r>
          </w:p>
        </w:tc>
        <w:tc>
          <w:tcPr>
            <w:tcBorders>
              <w:top w:color="ffffff" w:space="0" w:sz="24" w:val="single"/>
              <w:left w:color="ffffff" w:space="0" w:sz="24" w:val="single"/>
              <w:bottom w:color="ffffff" w:space="0" w:sz="24" w:val="single"/>
              <w:right w:color="ffffff" w:space="0" w:sz="24" w:val="single"/>
            </w:tcBorders>
            <w:shd w:fill="auto" w:val="clear"/>
            <w:tcMar>
              <w:top w:w="120.0" w:type="dxa"/>
              <w:left w:w="0.0" w:type="dxa"/>
              <w:bottom w:w="120.0" w:type="dxa"/>
              <w:right w:w="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1f4e5f" w:val="clear"/>
            <w:tcMar>
              <w:top w:w="120.0" w:type="dxa"/>
              <w:bottom w:w="12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Valoración de los atributos de la bebida</w:t>
            </w:r>
          </w:p>
        </w:tc>
        <w:tc>
          <w:tcPr>
            <w:tcBorders>
              <w:top w:color="ffffff" w:space="0" w:sz="24" w:val="single"/>
              <w:left w:color="ffffff" w:space="0" w:sz="24" w:val="single"/>
              <w:bottom w:color="ffffff" w:space="0" w:sz="24" w:val="single"/>
              <w:right w:color="ffffff" w:space="0" w:sz="24" w:val="single"/>
            </w:tcBorders>
            <w:shd w:fill="auto" w:val="clear"/>
            <w:tcMar>
              <w:top w:w="120.0" w:type="dxa"/>
              <w:left w:w="0.0" w:type="dxa"/>
              <w:bottom w:w="120.0" w:type="dxa"/>
              <w:right w:w="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1f4e5f" w:val="clear"/>
            <w:tcMar>
              <w:top w:w="120.0" w:type="dxa"/>
              <w:bottom w:w="12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Disposición a pagar</w:t>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8f0f2" w:val="clear"/>
            <w:tcMar>
              <w:top w:w="120.0" w:type="dxa"/>
              <w:bottom w:w="12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socioeconómico (estrato, ocupación, edad)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Conocimiento del café</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Hábitos de consumo (frecuencia, lugar)</w:t>
            </w:r>
          </w:p>
        </w:tc>
        <w:tc>
          <w:tcPr>
            <w:tcBorders>
              <w:top w:color="ffffff" w:space="0" w:sz="24" w:val="single"/>
              <w:left w:color="ffffff" w:space="0" w:sz="24" w:val="single"/>
              <w:bottom w:color="ffffff" w:space="0" w:sz="24" w:val="single"/>
              <w:right w:color="ffffff" w:space="0" w:sz="24" w:val="single"/>
            </w:tcBorders>
            <w:shd w:fill="auto" w:val="clear"/>
            <w:tcMar>
              <w:top w:w="120.0" w:type="dxa"/>
              <w:left w:w="0.0" w:type="dxa"/>
              <w:bottom w:w="120.0" w:type="dxa"/>
              <w:right w:w="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b w:val="1"/>
                <w:bCs w:val="1"/>
                <w:color w:val="1f4e5f"/>
                <w:sz w:val="36"/>
                <w:szCs w:val="36"/>
              </w:rPr>
            </w:pPr>
            <w:r w:rsidDel="00000000" w:rsidR="00000000" w:rsidRPr="00000000">
              <w:rPr>
                <w:rFonts w:ascii="Arial Unicode MS" w:cs="Arial Unicode MS" w:eastAsia="Arial Unicode MS" w:hAnsi="Arial Unicode MS"/>
                <w:b w:val="1"/>
                <w:bCs w:val="1"/>
                <w:color w:val="1f4e5f"/>
                <w:sz w:val="36"/>
                <w:szCs w:val="36"/>
                <w:rtl w:val="0"/>
              </w:rPr>
              <w:t xml:space="preserve">→</w:t>
            </w:r>
          </w:p>
        </w:tc>
        <w:tc>
          <w:tcPr>
            <w:tcBorders>
              <w:top w:color="ffffff" w:space="0" w:sz="24" w:val="single"/>
              <w:left w:color="ffffff" w:space="0" w:sz="24" w:val="single"/>
              <w:bottom w:color="ffffff" w:space="0" w:sz="24" w:val="single"/>
              <w:right w:color="ffffff" w:space="0" w:sz="24" w:val="single"/>
            </w:tcBorders>
            <w:shd w:fill="e8f0f2" w:val="clear"/>
            <w:tcMar>
              <w:top w:w="120.0" w:type="dxa"/>
              <w:bottom w:w="12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Experiencia: sabor y aroma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Credibilidad: origen y certificaciones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Método, servicio y espacio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como señal de calidad</w:t>
            </w:r>
          </w:p>
        </w:tc>
        <w:tc>
          <w:tcPr>
            <w:tcBorders>
              <w:top w:color="ffffff" w:space="0" w:sz="24" w:val="single"/>
              <w:left w:color="ffffff" w:space="0" w:sz="24" w:val="single"/>
              <w:bottom w:color="ffffff" w:space="0" w:sz="24" w:val="single"/>
              <w:right w:color="ffffff" w:space="0" w:sz="24" w:val="single"/>
            </w:tcBorders>
            <w:shd w:fill="auto" w:val="clear"/>
            <w:tcMar>
              <w:top w:w="120.0" w:type="dxa"/>
              <w:left w:w="0.0" w:type="dxa"/>
              <w:bottom w:w="120.0" w:type="dxa"/>
              <w:right w:w="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b w:val="1"/>
                <w:bCs w:val="1"/>
                <w:color w:val="1f4e5f"/>
                <w:sz w:val="36"/>
                <w:szCs w:val="36"/>
              </w:rPr>
            </w:pPr>
            <w:r w:rsidDel="00000000" w:rsidR="00000000" w:rsidRPr="00000000">
              <w:rPr>
                <w:rFonts w:ascii="Arial Unicode MS" w:cs="Arial Unicode MS" w:eastAsia="Arial Unicode MS" w:hAnsi="Arial Unicode MS"/>
                <w:b w:val="1"/>
                <w:bCs w:val="1"/>
                <w:color w:val="1f4e5f"/>
                <w:sz w:val="36"/>
                <w:szCs w:val="36"/>
                <w:rtl w:val="0"/>
              </w:rPr>
              <w:t xml:space="preserve">→</w:t>
            </w:r>
          </w:p>
        </w:tc>
        <w:tc>
          <w:tcPr>
            <w:tcBorders>
              <w:top w:color="ffffff" w:space="0" w:sz="24" w:val="single"/>
              <w:left w:color="ffffff" w:space="0" w:sz="24" w:val="single"/>
              <w:bottom w:color="ffffff" w:space="0" w:sz="24" w:val="single"/>
              <w:right w:color="ffffff" w:space="0" w:sz="24" w:val="single"/>
            </w:tcBorders>
            <w:shd w:fill="e8f0f2" w:val="clear"/>
            <w:tcMar>
              <w:top w:w="120.0" w:type="dxa"/>
              <w:bottom w:w="12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DAP por la bebida de referencia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 frente al tinto tradicional</w:t>
            </w:r>
          </w:p>
        </w:tc>
      </w:tr>
    </w:tbl>
    <w:p w:rsidR="00000000" w:rsidDel="00000000" w:rsidP="00000000" w:rsidRDefault="00000000" w:rsidRPr="00000000" w14:paraId="0000001F">
      <w:pPr>
        <w:spacing w:after="240" w:before="80" w:lineRule="auto"/>
        <w:ind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1. Marco conceptual del proyecto: las características del consumidor cambian la valoración de los atributos de la bebida y, con ella, la disposición a pagar. Elaboración propia.</w:t>
      </w:r>
    </w:p>
    <w:p w:rsidR="00000000" w:rsidDel="00000000" w:rsidP="00000000" w:rsidRDefault="00000000" w:rsidRPr="00000000" w14:paraId="0000002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Conviene precisar qué se promete medir. El objetivo es conocer la disposición a pagar (DAP) por una bebida de referencia, es decir, el monto máximo que cada cliente pagaría por la taza completa, y la prima que esa DAP implica frente al tinto tradicional. El estudio no busca separar cuánto vale cada atributo por separado, que es una pregunta distinta y requeriría otro diseño, como un experimento de elección. Los atributos entran de forma descriptiva, a partir de lo que los clientes declaran priorizar.</w:t>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lo anterior, nos preguntamos: ¿cómo varía la disposición a pagar por una bebida de especialidad y la prima que esta implica frente al tinto tradicional según el nivel socioeconómico, el conocimiento del café y los hábitos de consumo de los clientes de cafeterías de especialidad en Chapinero, Bogotá? Esta pregunta se desarrolla en cuatro preguntas específicas. La primera es cuánto se paga: cómo se distribuye la DAP por la bebida de referencia entre los clientes y qué prima representa sobre el tinto. Las otras tres corresponden a las dimensiones de la pregunta general: si la DAP y la prima difieren según el nivel socioeconómico del cliente (estrato, ocupación y rango de edad), según su grado de conocimiento del café y según sus hábitos de consumo (frecuencia de visita y lugar habitual de consumo). De forma complementaria, el estudio describe qué atributos de la bebida y de la experiencia (sabor, aroma, origen, método de preparación, precio, ambiente y servicio) declaran priorizar los clientes con mayor y menor DAP, sin asignarle un precio a cada uno.</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sentido comparar a los clientes según estas tres dimensiones porque la literatura asocia cada una con la disposición a pagar. La primera es el nivel socioeconómico (estrato, ocupación y rango de edad): el ingreso y la educación se asocian con una mayor disposición a pagar por café diferenciado (Valenciano-Salazar et al., 2021). La segunda es el conocimiento del café, que cambia la forma en que el consumidor percibe la calidad y, por tanto, lo que está dispuesto a pagar por ella (Giacalone et al., 2016; dos Santos et al., 2021). La tercera son los hábitos de consumo, como la frecuencia de visita y el lugar habitual de consumo: quienes consumen o planean consumir más café están dispuestos a pagar más por taza (Yang et al., 2012), y los compradores habituales de café son menos sensibles al precio al elegir marca (Krishnamurthi y Raj, 1991).</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w:t>
      </w:r>
    </w:p>
    <w:p w:rsidR="00000000" w:rsidDel="00000000" w:rsidP="00000000" w:rsidRDefault="00000000" w:rsidRPr="00000000" w14:paraId="00000027">
      <w:pPr>
        <w:spacing w:line="36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es descriptiva y cuantitativa. Su población de referencia son las personas de 18 años o más que compran una bebida en cafeterías de especialidad de Chapinero durante el trabajo de campo. La unidad de observación es el cliente encuestado en una visita. El trabajo de campo se concentrará en Chapinero, una sola zona con buena variabilidad de clientes. La localidad concentra residentes con niveles educativos muy altos: en su zona urbana, el 79,0 % de las personas de 15 años o más tiene educación superior, frente al 46,8 % del total urbano de Bogotá, y el 32,9 % de los hogares es unipersonal (Departamento Administrativo Nacional de Estadística [DANE] y Secretaría Distrital de Planeación [SDP], 2022). Su mercado laboral es más formal que el de la ciudad, con una tasa de informalidad de 25 % frente a 42,4 % en Bogotá (Secretaría Distrital de Integración Social [SDIS], 2022). Al mismo tiempo, en Chapinero conviven zonas de altos ingresos con barrios de origen informal (Ruiz Solano, 2017). Esa mezcla ofrece clientes de perfiles diversos en un área acotada, lo que permite encuestar a muchos consumidores en un número moderado de cafeterías. Se considera cafetería de especialidad la que ofrece al menos un método de filtrado e informa el origen del café en su carta. Los resultados describirán a los clientes de las tiendas visitadas, no a todos los consumidores de café de la ciudad, y las relaciones que se encuentren serán asociaciones, no efectos causales. Por último, la forma de medir la DAP es la decisión central del instrumento y se definirá en la siguiente entrega, siguiendo la sugerencia del profesor de construirlo a partir de The WTP Elicitation Question Tree.</w:t>
      </w:r>
    </w:p>
    <w:p w:rsidR="00000000" w:rsidDel="00000000" w:rsidP="00000000" w:rsidRDefault="00000000" w:rsidRPr="00000000" w14:paraId="00000028">
      <w:pPr>
        <w:spacing w:line="360" w:lineRule="auto"/>
        <w:ind w:left="0" w:firstLine="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teórico</w:t>
      </w:r>
    </w:p>
    <w:p w:rsidR="00000000" w:rsidDel="00000000" w:rsidP="00000000" w:rsidRDefault="00000000" w:rsidRPr="00000000" w14:paraId="0000002A">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tinto de panadería y un café filtrado de origen son, en lo básico, la misma bebida: café negro servido en una taza. Tampoco es obvio que quien los toma perciba la diferencia: en un experimento con consumidores sin entrenamiento, la preferencia se dividió por igual entre un café de alta calidad y uno corriente, y los participantes no identificaron el más caro mejor que al azar (Giacalone et al., 2016). Que algunas personas paguen bastante más por el filtrado no se explica, entonces, por una diferencia evidente en la taza, sino que es un problema clásico de demanda de bienes diferenciados (Lancaster, 1966). Este marco sigue las conexiones de la Figura 1: primero, la bebida como conjunto de atributos y la disposición a pagar que de ahí se deriva; después, las tres dimensiones del consumidor que pueden cambiar esa valoración.</w:t>
      </w:r>
    </w:p>
    <w:p w:rsidR="00000000" w:rsidDel="00000000" w:rsidP="00000000" w:rsidRDefault="00000000" w:rsidRPr="00000000" w14:paraId="0000002B">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Lancaster (1966) propuso que las personas no obtienen utilidad de los bienes en sí, sino de las características que contienen. Una bebida de especialidad reúne calidad sensorial, información sobre el origen, un método de preparación y un servicio prestado en un espacio; el tinto comparte la característica básica, pero ofrece poco de las demás. La prima que un cliente está dispuesto a pagar por el filtrado frente al tinto puede leerse, así, como la valoración monetaria de esas características adicionales. Como esa valoración cambia entre personas, cada tienda enfrenta una demanda con pendiente negativa y no un precio de mercado único (CORE Econ, 2023), y esa heterogeneidad entre clientes es precisamente lo que el estudio quiere describir.</w:t>
      </w:r>
    </w:p>
    <w:p w:rsidR="00000000" w:rsidDel="00000000" w:rsidP="00000000" w:rsidRDefault="00000000" w:rsidRPr="00000000" w14:paraId="0000002C">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disposición a pagar (DAP) es la cantidad máxima que una persona pagaría por adquirir una unidad de un bien (CORE Econ, 2023). Si se ordena a los consumidores de mayor a menor DAP, la proporción cuya DAP iguala o supera cada precio es la cantidad demandada a ese precio: la distribución de la DAP es la curva de demanda. Esto permite usar una encuesta para describir la demanda que enfrentan las tiendas, con un límite que debe declararse. Quien ya compró una bebida reveló que la valora al menos en su precio, de modo que entre los clientes de una cafetería la DAP tiene un piso. La encuesta describe la parte alta de la curva, la de quienes ya cruzaron la puerta, y por eso el estudio compara a los clientes entre sí en lugar de estimar cuántos bogotanos comprarían café de especialidad a cada precio.</w:t>
      </w:r>
    </w:p>
    <w:p w:rsidR="00000000" w:rsidDel="00000000" w:rsidP="00000000" w:rsidRDefault="00000000" w:rsidRPr="00000000" w14:paraId="0000002D">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primera dimensión es el nivel socioeconómico, que entra por la restricción presupuestaria. Si el café de especialidad es un bien normal, un mayor ingreso debería acompañarse de una mayor DAP, y la evidencia va en esa dirección: en Costa Rica, el ingreso y la educación se asocian con pagar una prima por café certificado y con el monto de esa prima (Valenciano-Salazar et al., 2021). En Colombia, en cambio, la educación superior se asocia con una menor probabilidad de que el hogar consuma café (FNC, 2019). No hay contradicción, porque decidir si se consume café y decidir cuánto se paga por su calidad son márgenes distintos. En Bogotá, la medida más usada de posición socioeconómica es el estrato, que clasifica la vivienda como aproximación a la capacidad de pago y no mide el ingreso de quien responde (Uribe Mallarino y Pardo Pérez, 2006), aunque los bogotanos lo asimilaron como un indicador de ingreso y de reconocimiento social (Yunda, 2019). Para la encuesta, el estrato es fácil de responder, pero debe leerse como un indicador del entorno residencial y no como el ingreso de cada persona.</w:t>
      </w:r>
    </w:p>
    <w:p w:rsidR="00000000" w:rsidDel="00000000" w:rsidP="00000000" w:rsidRDefault="00000000" w:rsidRPr="00000000" w14:paraId="0000002E">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dimensión es el conocimiento del café, que importa porque la calidad de una taza no se observa antes de comprarla. Nelson (1970) distinguió entre bienes de búsqueda, cuya calidad se conoce antes de comprar, y bienes de experiencia, cuya calidad sólo se descubre al consumirlos, como el sabor. Darby y Karni (1973) añadieron los atributos de credibilidad, que el consumidor no puede verificar ni siquiera después de consumir, como el origen que anuncia la carta. Estos atributos pesan en la elección: en un experimento de elección con consumidores de Colombia y España, ambos grupos valoraron altamente el café de comercio justo y prefirieron el de origen colombiano (Sepúlveda et al., 2016). Cuando la calidad es difícil de juzgar, el consumidor se forma una calidad percibida a partir de señales como el precio, la marca o el lugar (Zeithaml, 1988), y la pericia cambia ese proceso, porque quién sabe más distingue mejor los atributos (Alba y Hutchinson, 1987). En Brasil, los consumidores de especialidad se agrupan en regulares, entusiastas y expertos con criterios de compra distintos (Guimarães et al., 2019), y el paso de un grupo a otro se asocia con conocimiento conceptual y perceptual (dos Santos et al., 2021). En Bogotá, la etnografía de Plazas Moncada (2020) muestra que el gusto por la especialidad se aprende en barras y catas, y que no todos los que lo prueban aceptan la prima.</w:t>
      </w:r>
    </w:p>
    <w:p w:rsidR="00000000" w:rsidDel="00000000" w:rsidP="00000000" w:rsidRDefault="00000000" w:rsidRPr="00000000" w14:paraId="0000002F">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aquí surge una tensión. Un cliente que sabe más percibe mejor las diferencias de calidad y, si las prefiere, debería pagar más por ellas. Pero un cliente que sabe poco también puede pagar más si toma el precio como señal de calidad: en un experimento con etiquetas de café de especialidad, la DAP estimada superó el precio más alto mostrado (Teixeira et al., 2024). Los atributos de credibilidad también tienen precio: en un experimento de campo en una cafetería de especialidad, con compras reales, los clientes pagaron en promedio US$1,31 más por una taza de filtrado producida por una cooperativa, una prima que se explicó mejor por rasgos de personalidad que por variables sociodemográficas (Ufer et al., 2019). El signo de la relación entre conocimiento y DAP es, por tanto, una pregunta empírica que las fuentes colombianas consultadas no han examinado.</w:t>
      </w:r>
    </w:p>
    <w:p w:rsidR="00000000" w:rsidDel="00000000" w:rsidP="00000000" w:rsidRDefault="00000000" w:rsidRPr="00000000" w14:paraId="00000030">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tercera dimensión son los hábitos de consumo. Una taza es un gasto pequeño, pero un hábito no lo es: la frecuencia multiplica el precio y convierte una decisión menor en una partida del presupuesto mensual. Además, el café se comporta como un bien de adicción racional, en el que consumir hoy aumenta lo deseable que resulta consumir mañana (Becker y Murphy, 1988; Olekalns y Bardsley, 1996). La experiencia acumulada es también una forma de aprender a distinguir calidades, y el motivo de la visita, ya sea trabajar, reunirse o comprar para llevar, cambia cuánto pesan el servicio y el espacio; en algunos contextos, la cafetería funciona incluso como un lugar de consumo visible y compartido en redes sociales (Wang et al., 2024). La relación esperada entre frecuencia y DAP es ambigua, pues los clientes frecuentes pueden valorar más la especialidad, pero enfrentan una restricción más exigente por taza. La evidencia sobre café sugiere que la repetición importa: los consumidores leales a una marca de café molido resultan menos sensibles al precio al elegir, aunque más sensibles al decidir cuánto comprar (Krishnamurthi y Raj, 1991).</w:t>
      </w:r>
    </w:p>
    <w:p w:rsidR="00000000" w:rsidDel="00000000" w:rsidP="00000000" w:rsidRDefault="00000000" w:rsidRPr="00000000" w14:paraId="00000031">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2 resume este marco como un modelo de decisión de compra. Los insumos son las características de los clientes y de las cafeterías; las actividades, la valoración que cada cliente hace de los atributos de la taza y la fijación de precios por parte de la tienda; el producto, la compra de la bebida y la disposición a pagar por ella, y los resultados, las magnitudes que la encuesta debe describir.</w:t>
      </w:r>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400"/>
        <w:gridCol w:w="2100"/>
        <w:gridCol w:w="400"/>
        <w:gridCol w:w="1600"/>
        <w:gridCol w:w="400"/>
        <w:gridCol w:w="1760"/>
        <w:tblGridChange w:id="0">
          <w:tblGrid>
            <w:gridCol w:w="2360"/>
            <w:gridCol w:w="400"/>
            <w:gridCol w:w="2100"/>
            <w:gridCol w:w="400"/>
            <w:gridCol w:w="1600"/>
            <w:gridCol w:w="400"/>
            <w:gridCol w:w="1760"/>
          </w:tblGrid>
        </w:tblGridChange>
      </w:tblGrid>
      <w:tr>
        <w:trPr>
          <w:cantSplit w:val="0"/>
          <w:tblHeader w:val="0"/>
        </w:trPr>
        <w:tc>
          <w:tcPr>
            <w:tcBorders>
              <w:top w:color="ffffff"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b w:val="1"/>
                <w:bCs w:val="1"/>
                <w:color w:val="a6192e"/>
                <w:sz w:val="24"/>
                <w:szCs w:val="24"/>
              </w:rPr>
            </w:pPr>
            <w:r w:rsidDel="00000000" w:rsidR="00000000" w:rsidRPr="00000000">
              <w:rPr>
                <w:rFonts w:ascii="Times New Roman" w:cs="Times New Roman" w:eastAsia="Times New Roman" w:hAnsi="Times New Roman"/>
                <w:b w:val="1"/>
                <w:bCs w:val="1"/>
                <w:color w:val="a6192e"/>
                <w:sz w:val="24"/>
                <w:szCs w:val="24"/>
                <w:rtl w:val="0"/>
              </w:rPr>
              <w:t xml:space="preserve">Insumos</w:t>
            </w:r>
          </w:p>
        </w:tc>
        <w:tc>
          <w:tcPr>
            <w:tcBorders>
              <w:top w:color="ffffff" w:space="0" w:sz="8" w:val="single"/>
              <w:left w:color="ffffff" w:space="0" w:sz="8" w:val="single"/>
              <w:bottom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tl w:val="0"/>
              </w:rPr>
            </w:r>
          </w:p>
        </w:tc>
        <w:tc>
          <w:tcPr>
            <w:tcBorders>
              <w:top w:color="ffffff"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b w:val="1"/>
                <w:bCs w:val="1"/>
                <w:color w:val="a6192e"/>
                <w:sz w:val="24"/>
                <w:szCs w:val="24"/>
              </w:rPr>
            </w:pPr>
            <w:r w:rsidDel="00000000" w:rsidR="00000000" w:rsidRPr="00000000">
              <w:rPr>
                <w:rFonts w:ascii="Times New Roman" w:cs="Times New Roman" w:eastAsia="Times New Roman" w:hAnsi="Times New Roman"/>
                <w:b w:val="1"/>
                <w:bCs w:val="1"/>
                <w:color w:val="a6192e"/>
                <w:sz w:val="24"/>
                <w:szCs w:val="24"/>
                <w:rtl w:val="0"/>
              </w:rPr>
              <w:t xml:space="preserve">Actividades</w:t>
            </w:r>
          </w:p>
        </w:tc>
        <w:tc>
          <w:tcPr>
            <w:tcBorders>
              <w:top w:color="ffffff" w:space="0" w:sz="8" w:val="single"/>
              <w:left w:color="ffffff" w:space="0" w:sz="8" w:val="single"/>
              <w:bottom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b w:val="1"/>
                <w:bCs w:val="1"/>
                <w:color w:val="a6192e"/>
                <w:sz w:val="24"/>
                <w:szCs w:val="24"/>
              </w:rPr>
            </w:pPr>
            <w:r w:rsidDel="00000000" w:rsidR="00000000" w:rsidRPr="00000000">
              <w:rPr>
                <w:rFonts w:ascii="Times New Roman" w:cs="Times New Roman" w:eastAsia="Times New Roman" w:hAnsi="Times New Roman"/>
                <w:b w:val="1"/>
                <w:bCs w:val="1"/>
                <w:color w:val="a6192e"/>
                <w:sz w:val="24"/>
                <w:szCs w:val="24"/>
                <w:rtl w:val="0"/>
              </w:rPr>
              <w:t xml:space="preserve">Productos</w:t>
            </w:r>
          </w:p>
        </w:tc>
        <w:tc>
          <w:tcPr>
            <w:tcBorders>
              <w:top w:color="ffffff" w:space="0" w:sz="8" w:val="single"/>
              <w:left w:color="ffffff" w:space="0" w:sz="8" w:val="single"/>
              <w:bottom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tl w:val="0"/>
              </w:rPr>
            </w:r>
          </w:p>
        </w:tc>
        <w:tc>
          <w:tcPr>
            <w:tcBorders>
              <w:top w:color="ffffff"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b w:val="1"/>
                <w:bCs w:val="1"/>
                <w:color w:val="a6192e"/>
                <w:sz w:val="24"/>
                <w:szCs w:val="24"/>
              </w:rPr>
            </w:pPr>
            <w:r w:rsidDel="00000000" w:rsidR="00000000" w:rsidRPr="00000000">
              <w:rPr>
                <w:rFonts w:ascii="Times New Roman" w:cs="Times New Roman" w:eastAsia="Times New Roman" w:hAnsi="Times New Roman"/>
                <w:b w:val="1"/>
                <w:bCs w:val="1"/>
                <w:color w:val="a6192e"/>
                <w:sz w:val="24"/>
                <w:szCs w:val="24"/>
                <w:rtl w:val="0"/>
              </w:rPr>
              <w:t xml:space="preserve">Resultados</w:t>
            </w:r>
          </w:p>
        </w:tc>
      </w:tr>
      <w:tr>
        <w:trPr>
          <w:cantSplit w:val="0"/>
          <w:trHeight w:val="420" w:hRule="atLeast"/>
          <w:tblHeader w:val="0"/>
        </w:trPr>
        <w:tc>
          <w:tcPr>
            <w:vMerge w:val="restart"/>
            <w:tcBorders>
              <w:top w:color="a6192e" w:space="0" w:sz="8" w:val="single"/>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b w:val="1"/>
                <w:bCs w:val="1"/>
                <w:color w:val="333333"/>
                <w:sz w:val="20"/>
                <w:szCs w:val="20"/>
              </w:rPr>
            </w:pPr>
            <w:r w:rsidDel="00000000" w:rsidR="00000000" w:rsidRPr="00000000">
              <w:rPr>
                <w:rFonts w:ascii="Times New Roman" w:cs="Times New Roman" w:eastAsia="Times New Roman" w:hAnsi="Times New Roman"/>
                <w:b w:val="1"/>
                <w:bCs w:val="1"/>
                <w:color w:val="333333"/>
                <w:sz w:val="20"/>
                <w:szCs w:val="20"/>
                <w:rtl w:val="0"/>
              </w:rPr>
              <w:t xml:space="preserve">Clientes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Nivel socioeconómico (estrato, ocupación, edad)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Conocimiento del café</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Hábitos de consumo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Presupuesto</w:t>
            </w:r>
          </w:p>
        </w:tc>
        <w:tc>
          <w:tcPr>
            <w:vMerge w:val="restart"/>
            <w:tcBorders>
              <w:top w:color="ffffff" w:space="0" w:sz="8" w:val="single"/>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b w:val="1"/>
                <w:bCs w:val="1"/>
                <w:color w:val="a6192e"/>
                <w:sz w:val="28"/>
                <w:szCs w:val="28"/>
              </w:rPr>
            </w:pPr>
            <w:r w:rsidDel="00000000" w:rsidR="00000000" w:rsidRPr="00000000">
              <w:rPr>
                <w:rFonts w:ascii="Arial Unicode MS" w:cs="Arial Unicode MS" w:eastAsia="Arial Unicode MS" w:hAnsi="Arial Unicode MS"/>
                <w:b w:val="1"/>
                <w:bCs w:val="1"/>
                <w:color w:val="a6192e"/>
                <w:sz w:val="28"/>
                <w:szCs w:val="28"/>
                <w:rtl w:val="0"/>
              </w:rPr>
              <w:t xml:space="preserve">→</w:t>
            </w:r>
          </w:p>
        </w:tc>
        <w:tc>
          <w:tcPr>
            <w:vMerge w:val="restart"/>
            <w:tcBorders>
              <w:top w:color="a6192e" w:space="0" w:sz="8" w:val="single"/>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Los clientes valoran los atributos de la taza y deciden cuánto pagar</w:t>
            </w:r>
          </w:p>
        </w:tc>
        <w:tc>
          <w:tcPr>
            <w:vMerge w:val="restart"/>
            <w:tcBorders>
              <w:top w:color="ffffff" w:space="0" w:sz="8" w:val="single"/>
              <w:left w:color="a6192e"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b w:val="1"/>
                <w:bCs w:val="1"/>
                <w:color w:val="a6192e"/>
                <w:sz w:val="28"/>
                <w:szCs w:val="28"/>
              </w:rPr>
            </w:pPr>
            <w:r w:rsidDel="00000000" w:rsidR="00000000" w:rsidRPr="00000000">
              <w:rPr>
                <w:rFonts w:ascii="Arial Unicode MS" w:cs="Arial Unicode MS" w:eastAsia="Arial Unicode MS" w:hAnsi="Arial Unicode MS"/>
                <w:b w:val="1"/>
                <w:bCs w:val="1"/>
                <w:color w:val="a6192e"/>
                <w:sz w:val="28"/>
                <w:szCs w:val="28"/>
                <w:rtl w:val="0"/>
              </w:rPr>
              <w:t xml:space="preserve">→</w:t>
            </w:r>
          </w:p>
        </w:tc>
        <w:tc>
          <w:tcPr>
            <w:vMerge w:val="restart"/>
            <w:tcBorders>
              <w:top w:color="ffffff" w:space="0" w:sz="8" w:val="single"/>
              <w:left w:color="ffffff"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tl w:val="0"/>
              </w:rPr>
            </w:r>
          </w:p>
        </w:tc>
        <w:tc>
          <w:tcPr>
            <w:vMerge w:val="restart"/>
            <w:tcBorders>
              <w:top w:color="ffffff" w:space="0" w:sz="8" w:val="single"/>
              <w:left w:color="ffffff"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b w:val="1"/>
                <w:bCs w:val="1"/>
                <w:color w:val="a6192e"/>
                <w:sz w:val="28"/>
                <w:szCs w:val="28"/>
              </w:rPr>
            </w:pPr>
            <w:r w:rsidDel="00000000" w:rsidR="00000000" w:rsidRPr="00000000">
              <w:rPr>
                <w:rFonts w:ascii="Arial Unicode MS" w:cs="Arial Unicode MS" w:eastAsia="Arial Unicode MS" w:hAnsi="Arial Unicode MS"/>
                <w:b w:val="1"/>
                <w:bCs w:val="1"/>
                <w:color w:val="a6192e"/>
                <w:sz w:val="28"/>
                <w:szCs w:val="28"/>
                <w:rtl w:val="0"/>
              </w:rPr>
              <w:t xml:space="preserve">→</w:t>
            </w:r>
          </w:p>
        </w:tc>
        <w:tc>
          <w:tcPr>
            <w:tcBorders>
              <w:top w:color="a6192e" w:space="0" w:sz="8" w:val="single"/>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Distribución de la DAP entre los clientes (curva de demanda)</w:t>
            </w:r>
          </w:p>
        </w:tc>
      </w:tr>
      <w:tr>
        <w:trPr>
          <w:cantSplit w:val="0"/>
          <w:trHeight w:val="420" w:hRule="atLeast"/>
          <w:tblHeader w:val="0"/>
        </w:trPr>
        <w:tc>
          <w:tcPr>
            <w:vMerge w:val="continue"/>
            <w:tcBorders>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a6192e"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6"/>
                <w:szCs w:val="6"/>
              </w:rPr>
            </w:pPr>
            <w:r w:rsidDel="00000000" w:rsidR="00000000" w:rsidRPr="00000000">
              <w:rPr>
                <w:rtl w:val="0"/>
              </w:rPr>
            </w:r>
          </w:p>
        </w:tc>
      </w:tr>
      <w:tr>
        <w:trPr>
          <w:cantSplit w:val="0"/>
          <w:trHeight w:val="420" w:hRule="atLeast"/>
          <w:tblHeader w:val="0"/>
        </w:trPr>
        <w:tc>
          <w:tcPr>
            <w:vMerge w:val="continue"/>
            <w:tcBorders>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bottom w:color="ffffff"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a6192e" w:space="0" w:sz="8" w:val="single"/>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Compra de la bebida y disposición a pagar por la taza</w:t>
            </w:r>
          </w:p>
        </w:tc>
        <w:tc>
          <w:tcPr>
            <w:vMerge w:val="continue"/>
            <w:tcBorders>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a6192e" w:space="0" w:sz="8" w:val="single"/>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Prima frente al tinto tradicional</w:t>
            </w:r>
          </w:p>
        </w:tc>
      </w:tr>
      <w:tr>
        <w:trPr>
          <w:cantSplit w:val="0"/>
          <w:trHeight w:val="420" w:hRule="atLeast"/>
          <w:tblHeader w:val="0"/>
        </w:trPr>
        <w:tc>
          <w:tcPr>
            <w:tcBorders>
              <w:top w:color="a6192e"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6"/>
                <w:szCs w:val="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6"/>
                <w:szCs w:val="6"/>
              </w:rPr>
            </w:pPr>
            <w:r w:rsidDel="00000000" w:rsidR="00000000" w:rsidRPr="00000000">
              <w:rPr>
                <w:rtl w:val="0"/>
              </w:rPr>
            </w:r>
          </w:p>
        </w:tc>
        <w:tc>
          <w:tcPr>
            <w:tcBorders>
              <w:top w:color="a6192e"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6"/>
                <w:szCs w:val="6"/>
              </w:rPr>
            </w:pPr>
            <w:r w:rsidDel="00000000" w:rsidR="00000000" w:rsidRPr="00000000">
              <w:rPr>
                <w:rtl w:val="0"/>
              </w:rPr>
            </w:r>
          </w:p>
        </w:tc>
        <w:tc>
          <w:tcPr>
            <w:vMerge w:val="continue"/>
            <w:tcBorders>
              <w:left w:color="ffffff"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a6192e"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6"/>
                <w:szCs w:val="6"/>
              </w:rPr>
            </w:pPr>
            <w:r w:rsidDel="00000000" w:rsidR="00000000" w:rsidRPr="00000000">
              <w:rPr>
                <w:rtl w:val="0"/>
              </w:rPr>
            </w:r>
          </w:p>
        </w:tc>
      </w:tr>
      <w:tr>
        <w:trPr>
          <w:cantSplit w:val="0"/>
          <w:trHeight w:val="420" w:hRule="atLeast"/>
          <w:tblHeader w:val="0"/>
        </w:trPr>
        <w:tc>
          <w:tcPr>
            <w:vMerge w:val="restart"/>
            <w:tcBorders>
              <w:top w:color="a6192e" w:space="0" w:sz="8" w:val="single"/>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b w:val="1"/>
                <w:bCs w:val="1"/>
                <w:color w:val="333333"/>
                <w:sz w:val="20"/>
                <w:szCs w:val="20"/>
              </w:rPr>
            </w:pPr>
            <w:r w:rsidDel="00000000" w:rsidR="00000000" w:rsidRPr="00000000">
              <w:rPr>
                <w:rFonts w:ascii="Times New Roman" w:cs="Times New Roman" w:eastAsia="Times New Roman" w:hAnsi="Times New Roman"/>
                <w:b w:val="1"/>
                <w:bCs w:val="1"/>
                <w:color w:val="333333"/>
                <w:sz w:val="20"/>
                <w:szCs w:val="20"/>
                <w:rtl w:val="0"/>
              </w:rPr>
              <w:t xml:space="preserve">Cafeterías de especialidad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Bebida de referencia: filtrado de origen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Atributos: sabor, aroma, origen, método, servicio y espacio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Precio en carta</w:t>
            </w:r>
          </w:p>
        </w:tc>
        <w:tc>
          <w:tcPr>
            <w:vMerge w:val="restart"/>
            <w:tcBorders>
              <w:top w:color="ffffff" w:space="0" w:sz="8" w:val="single"/>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b w:val="1"/>
                <w:bCs w:val="1"/>
                <w:color w:val="a6192e"/>
                <w:sz w:val="28"/>
                <w:szCs w:val="28"/>
              </w:rPr>
            </w:pPr>
            <w:r w:rsidDel="00000000" w:rsidR="00000000" w:rsidRPr="00000000">
              <w:rPr>
                <w:rFonts w:ascii="Arial Unicode MS" w:cs="Arial Unicode MS" w:eastAsia="Arial Unicode MS" w:hAnsi="Arial Unicode MS"/>
                <w:b w:val="1"/>
                <w:bCs w:val="1"/>
                <w:color w:val="a6192e"/>
                <w:sz w:val="28"/>
                <w:szCs w:val="28"/>
                <w:rtl w:val="0"/>
              </w:rPr>
              <w:t xml:space="preserve">→</w:t>
            </w:r>
          </w:p>
        </w:tc>
        <w:tc>
          <w:tcPr>
            <w:vMerge w:val="restart"/>
            <w:tcBorders>
              <w:top w:color="a6192e" w:space="0" w:sz="8" w:val="single"/>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Las cafeterías fijan el precio de una bebida diferenciada</w:t>
            </w:r>
          </w:p>
        </w:tc>
        <w:tc>
          <w:tcPr>
            <w:vMerge w:val="continue"/>
            <w:tcBorders>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a6192e" w:space="0" w:sz="8" w:val="single"/>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Diferencias de DAP por nivel socioeconómico, conocimiento y hábitos</w:t>
            </w:r>
          </w:p>
        </w:tc>
      </w:tr>
      <w:tr>
        <w:trPr>
          <w:cantSplit w:val="0"/>
          <w:trHeight w:val="420" w:hRule="atLeast"/>
          <w:tblHeader w:val="0"/>
        </w:trPr>
        <w:tc>
          <w:tcPr>
            <w:vMerge w:val="continue"/>
            <w:tcBorders>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a6192e" w:space="0" w:sz="8" w:val="single"/>
              <w:left w:color="ffffff"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tl w:val="0"/>
              </w:rPr>
            </w:r>
          </w:p>
        </w:tc>
        <w:tc>
          <w:tcPr>
            <w:vMerge w:val="continue"/>
            <w:tcBorders>
              <w:left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a6192e" w:space="0" w:sz="8" w:val="single"/>
              <w:left w:color="ffffff" w:space="0" w:sz="8" w:val="single"/>
              <w:bottom w:color="a6192e"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6"/>
                <w:szCs w:val="6"/>
              </w:rPr>
            </w:pPr>
            <w:r w:rsidDel="00000000" w:rsidR="00000000" w:rsidRPr="00000000">
              <w:rPr>
                <w:rtl w:val="0"/>
              </w:rPr>
            </w:r>
          </w:p>
        </w:tc>
      </w:tr>
      <w:tr>
        <w:trPr>
          <w:cantSplit w:val="0"/>
          <w:trHeight w:val="420" w:hRule="atLeast"/>
          <w:tblHeader w:val="0"/>
        </w:trPr>
        <w:tc>
          <w:tcPr>
            <w:vMerge w:val="continue"/>
            <w:tcBorders>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bottom w:color="ffffff"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a6192e" w:space="0" w:sz="8" w:val="single"/>
              <w:bottom w:color="ffffff" w:space="0" w:sz="8" w:val="single"/>
              <w:right w:color="ffffff"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ffffff" w:space="0" w:sz="8" w:val="single"/>
              <w:bottom w:color="ffffff" w:space="0" w:sz="8" w:val="single"/>
              <w:right w:color="ffffff" w:space="0" w:sz="8" w:val="single"/>
            </w:tcBorders>
            <w:shd w:fill="auto" w:val="clear"/>
            <w:tcMar>
              <w:top w:w="80.0" w:type="dxa"/>
              <w:left w:w="80.0" w:type="dxa"/>
              <w:bottom w:w="80.0" w:type="dxa"/>
              <w:right w:w="8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ffffff" w:space="0" w:sz="8" w:val="single"/>
              <w:bottom w:color="ffffff" w:space="0" w:sz="8" w:val="single"/>
              <w:right w:color="a6192e" w:space="0" w:sz="8" w:val="single"/>
            </w:tcBorders>
            <w:shd w:fill="auto" w:val="clear"/>
            <w:tcMar>
              <w:top w:w="80.0" w:type="dxa"/>
              <w:left w:w="0.0" w:type="dxa"/>
              <w:bottom w:w="8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a6192e" w:space="0" w:sz="8" w:val="single"/>
              <w:left w:color="a6192e" w:space="0" w:sz="8" w:val="single"/>
              <w:bottom w:color="a6192e" w:space="0" w:sz="8" w:val="single"/>
              <w:right w:color="a6192e" w:space="0" w:sz="8" w:val="single"/>
            </w:tcBorders>
            <w:shd w:fill="f9f4f3" w:val="clear"/>
            <w:tcMar>
              <w:top w:w="120.0" w:type="dxa"/>
              <w:bottom w:w="12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76" w:lineRule="auto"/>
              <w:ind w:left="0" w:right="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Atributos que priorizan los clientes con mayor y menor DAP</w:t>
            </w:r>
          </w:p>
        </w:tc>
      </w:tr>
    </w:tbl>
    <w:p w:rsidR="00000000" w:rsidDel="00000000" w:rsidP="00000000" w:rsidRDefault="00000000" w:rsidRPr="00000000" w14:paraId="00000071">
      <w:pPr>
        <w:spacing w:after="240" w:before="120" w:line="360" w:lineRule="auto"/>
        <w:ind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2. Modelo de decisión de compra: clientes y cafeterías de especialidad en Chapinero. </w:t>
      </w:r>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Revisión de literatura</w:t>
      </w:r>
    </w:p>
    <w:p w:rsidR="00000000" w:rsidDel="00000000" w:rsidP="00000000" w:rsidRDefault="00000000" w:rsidRPr="00000000" w14:paraId="0000007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revisión siguió las etapas del protocolo PRISMA 2020: identificación, tamizaje, elegibilidad e inclusión (Page et al., 2021). En la base de datos Consensus se hicieron cuatro búsquedas, una por cada dimensión del proyecto: disposición a pagar y características del consumidor, conocimiento y calidad percibida, hábitos y sensibilidad al precio, y preferencias por café de especialidad en Colombia. Por otros métodos se identificaron los clásicos teóricos y los estudios citados por los artículos incluidos, revistas y repositorios colombianos, fuentes del Distrito, el DANE y la FNC, y prensa económica, junto con las fuentes consideradas en las entregas anteriores. Se excluyeron los documentos fuera del tema, los publicados en revistas de bajo impacto o con evidencia débil, los redundantes frente a una fuente de mayor peso y los que no se ajustaban al enfoque final de la pregunta. Como resume la Figura 3, de 86 registros identificados se incluyeron 32: 22 artículos revisados por pares, 2 tesis de grado, 4 fuentes institucionales y 4 de prensa económica y gremial.</w:t>
      </w:r>
    </w:p>
    <w:p w:rsidR="00000000" w:rsidDel="00000000" w:rsidP="00000000" w:rsidRDefault="00000000" w:rsidRPr="00000000" w14:paraId="0000007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0188" cy="46799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40188" cy="467994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3. Diagrama PRISMA de la revisión de literatura. Adaptado de PRISMA 2020 (Page et al., 2021). Elaboración propia.</w:t>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w:t>
      </w:r>
    </w:p>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Alba, J. W., y Hutchinson, J. W. (1987). Dimensions of consumer expertise. </w:t>
      </w:r>
      <w:r w:rsidDel="00000000" w:rsidR="00000000" w:rsidRPr="00000000">
        <w:rPr>
          <w:rFonts w:ascii="Times New Roman" w:cs="Times New Roman" w:eastAsia="Times New Roman" w:hAnsi="Times New Roman"/>
          <w:i w:val="1"/>
          <w:iCs w:val="1"/>
          <w:rtl w:val="0"/>
        </w:rPr>
        <w:t xml:space="preserve">Journal of Consumer Research, 13</w:t>
      </w:r>
      <w:r w:rsidDel="00000000" w:rsidR="00000000" w:rsidRPr="00000000">
        <w:rPr>
          <w:rFonts w:ascii="Times New Roman" w:cs="Times New Roman" w:eastAsia="Times New Roman" w:hAnsi="Times New Roman"/>
          <w:rtl w:val="0"/>
        </w:rPr>
        <w:t xml:space="preserve">(4), 411–454. https://doi.org/10.1086/209080</w:t>
      </w:r>
    </w:p>
    <w:p w:rsidR="00000000" w:rsidDel="00000000" w:rsidP="00000000" w:rsidRDefault="00000000" w:rsidRPr="00000000" w14:paraId="0000007D">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Alcaldía Mayor de Bogotá. (2025, 9 de diciembre). </w:t>
      </w:r>
      <w:r w:rsidDel="00000000" w:rsidR="00000000" w:rsidRPr="00000000">
        <w:rPr>
          <w:rFonts w:ascii="Times New Roman" w:cs="Times New Roman" w:eastAsia="Times New Roman" w:hAnsi="Times New Roman"/>
          <w:i w:val="1"/>
          <w:iCs w:val="1"/>
          <w:rtl w:val="0"/>
        </w:rPr>
        <w:t xml:space="preserve">Bogotá lanza ‘Conexión Bogotá: Experiencias de Café’: La capital de experiencias cafeteras en Colombia</w:t>
      </w:r>
      <w:r w:rsidDel="00000000" w:rsidR="00000000" w:rsidRPr="00000000">
        <w:rPr>
          <w:rFonts w:ascii="Times New Roman" w:cs="Times New Roman" w:eastAsia="Times New Roman" w:hAnsi="Times New Roman"/>
          <w:rtl w:val="0"/>
        </w:rPr>
        <w:t xml:space="preserve">. https://bogota.gov.co/mi-ciudad/desarrollo-economico/bogota-lanza-conexion-bogota-experiencias-de-cafe-en-turismo</w:t>
      </w:r>
    </w:p>
    <w:p w:rsidR="00000000" w:rsidDel="00000000" w:rsidP="00000000" w:rsidRDefault="00000000" w:rsidRPr="00000000" w14:paraId="0000007E">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Becker, G. S., y Murphy, K. M. (1988). A theory of rational addiction. </w:t>
      </w:r>
      <w:r w:rsidDel="00000000" w:rsidR="00000000" w:rsidRPr="00000000">
        <w:rPr>
          <w:rFonts w:ascii="Times New Roman" w:cs="Times New Roman" w:eastAsia="Times New Roman" w:hAnsi="Times New Roman"/>
          <w:i w:val="1"/>
          <w:iCs w:val="1"/>
          <w:rtl w:val="0"/>
        </w:rPr>
        <w:t xml:space="preserve">Journal of Political Economy, 96</w:t>
      </w:r>
      <w:r w:rsidDel="00000000" w:rsidR="00000000" w:rsidRPr="00000000">
        <w:rPr>
          <w:rFonts w:ascii="Times New Roman" w:cs="Times New Roman" w:eastAsia="Times New Roman" w:hAnsi="Times New Roman"/>
          <w:rtl w:val="0"/>
        </w:rPr>
        <w:t xml:space="preserve">(4), 675–700. https://doi.org/10.1086/261558</w:t>
      </w:r>
    </w:p>
    <w:p w:rsidR="00000000" w:rsidDel="00000000" w:rsidP="00000000" w:rsidRDefault="00000000" w:rsidRPr="00000000" w14:paraId="0000007F">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Bloomberg Línea. (2024, 17 de junio). </w:t>
      </w:r>
      <w:r w:rsidDel="00000000" w:rsidR="00000000" w:rsidRPr="00000000">
        <w:rPr>
          <w:rFonts w:ascii="Times New Roman" w:cs="Times New Roman" w:eastAsia="Times New Roman" w:hAnsi="Times New Roman"/>
          <w:i w:val="1"/>
          <w:iCs w:val="1"/>
          <w:rtl w:val="0"/>
        </w:rPr>
        <w:t xml:space="preserve">¿Consumo de café se estanca? Colombia pone la lupa en su producto estrella y cambia la estrategia</w:t>
      </w:r>
      <w:r w:rsidDel="00000000" w:rsidR="00000000" w:rsidRPr="00000000">
        <w:rPr>
          <w:rFonts w:ascii="Times New Roman" w:cs="Times New Roman" w:eastAsia="Times New Roman" w:hAnsi="Times New Roman"/>
          <w:rtl w:val="0"/>
        </w:rPr>
        <w:t xml:space="preserve">. https://www.bloomberglinea.com/latinoamerica/colombia/consumo-de-cafe-se-estanca-colombia-pone-la-lupa-en-su-producto-estrella-y-reduce-importaciones/</w:t>
      </w:r>
    </w:p>
    <w:p w:rsidR="00000000" w:rsidDel="00000000" w:rsidP="00000000" w:rsidRDefault="00000000" w:rsidRPr="00000000" w14:paraId="00000080">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Colombia Más Competitiva. (2026). </w:t>
      </w:r>
      <w:r w:rsidDel="00000000" w:rsidR="00000000" w:rsidRPr="00000000">
        <w:rPr>
          <w:rFonts w:ascii="Times New Roman" w:cs="Times New Roman" w:eastAsia="Times New Roman" w:hAnsi="Times New Roman"/>
          <w:i w:val="1"/>
          <w:iCs w:val="1"/>
          <w:rtl w:val="0"/>
        </w:rPr>
        <w:t xml:space="preserve">Estudio de consumo de cafés especiales en Colombia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https://colombiamascompetitiva.com/project/estudio-de-consumo-de-cafes-especiales-en-colombia/</w:t>
      </w:r>
    </w:p>
    <w:p w:rsidR="00000000" w:rsidDel="00000000" w:rsidP="00000000" w:rsidRDefault="00000000" w:rsidRPr="00000000" w14:paraId="00000081">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Econ. (2023). </w:t>
      </w:r>
      <w:r w:rsidDel="00000000" w:rsidR="00000000" w:rsidRPr="00000000">
        <w:rPr>
          <w:rFonts w:ascii="Times New Roman" w:cs="Times New Roman" w:eastAsia="Times New Roman" w:hAnsi="Times New Roman"/>
          <w:i w:val="1"/>
          <w:iCs w:val="1"/>
          <w:rtl w:val="0"/>
        </w:rPr>
        <w:t xml:space="preserve">The Economy 2.0: Microeconomics</w:t>
      </w:r>
      <w:r w:rsidDel="00000000" w:rsidR="00000000" w:rsidRPr="00000000">
        <w:rPr>
          <w:rFonts w:ascii="Times New Roman" w:cs="Times New Roman" w:eastAsia="Times New Roman" w:hAnsi="Times New Roman"/>
          <w:rtl w:val="0"/>
        </w:rPr>
        <w:t xml:space="preserve"> (versión 2.0.0). https://books.core-econ.org/the-economy/microeconomics/08-supply-demand-02-buying-and-selling.html</w:t>
      </w:r>
    </w:p>
    <w:p w:rsidR="00000000" w:rsidDel="00000000" w:rsidP="00000000" w:rsidRDefault="00000000" w:rsidRPr="00000000" w14:paraId="00000082">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Darby, M. R., y Karni, E. (1973). Free competition and the optimal amount of fraud. </w:t>
      </w:r>
      <w:r w:rsidDel="00000000" w:rsidR="00000000" w:rsidRPr="00000000">
        <w:rPr>
          <w:rFonts w:ascii="Times New Roman" w:cs="Times New Roman" w:eastAsia="Times New Roman" w:hAnsi="Times New Roman"/>
          <w:i w:val="1"/>
          <w:iCs w:val="1"/>
          <w:rtl w:val="0"/>
        </w:rPr>
        <w:t xml:space="preserve">The Journal of Law and Economics, 16</w:t>
      </w:r>
      <w:r w:rsidDel="00000000" w:rsidR="00000000" w:rsidRPr="00000000">
        <w:rPr>
          <w:rFonts w:ascii="Times New Roman" w:cs="Times New Roman" w:eastAsia="Times New Roman" w:hAnsi="Times New Roman"/>
          <w:rtl w:val="0"/>
        </w:rPr>
        <w:t xml:space="preserve">(1), 67–88. https://doi.org/10.1086/466756</w:t>
      </w:r>
    </w:p>
    <w:p w:rsidR="00000000" w:rsidDel="00000000" w:rsidP="00000000" w:rsidRDefault="00000000" w:rsidRPr="00000000" w14:paraId="00000083">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Administrativo Nacional de Estadística y Secretaría Distrital de Planeación. (2022). </w:t>
      </w:r>
      <w:r w:rsidDel="00000000" w:rsidR="00000000" w:rsidRPr="00000000">
        <w:rPr>
          <w:rFonts w:ascii="Times New Roman" w:cs="Times New Roman" w:eastAsia="Times New Roman" w:hAnsi="Times New Roman"/>
          <w:i w:val="1"/>
          <w:iCs w:val="1"/>
          <w:rtl w:val="0"/>
        </w:rPr>
        <w:t xml:space="preserve">Boletín técnico: Encuesta Multipropósito Bogotá–Cundinamarca (EM) 2021</w:t>
      </w:r>
      <w:r w:rsidDel="00000000" w:rsidR="00000000" w:rsidRPr="00000000">
        <w:rPr>
          <w:rFonts w:ascii="Times New Roman" w:cs="Times New Roman" w:eastAsia="Times New Roman" w:hAnsi="Times New Roman"/>
          <w:rtl w:val="0"/>
        </w:rPr>
        <w:t xml:space="preserve">. https://www.dane.gov.co/files/investigaciones/multi/Boletin_EM_2021.pdf</w:t>
      </w:r>
    </w:p>
    <w:p w:rsidR="00000000" w:rsidDel="00000000" w:rsidP="00000000" w:rsidRDefault="00000000" w:rsidRPr="00000000" w14:paraId="00000084">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Santos, P. M., Cirillo, M. Â., y Guimarães, E. R. (2021). Specialty coffee in Brazil: Transition among consumers' constructs using structural equation modeling. </w:t>
      </w:r>
      <w:r w:rsidDel="00000000" w:rsidR="00000000" w:rsidRPr="00000000">
        <w:rPr>
          <w:rFonts w:ascii="Times New Roman" w:cs="Times New Roman" w:eastAsia="Times New Roman" w:hAnsi="Times New Roman"/>
          <w:i w:val="1"/>
          <w:iCs w:val="1"/>
          <w:rtl w:val="0"/>
        </w:rPr>
        <w:t xml:space="preserve">British Food Journal, 123</w:t>
      </w:r>
      <w:r w:rsidDel="00000000" w:rsidR="00000000" w:rsidRPr="00000000">
        <w:rPr>
          <w:rFonts w:ascii="Times New Roman" w:cs="Times New Roman" w:eastAsia="Times New Roman" w:hAnsi="Times New Roman"/>
          <w:rtl w:val="0"/>
        </w:rPr>
        <w:t xml:space="preserve">(5), 1913–1930. https://doi.org/10.1108/BFJ-06-2020-0537</w:t>
      </w:r>
    </w:p>
    <w:p w:rsidR="00000000" w:rsidDel="00000000" w:rsidP="00000000" w:rsidRDefault="00000000" w:rsidRPr="00000000" w14:paraId="00000085">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Federación Nacional de Cafeteros de Colombia. (2020). El consumo interno de café en Colombia: Medición y determinantes. Ensayos sobre Economía Cafetera, 33(1), 37–66.  https://www.researchgate.net/publication/378103129_El_consumo_interno_de_cafe_en_Colombia_medicion_y_determinantes</w:t>
      </w:r>
    </w:p>
    <w:p w:rsidR="00000000" w:rsidDel="00000000" w:rsidP="00000000" w:rsidRDefault="00000000" w:rsidRPr="00000000" w14:paraId="00000086">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Giacalone, D., Fosgaard, T. R., Steen, I., y Münchow, M. (2016). "Quality does not sell itself": Divergence between "objective" product quality and preference for coffee in naïve consumers. </w:t>
      </w:r>
      <w:r w:rsidDel="00000000" w:rsidR="00000000" w:rsidRPr="00000000">
        <w:rPr>
          <w:rFonts w:ascii="Times New Roman" w:cs="Times New Roman" w:eastAsia="Times New Roman" w:hAnsi="Times New Roman"/>
          <w:i w:val="1"/>
          <w:iCs w:val="1"/>
          <w:rtl w:val="0"/>
        </w:rPr>
        <w:t xml:space="preserve">British Food Journal, 118</w:t>
      </w:r>
      <w:r w:rsidDel="00000000" w:rsidR="00000000" w:rsidRPr="00000000">
        <w:rPr>
          <w:rFonts w:ascii="Times New Roman" w:cs="Times New Roman" w:eastAsia="Times New Roman" w:hAnsi="Times New Roman"/>
          <w:rtl w:val="0"/>
        </w:rPr>
        <w:t xml:space="preserve">(10), 2462–2474. https://doi.org/10.1108/BFJ-03-2016-0127</w:t>
      </w:r>
    </w:p>
    <w:p w:rsidR="00000000" w:rsidDel="00000000" w:rsidP="00000000" w:rsidRDefault="00000000" w:rsidRPr="00000000" w14:paraId="00000087">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Guimarães, E. R., Leme, P. H. M. V., De Rezende, D. C., Pereira, S. P., y Dos Santos, A. C. (2019). The brand new Brazilian specialty coffee market. </w:t>
      </w:r>
      <w:r w:rsidDel="00000000" w:rsidR="00000000" w:rsidRPr="00000000">
        <w:rPr>
          <w:rFonts w:ascii="Times New Roman" w:cs="Times New Roman" w:eastAsia="Times New Roman" w:hAnsi="Times New Roman"/>
          <w:i w:val="1"/>
          <w:iCs w:val="1"/>
          <w:rtl w:val="0"/>
        </w:rPr>
        <w:t xml:space="preserve">Journal of Food Products Marketing, 25</w:t>
      </w:r>
      <w:r w:rsidDel="00000000" w:rsidR="00000000" w:rsidRPr="00000000">
        <w:rPr>
          <w:rFonts w:ascii="Times New Roman" w:cs="Times New Roman" w:eastAsia="Times New Roman" w:hAnsi="Times New Roman"/>
          <w:rtl w:val="0"/>
        </w:rPr>
        <w:t xml:space="preserve">(1), 49–71. https://doi.org/10.1080/10454446.2018.1478757</w:t>
      </w:r>
    </w:p>
    <w:p w:rsidR="00000000" w:rsidDel="00000000" w:rsidP="00000000" w:rsidRDefault="00000000" w:rsidRPr="00000000" w14:paraId="00000088">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Jaimes, C. (2026, 27 de junio). </w:t>
      </w:r>
      <w:r w:rsidDel="00000000" w:rsidR="00000000" w:rsidRPr="00000000">
        <w:rPr>
          <w:rFonts w:ascii="Times New Roman" w:cs="Times New Roman" w:eastAsia="Times New Roman" w:hAnsi="Times New Roman"/>
          <w:i w:val="1"/>
          <w:iCs w:val="1"/>
          <w:rtl w:val="0"/>
        </w:rPr>
        <w:t xml:space="preserve">Consumo de café cambió radicalmente en Colombia: Lo importante ya no es el precio</w:t>
      </w:r>
      <w:r w:rsidDel="00000000" w:rsidR="00000000" w:rsidRPr="00000000">
        <w:rPr>
          <w:rFonts w:ascii="Times New Roman" w:cs="Times New Roman" w:eastAsia="Times New Roman" w:hAnsi="Times New Roman"/>
          <w:rtl w:val="0"/>
        </w:rPr>
        <w:t xml:space="preserve">. Valora Analitik. https://www.valoraanalitik.com/criterio-de-consumo-de-cafe-cambio-en-colombia/</w:t>
      </w:r>
    </w:p>
    <w:p w:rsidR="00000000" w:rsidDel="00000000" w:rsidP="00000000" w:rsidRDefault="00000000" w:rsidRPr="00000000" w14:paraId="00000089">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Krishnamurthi, L., y Raj, S. P. (1991). An empirical analysis of the relationship between brand loyalty and consumer price elasticity. </w:t>
      </w:r>
      <w:r w:rsidDel="00000000" w:rsidR="00000000" w:rsidRPr="00000000">
        <w:rPr>
          <w:rFonts w:ascii="Times New Roman" w:cs="Times New Roman" w:eastAsia="Times New Roman" w:hAnsi="Times New Roman"/>
          <w:i w:val="1"/>
          <w:iCs w:val="1"/>
          <w:rtl w:val="0"/>
        </w:rPr>
        <w:t xml:space="preserve">Marketing Science, 10</w:t>
      </w:r>
      <w:r w:rsidDel="00000000" w:rsidR="00000000" w:rsidRPr="00000000">
        <w:rPr>
          <w:rFonts w:ascii="Times New Roman" w:cs="Times New Roman" w:eastAsia="Times New Roman" w:hAnsi="Times New Roman"/>
          <w:rtl w:val="0"/>
        </w:rPr>
        <w:t xml:space="preserve">(2), 172–183. https://doi.org/10.1287/mksc.10.2.172</w:t>
      </w:r>
    </w:p>
    <w:p w:rsidR="00000000" w:rsidDel="00000000" w:rsidP="00000000" w:rsidRDefault="00000000" w:rsidRPr="00000000" w14:paraId="0000008A">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Lancaster, K. J. (1966). A new approach to consumer theory. </w:t>
      </w:r>
      <w:r w:rsidDel="00000000" w:rsidR="00000000" w:rsidRPr="00000000">
        <w:rPr>
          <w:rFonts w:ascii="Times New Roman" w:cs="Times New Roman" w:eastAsia="Times New Roman" w:hAnsi="Times New Roman"/>
          <w:i w:val="1"/>
          <w:iCs w:val="1"/>
          <w:rtl w:val="0"/>
        </w:rPr>
        <w:t xml:space="preserve">Journal of Political Economy, 74</w:t>
      </w:r>
      <w:r w:rsidDel="00000000" w:rsidR="00000000" w:rsidRPr="00000000">
        <w:rPr>
          <w:rFonts w:ascii="Times New Roman" w:cs="Times New Roman" w:eastAsia="Times New Roman" w:hAnsi="Times New Roman"/>
          <w:rtl w:val="0"/>
        </w:rPr>
        <w:t xml:space="preserve">(2), 132–157. https://www.jstor.org/stable/1828835</w:t>
      </w:r>
    </w:p>
    <w:p w:rsidR="00000000" w:rsidDel="00000000" w:rsidP="00000000" w:rsidRDefault="00000000" w:rsidRPr="00000000" w14:paraId="0000008B">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Nelson, P. (1970). Information and consumer behavior. </w:t>
      </w:r>
      <w:r w:rsidDel="00000000" w:rsidR="00000000" w:rsidRPr="00000000">
        <w:rPr>
          <w:rFonts w:ascii="Times New Roman" w:cs="Times New Roman" w:eastAsia="Times New Roman" w:hAnsi="Times New Roman"/>
          <w:i w:val="1"/>
          <w:iCs w:val="1"/>
          <w:rtl w:val="0"/>
        </w:rPr>
        <w:t xml:space="preserve">Journal of Political Economy, 78</w:t>
      </w:r>
      <w:r w:rsidDel="00000000" w:rsidR="00000000" w:rsidRPr="00000000">
        <w:rPr>
          <w:rFonts w:ascii="Times New Roman" w:cs="Times New Roman" w:eastAsia="Times New Roman" w:hAnsi="Times New Roman"/>
          <w:rtl w:val="0"/>
        </w:rPr>
        <w:t xml:space="preserve">(2), 311–329. https://www.jstor.org/stable/1830691</w:t>
      </w:r>
    </w:p>
    <w:p w:rsidR="00000000" w:rsidDel="00000000" w:rsidP="00000000" w:rsidRDefault="00000000" w:rsidRPr="00000000" w14:paraId="0000008C">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Olekalns, N., y Bardsley, P. (1996). Rational addiction to caffeine: An analysis of coffee consumption. </w:t>
      </w:r>
      <w:r w:rsidDel="00000000" w:rsidR="00000000" w:rsidRPr="00000000">
        <w:rPr>
          <w:rFonts w:ascii="Times New Roman" w:cs="Times New Roman" w:eastAsia="Times New Roman" w:hAnsi="Times New Roman"/>
          <w:i w:val="1"/>
          <w:iCs w:val="1"/>
          <w:rtl w:val="0"/>
        </w:rPr>
        <w:t xml:space="preserve">Journal of Political Economy, 104</w:t>
      </w:r>
      <w:r w:rsidDel="00000000" w:rsidR="00000000" w:rsidRPr="00000000">
        <w:rPr>
          <w:rFonts w:ascii="Times New Roman" w:cs="Times New Roman" w:eastAsia="Times New Roman" w:hAnsi="Times New Roman"/>
          <w:rtl w:val="0"/>
        </w:rPr>
        <w:t xml:space="preserve">(5), 1100–1104. https://doi.org/10.1086/262054</w:t>
      </w:r>
    </w:p>
    <w:p w:rsidR="00000000" w:rsidDel="00000000" w:rsidP="00000000" w:rsidRDefault="00000000" w:rsidRPr="00000000" w14:paraId="0000008D">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Del="00000000" w:rsidR="00000000" w:rsidRPr="00000000">
        <w:rPr>
          <w:rFonts w:ascii="Times New Roman" w:cs="Times New Roman" w:eastAsia="Times New Roman" w:hAnsi="Times New Roman"/>
          <w:i w:val="1"/>
          <w:iCs w:val="1"/>
          <w:rtl w:val="0"/>
        </w:rPr>
        <w:t xml:space="preserve">BMJ, 372</w:t>
      </w:r>
      <w:r w:rsidDel="00000000" w:rsidR="00000000" w:rsidRPr="00000000">
        <w:rPr>
          <w:rFonts w:ascii="Times New Roman" w:cs="Times New Roman" w:eastAsia="Times New Roman" w:hAnsi="Times New Roman"/>
          <w:rtl w:val="0"/>
        </w:rPr>
        <w:t xml:space="preserve">, Artículo n71. https://doi.org/10.1136/bmj.n71</w:t>
      </w:r>
    </w:p>
    <w:p w:rsidR="00000000" w:rsidDel="00000000" w:rsidP="00000000" w:rsidRDefault="00000000" w:rsidRPr="00000000" w14:paraId="0000008E">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Plazas Moncada, C. A. (2020). </w:t>
      </w:r>
      <w:r w:rsidDel="00000000" w:rsidR="00000000" w:rsidRPr="00000000">
        <w:rPr>
          <w:rFonts w:ascii="Times New Roman" w:cs="Times New Roman" w:eastAsia="Times New Roman" w:hAnsi="Times New Roman"/>
          <w:i w:val="1"/>
          <w:iCs w:val="1"/>
          <w:rtl w:val="0"/>
        </w:rPr>
        <w:t xml:space="preserve">Hacer el sabor del café: Etnografía sobre la producción de significados en torno al café especial en tiendas especializadas, tostadoras y marcas de café, en Bogotá y Chía</w:t>
      </w:r>
      <w:r w:rsidDel="00000000" w:rsidR="00000000" w:rsidRPr="00000000">
        <w:rPr>
          <w:rFonts w:ascii="Times New Roman" w:cs="Times New Roman" w:eastAsia="Times New Roman" w:hAnsi="Times New Roman"/>
          <w:rtl w:val="0"/>
        </w:rPr>
        <w:t xml:space="preserve"> [Trabajo de grado, Universidad del Rosario]. https://doi.org/10.48713/10336_30510</w:t>
      </w:r>
    </w:p>
    <w:p w:rsidR="00000000" w:rsidDel="00000000" w:rsidP="00000000" w:rsidRDefault="00000000" w:rsidRPr="00000000" w14:paraId="0000008F">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Ruiz Solano, J. R. (2017). Impactos sociales del proceso de gentrificación en barrios de origen informal: Caso de la localidad de Chapinero, Bogotá. </w:t>
      </w:r>
      <w:r w:rsidDel="00000000" w:rsidR="00000000" w:rsidRPr="00000000">
        <w:rPr>
          <w:rFonts w:ascii="Times New Roman" w:cs="Times New Roman" w:eastAsia="Times New Roman" w:hAnsi="Times New Roman"/>
          <w:i w:val="1"/>
          <w:iCs w:val="1"/>
          <w:rtl w:val="0"/>
        </w:rPr>
        <w:t xml:space="preserve">Revista Ciudades, Estados y Política, 4</w:t>
      </w:r>
      <w:r w:rsidDel="00000000" w:rsidR="00000000" w:rsidRPr="00000000">
        <w:rPr>
          <w:rFonts w:ascii="Times New Roman" w:cs="Times New Roman" w:eastAsia="Times New Roman" w:hAnsi="Times New Roman"/>
          <w:rtl w:val="0"/>
        </w:rPr>
        <w:t xml:space="preserve">(2), 17–36. https://revistas.unal.edu.co/index.php/revcep/article/view/59470</w:t>
      </w:r>
    </w:p>
    <w:p w:rsidR="00000000" w:rsidDel="00000000" w:rsidP="00000000" w:rsidRDefault="00000000" w:rsidRPr="00000000" w14:paraId="00000090">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Samoggia, A., y Riedel, B. (2018). Coffee consumption and purchasing behavior review: Insights for further research. </w:t>
      </w:r>
      <w:r w:rsidDel="00000000" w:rsidR="00000000" w:rsidRPr="00000000">
        <w:rPr>
          <w:rFonts w:ascii="Times New Roman" w:cs="Times New Roman" w:eastAsia="Times New Roman" w:hAnsi="Times New Roman"/>
          <w:i w:val="1"/>
          <w:iCs w:val="1"/>
          <w:rtl w:val="0"/>
        </w:rPr>
        <w:t xml:space="preserve">Appetite, 129</w:t>
      </w:r>
      <w:r w:rsidDel="00000000" w:rsidR="00000000" w:rsidRPr="00000000">
        <w:rPr>
          <w:rFonts w:ascii="Times New Roman" w:cs="Times New Roman" w:eastAsia="Times New Roman" w:hAnsi="Times New Roman"/>
          <w:rtl w:val="0"/>
        </w:rPr>
        <w:t xml:space="preserve">, 70–81. https://doi.org/10.1016/j.appet.2018.07.002</w:t>
      </w:r>
    </w:p>
    <w:p w:rsidR="00000000" w:rsidDel="00000000" w:rsidP="00000000" w:rsidRDefault="00000000" w:rsidRPr="00000000" w14:paraId="00000091">
      <w:pPr>
        <w:spacing w:line="36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Secretaría Distrital de Integración Social. (2022). </w:t>
      </w:r>
      <w:r w:rsidDel="00000000" w:rsidR="00000000" w:rsidRPr="00000000">
        <w:rPr>
          <w:rFonts w:ascii="Times New Roman" w:cs="Times New Roman" w:eastAsia="Times New Roman" w:hAnsi="Times New Roman"/>
          <w:i w:val="1"/>
          <w:iCs w:val="1"/>
          <w:rtl w:val="0"/>
        </w:rPr>
        <w:t xml:space="preserve">Chapinero: Diagnóstico local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https://www.integracionsocial.gov.co/images/_docs/entidad/2_Diagnostico_local_Chapinero_2021_VF.pdf</w:t>
      </w:r>
    </w:p>
    <w:p w:rsidR="00000000" w:rsidDel="00000000" w:rsidP="00000000" w:rsidRDefault="00000000" w:rsidRPr="00000000" w14:paraId="00000092">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Sepúlveda, W., Chekmam, L., Maza Rubio, M. T., y Mancilla, N. O. (2016). Consumers' preference for the origin and quality attributes associated with production of specialty coffees: Results from a cross-cultural study. </w:t>
      </w:r>
      <w:r w:rsidDel="00000000" w:rsidR="00000000" w:rsidRPr="00000000">
        <w:rPr>
          <w:rFonts w:ascii="Times New Roman" w:cs="Times New Roman" w:eastAsia="Times New Roman" w:hAnsi="Times New Roman"/>
          <w:i w:val="1"/>
          <w:iCs w:val="1"/>
          <w:rtl w:val="0"/>
        </w:rPr>
        <w:t xml:space="preserve">Food Research International, 89</w:t>
      </w:r>
      <w:r w:rsidDel="00000000" w:rsidR="00000000" w:rsidRPr="00000000">
        <w:rPr>
          <w:rFonts w:ascii="Times New Roman" w:cs="Times New Roman" w:eastAsia="Times New Roman" w:hAnsi="Times New Roman"/>
          <w:rtl w:val="0"/>
        </w:rPr>
        <w:t xml:space="preserve">(2), 997–1003. https://doi.org/10.1016/j.foodres.2016.03.039</w:t>
      </w:r>
    </w:p>
    <w:p w:rsidR="00000000" w:rsidDel="00000000" w:rsidP="00000000" w:rsidRDefault="00000000" w:rsidRPr="00000000" w14:paraId="00000093">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Suárez, M. C. (2023, 1 de octubre). </w:t>
      </w:r>
      <w:r w:rsidDel="00000000" w:rsidR="00000000" w:rsidRPr="00000000">
        <w:rPr>
          <w:rFonts w:ascii="Times New Roman" w:cs="Times New Roman" w:eastAsia="Times New Roman" w:hAnsi="Times New Roman"/>
          <w:i w:val="1"/>
          <w:iCs w:val="1"/>
          <w:rtl w:val="0"/>
        </w:rPr>
        <w:t xml:space="preserve">¿Por qué los colombianos están comprando más café a pesar del aumento de precios?</w:t>
      </w:r>
      <w:r w:rsidDel="00000000" w:rsidR="00000000" w:rsidRPr="00000000">
        <w:rPr>
          <w:rFonts w:ascii="Times New Roman" w:cs="Times New Roman" w:eastAsia="Times New Roman" w:hAnsi="Times New Roman"/>
          <w:rtl w:val="0"/>
        </w:rPr>
        <w:t xml:space="preserve"> Bloomberg Línea. https://www.bloomberglinea.com/latinoamerica/colombia/por-que-los-colombianos-estan-comprando-mas-cafe-a-pesar-del-aumento-de-precios/</w:t>
      </w:r>
    </w:p>
    <w:p w:rsidR="00000000" w:rsidDel="00000000" w:rsidP="00000000" w:rsidRDefault="00000000" w:rsidRPr="00000000" w14:paraId="00000094">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Teixeira, L. V., Dâmaso, L. C. S., Lima, L. M., Spers, E. E., y Fouto, N. M. M. D. (2024). Visual attention and attribute choice for specialty coffee labels. </w:t>
      </w:r>
      <w:r w:rsidDel="00000000" w:rsidR="00000000" w:rsidRPr="00000000">
        <w:rPr>
          <w:rFonts w:ascii="Times New Roman" w:cs="Times New Roman" w:eastAsia="Times New Roman" w:hAnsi="Times New Roman"/>
          <w:i w:val="1"/>
          <w:iCs w:val="1"/>
          <w:rtl w:val="0"/>
        </w:rPr>
        <w:t xml:space="preserve">Revista de Economia e Sociologia Rural, 62</w:t>
      </w:r>
      <w:r w:rsidDel="00000000" w:rsidR="00000000" w:rsidRPr="00000000">
        <w:rPr>
          <w:rFonts w:ascii="Times New Roman" w:cs="Times New Roman" w:eastAsia="Times New Roman" w:hAnsi="Times New Roman"/>
          <w:rtl w:val="0"/>
        </w:rPr>
        <w:t xml:space="preserve">(2), e271049. https://doi.org/10.1590/1806-9479.2022.271049</w:t>
      </w:r>
    </w:p>
    <w:p w:rsidR="00000000" w:rsidDel="00000000" w:rsidP="00000000" w:rsidRDefault="00000000" w:rsidRPr="00000000" w14:paraId="00000095">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Ufer, D., Lin, W., y Ortega, D. L. (2019). Personality traits and preferences for specialty coffee: Results from a coffee shop field experiment. </w:t>
      </w:r>
      <w:r w:rsidDel="00000000" w:rsidR="00000000" w:rsidRPr="00000000">
        <w:rPr>
          <w:rFonts w:ascii="Times New Roman" w:cs="Times New Roman" w:eastAsia="Times New Roman" w:hAnsi="Times New Roman"/>
          <w:i w:val="1"/>
          <w:iCs w:val="1"/>
          <w:rtl w:val="0"/>
        </w:rPr>
        <w:t xml:space="preserve">Food Research International, 125</w:t>
      </w:r>
      <w:r w:rsidDel="00000000" w:rsidR="00000000" w:rsidRPr="00000000">
        <w:rPr>
          <w:rFonts w:ascii="Times New Roman" w:cs="Times New Roman" w:eastAsia="Times New Roman" w:hAnsi="Times New Roman"/>
          <w:rtl w:val="0"/>
        </w:rPr>
        <w:t xml:space="preserve">, Artículo 108504. https://doi.org/10.1016/j.foodres.2019.108504</w:t>
      </w:r>
    </w:p>
    <w:p w:rsidR="00000000" w:rsidDel="00000000" w:rsidP="00000000" w:rsidRDefault="00000000" w:rsidRPr="00000000" w14:paraId="00000096">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Uribe Mallarino, C., y Pardo Pérez, C. (2006). La ciudad vivida: Movilidad espacial y representaciones sobre la estratificación social en Bogotá. </w:t>
      </w:r>
      <w:r w:rsidDel="00000000" w:rsidR="00000000" w:rsidRPr="00000000">
        <w:rPr>
          <w:rFonts w:ascii="Times New Roman" w:cs="Times New Roman" w:eastAsia="Times New Roman" w:hAnsi="Times New Roman"/>
          <w:i w:val="1"/>
          <w:iCs w:val="1"/>
          <w:rtl w:val="0"/>
        </w:rPr>
        <w:t xml:space="preserve">Universitas Humanística, 62</w:t>
      </w:r>
      <w:r w:rsidDel="00000000" w:rsidR="00000000" w:rsidRPr="00000000">
        <w:rPr>
          <w:rFonts w:ascii="Times New Roman" w:cs="Times New Roman" w:eastAsia="Times New Roman" w:hAnsi="Times New Roman"/>
          <w:rtl w:val="0"/>
        </w:rPr>
        <w:t xml:space="preserve">, 169–203. https://www.redalyc.org/pdf/791/79106208.pdf</w:t>
      </w:r>
    </w:p>
    <w:p w:rsidR="00000000" w:rsidDel="00000000" w:rsidP="00000000" w:rsidRDefault="00000000" w:rsidRPr="00000000" w14:paraId="00000097">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Vaca Neira, M. A. (2014). </w:t>
      </w:r>
      <w:r w:rsidDel="00000000" w:rsidR="00000000" w:rsidRPr="00000000">
        <w:rPr>
          <w:rFonts w:ascii="Times New Roman" w:cs="Times New Roman" w:eastAsia="Times New Roman" w:hAnsi="Times New Roman"/>
          <w:i w:val="1"/>
          <w:iCs w:val="1"/>
          <w:rtl w:val="0"/>
        </w:rPr>
        <w:t xml:space="preserve">Estimación de la disposición a pagar por cafés especiales: Un análisis del mercado interno</w:t>
      </w:r>
      <w:r w:rsidDel="00000000" w:rsidR="00000000" w:rsidRPr="00000000">
        <w:rPr>
          <w:rFonts w:ascii="Times New Roman" w:cs="Times New Roman" w:eastAsia="Times New Roman" w:hAnsi="Times New Roman"/>
          <w:rtl w:val="0"/>
        </w:rPr>
        <w:t xml:space="preserve"> [Tesis de pregrado, Universidad de los Andes]. Repositorio Institucional Universidad de los Andes. https://repositorio.uniandes.edu.co/entities/publication/292fbff3-aa2d-4e52-ba58-f787c31e2d6c</w:t>
      </w:r>
    </w:p>
    <w:p w:rsidR="00000000" w:rsidDel="00000000" w:rsidP="00000000" w:rsidRDefault="00000000" w:rsidRPr="00000000" w14:paraId="00000098">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Valenciano-Salazar, J. A., André, F. J., y Soliño, M. (2021). Paying for sustainable coffee in a developing country: Consumers’ profile in Costa Rica. </w:t>
      </w:r>
      <w:r w:rsidDel="00000000" w:rsidR="00000000" w:rsidRPr="00000000">
        <w:rPr>
          <w:rFonts w:ascii="Times New Roman" w:cs="Times New Roman" w:eastAsia="Times New Roman" w:hAnsi="Times New Roman"/>
          <w:i w:val="1"/>
          <w:iCs w:val="1"/>
          <w:rtl w:val="0"/>
        </w:rPr>
        <w:t xml:space="preserve">Sustainability, 13</w:t>
      </w:r>
      <w:r w:rsidDel="00000000" w:rsidR="00000000" w:rsidRPr="00000000">
        <w:rPr>
          <w:rFonts w:ascii="Times New Roman" w:cs="Times New Roman" w:eastAsia="Times New Roman" w:hAnsi="Times New Roman"/>
          <w:rtl w:val="0"/>
        </w:rPr>
        <w:t xml:space="preserve">(16), Artículo 9360. https://doi.org/10.3390/su13169360</w:t>
      </w:r>
    </w:p>
    <w:p w:rsidR="00000000" w:rsidDel="00000000" w:rsidP="00000000" w:rsidRDefault="00000000" w:rsidRPr="00000000" w14:paraId="00000099">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M.-J. S., Opoku, E. K., y Tham, A. (2024). Exploring Gen-Z consumers' preference for specialty coffee in the socio-cultural context of Taiwan. </w:t>
      </w:r>
      <w:r w:rsidDel="00000000" w:rsidR="00000000" w:rsidRPr="00000000">
        <w:rPr>
          <w:rFonts w:ascii="Times New Roman" w:cs="Times New Roman" w:eastAsia="Times New Roman" w:hAnsi="Times New Roman"/>
          <w:i w:val="1"/>
          <w:iCs w:val="1"/>
          <w:rtl w:val="0"/>
        </w:rPr>
        <w:t xml:space="preserve">Young Consumers, 25</w:t>
      </w:r>
      <w:r w:rsidDel="00000000" w:rsidR="00000000" w:rsidRPr="00000000">
        <w:rPr>
          <w:rFonts w:ascii="Times New Roman" w:cs="Times New Roman" w:eastAsia="Times New Roman" w:hAnsi="Times New Roman"/>
          <w:rtl w:val="0"/>
        </w:rPr>
        <w:t xml:space="preserve">(3), 368–382. https://doi.org/10.1108/YC-08-2023-1844</w:t>
      </w:r>
    </w:p>
    <w:p w:rsidR="00000000" w:rsidDel="00000000" w:rsidP="00000000" w:rsidRDefault="00000000" w:rsidRPr="00000000" w14:paraId="0000009A">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S.-H., Hu, W., Mupandawana, M., y Liu, Y. (2012). Consumer willingness to pay for fair trade coffee: A Chinese case study. </w:t>
      </w:r>
      <w:r w:rsidDel="00000000" w:rsidR="00000000" w:rsidRPr="00000000">
        <w:rPr>
          <w:rFonts w:ascii="Times New Roman" w:cs="Times New Roman" w:eastAsia="Times New Roman" w:hAnsi="Times New Roman"/>
          <w:i w:val="1"/>
          <w:iCs w:val="1"/>
          <w:rtl w:val="0"/>
        </w:rPr>
        <w:t xml:space="preserve">Journal of Agricultural and Applied Economics, 44</w:t>
      </w:r>
      <w:r w:rsidDel="00000000" w:rsidR="00000000" w:rsidRPr="00000000">
        <w:rPr>
          <w:rFonts w:ascii="Times New Roman" w:cs="Times New Roman" w:eastAsia="Times New Roman" w:hAnsi="Times New Roman"/>
          <w:rtl w:val="0"/>
        </w:rPr>
        <w:t xml:space="preserve">(1), 21–34. https://doi.org/10.1017/S1074070800000146</w:t>
      </w:r>
    </w:p>
    <w:p w:rsidR="00000000" w:rsidDel="00000000" w:rsidP="00000000" w:rsidRDefault="00000000" w:rsidRPr="00000000" w14:paraId="0000009B">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Yunda, J. G. (2019). Densificación y estratificación social en Bogotá: Distribución sesgada de la inversión privada. </w:t>
      </w:r>
      <w:r w:rsidDel="00000000" w:rsidR="00000000" w:rsidRPr="00000000">
        <w:rPr>
          <w:rFonts w:ascii="Times New Roman" w:cs="Times New Roman" w:eastAsia="Times New Roman" w:hAnsi="Times New Roman"/>
          <w:i w:val="1"/>
          <w:iCs w:val="1"/>
          <w:rtl w:val="0"/>
        </w:rPr>
        <w:t xml:space="preserve">EURE, 45</w:t>
      </w:r>
      <w:r w:rsidDel="00000000" w:rsidR="00000000" w:rsidRPr="00000000">
        <w:rPr>
          <w:rFonts w:ascii="Times New Roman" w:cs="Times New Roman" w:eastAsia="Times New Roman" w:hAnsi="Times New Roman"/>
          <w:rtl w:val="0"/>
        </w:rPr>
        <w:t xml:space="preserve">(134), 237–257. https://doi.org/10.4067/S0250-71612019000100237</w:t>
      </w:r>
    </w:p>
    <w:p w:rsidR="00000000" w:rsidDel="00000000" w:rsidP="00000000" w:rsidRDefault="00000000" w:rsidRPr="00000000" w14:paraId="0000009C">
      <w:pPr>
        <w:spacing w:line="360" w:lineRule="auto"/>
        <w:ind w:left="14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Zeithaml, V. A. (1988). Consumer perceptions of price, quality, and value: A means-end model and synthesis of evidence. </w:t>
      </w:r>
      <w:r w:rsidDel="00000000" w:rsidR="00000000" w:rsidRPr="00000000">
        <w:rPr>
          <w:rFonts w:ascii="Times New Roman" w:cs="Times New Roman" w:eastAsia="Times New Roman" w:hAnsi="Times New Roman"/>
          <w:i w:val="1"/>
          <w:iCs w:val="1"/>
          <w:rtl w:val="0"/>
        </w:rPr>
        <w:t xml:space="preserve">Journal of Marketing, 52</w:t>
      </w:r>
      <w:r w:rsidDel="00000000" w:rsidR="00000000" w:rsidRPr="00000000">
        <w:rPr>
          <w:rFonts w:ascii="Times New Roman" w:cs="Times New Roman" w:eastAsia="Times New Roman" w:hAnsi="Times New Roman"/>
          <w:rtl w:val="0"/>
        </w:rPr>
        <w:t xml:space="preserve">(3), 2–22. https://doi.org/10.1177/002224298805200302</w:t>
      </w:r>
    </w:p>
    <w:p w:rsidR="00000000" w:rsidDel="00000000" w:rsidP="00000000" w:rsidRDefault="00000000" w:rsidRPr="00000000" w14:paraId="0000009D">
      <w:pPr>
        <w:spacing w:line="360" w:lineRule="auto"/>
        <w:ind w:left="144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80" w:line="360" w:lineRule="auto"/>
        <w:ind w:left="0" w:firstLine="0"/>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