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E4A92"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Universidad del Rosario</w:t>
      </w:r>
    </w:p>
    <w:p w14:paraId="7DAF8D37"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Haciendo Economía - 2026-2</w:t>
      </w:r>
    </w:p>
    <w:p w14:paraId="52C97070"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Profesor: Paul Rodríguez L.</w:t>
      </w:r>
    </w:p>
    <w:p w14:paraId="14EB6377"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Estudiantes: Santiago Gómez, Camilo Ospina, Emily Rodríguez y David </w:t>
      </w:r>
      <w:proofErr w:type="spellStart"/>
      <w:r>
        <w:rPr>
          <w:rFonts w:ascii="Times New Roman" w:eastAsia="Times New Roman" w:hAnsi="Times New Roman" w:cs="Times New Roman"/>
        </w:rPr>
        <w:t>Pascagaza</w:t>
      </w:r>
      <w:proofErr w:type="spellEnd"/>
    </w:p>
    <w:p w14:paraId="2553797D"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0E687F2A" w14:textId="77777777" w:rsidR="002A32AD"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¿Quién paga la diferencia? Disposición a pagar por café de especialidad en Chapinero, Bogotá</w:t>
      </w:r>
    </w:p>
    <w:p w14:paraId="59E31E10" w14:textId="77777777" w:rsidR="002A32AD"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Eje temático: Demanda y comportamiento del consumidor</w:t>
      </w:r>
    </w:p>
    <w:p w14:paraId="7905214D"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54DB90D7" w14:textId="77777777" w:rsidR="002A32AD"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Motivación</w:t>
      </w:r>
    </w:p>
    <w:p w14:paraId="06506A57" w14:textId="77777777" w:rsidR="002A32AD"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En Bogotá, el café está en todas partes. Lo vende un tintero en la esquina, una panadería, una cadena o una cafetería de especialidad. Un mismo consumidor puede pagar por un tinto en la calle una fracción de lo que cuesta un filtrado de origen en una barra de especialidad. La pregunta económica es quién está dispuesto a pagar esa diferencia y por qué.</w:t>
      </w:r>
    </w:p>
    <w:p w14:paraId="560C441A" w14:textId="77777777" w:rsidR="002A32AD" w:rsidRDefault="00000000">
      <w:pPr>
        <w:spacing w:line="360" w:lineRule="auto"/>
        <w:ind w:firstLine="720"/>
        <w:rPr>
          <w:rFonts w:ascii="Times New Roman" w:eastAsia="Times New Roman" w:hAnsi="Times New Roman" w:cs="Times New Roman"/>
        </w:rPr>
      </w:pPr>
      <w:proofErr w:type="spellStart"/>
      <w:r>
        <w:rPr>
          <w:rFonts w:ascii="Times New Roman" w:eastAsia="Times New Roman" w:hAnsi="Times New Roman" w:cs="Times New Roman"/>
        </w:rPr>
        <w:t>Jaimes</w:t>
      </w:r>
      <w:proofErr w:type="spellEnd"/>
      <w:r>
        <w:rPr>
          <w:rFonts w:ascii="Times New Roman" w:eastAsia="Times New Roman" w:hAnsi="Times New Roman" w:cs="Times New Roman"/>
        </w:rPr>
        <w:t xml:space="preserve"> (2026) documenta un cambio de fondo en la forma en que los colombianos eligen su café. Según el estudio de mercado </w:t>
      </w:r>
      <w:proofErr w:type="spellStart"/>
      <w:r>
        <w:rPr>
          <w:rFonts w:ascii="Times New Roman" w:eastAsia="Times New Roman" w:hAnsi="Times New Roman" w:cs="Times New Roman"/>
        </w:rPr>
        <w:t>Consumer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Understanding</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Usage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Study</w:t>
      </w:r>
      <w:proofErr w:type="spellEnd"/>
      <w:r>
        <w:rPr>
          <w:rFonts w:ascii="Times New Roman" w:eastAsia="Times New Roman" w:hAnsi="Times New Roman" w:cs="Times New Roman"/>
        </w:rPr>
        <w:t xml:space="preserve"> (CUAS) que cita el autor, el sabor desplazó al precio como principal criterio para escoger una marca y para probar nuevas referencias. El consumidor ya no busca solo una taza barata, sino que quiere conocer el origen del café, descubrir nuevos perfiles de sabor y entender lo que toma. Las generaciones más jóvenes muestran mayor interés por cafés de origen, métodos alternativos y cafeterías especializadas. El mercado acompaña ese cambio: el café empacado en supermercados mueve cerca de US$550 millones y creció más de 40 % en dos años, según datos de </w:t>
      </w:r>
      <w:proofErr w:type="spellStart"/>
      <w:r>
        <w:rPr>
          <w:rFonts w:ascii="Times New Roman" w:eastAsia="Times New Roman" w:hAnsi="Times New Roman" w:cs="Times New Roman"/>
        </w:rPr>
        <w:t>NielsenIQ</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Jaimes</w:t>
      </w:r>
      <w:proofErr w:type="spellEnd"/>
      <w:r>
        <w:rPr>
          <w:rFonts w:ascii="Times New Roman" w:eastAsia="Times New Roman" w:hAnsi="Times New Roman" w:cs="Times New Roman"/>
        </w:rPr>
        <w:t>, 2026). En términos económicos, este hallazgo es central para nuestro proyecto. De ahí deducimos que, si el precio pierde peso frente a atributos como el sabor, el origen y la experiencia, la demanda se vuelve menos sensible al precio y aparece un espacio para que los consumidores paguen una prima por la calidad.</w:t>
      </w:r>
    </w:p>
    <w:p w14:paraId="2F9D71A3" w14:textId="77777777" w:rsidR="002A32AD"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Otras fuentes respaldan esta lectura. Aunque Colombia exporta cerca del 94 % de su producción y su consumo interno, de unos 2,2 millones de sacos al año, está estancado desde 2020 (Bloomberg Línea, 2024), los hogares pagaron 15 % más por gramo de café en el primer semestre de 2023 (Suárez, 2023). Es decir, no se toma mucho más café, pero se paga más por él. Y el mercado de cafés especiales crece impulsado por consumidores “dispuestos a pagar más” (Colombia Más Competitiva, 2026). El Distrito también reconoce el segmento: en 2025, la Secretaría Distrital de Desarrollo Económico y el Instituto Distrital de Turismo reconocieron a 25 cafeterías de especialidad como embajadoras del café colombiano y anunciaron que Bogotá será sede del </w:t>
      </w:r>
      <w:proofErr w:type="spellStart"/>
      <w:r>
        <w:rPr>
          <w:rFonts w:ascii="Times New Roman" w:eastAsia="Times New Roman" w:hAnsi="Times New Roman" w:cs="Times New Roman"/>
        </w:rPr>
        <w:t>World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2027 (Alcaldía Mayor de Bogotá, 2025).</w:t>
      </w:r>
    </w:p>
    <w:p w14:paraId="461D4C09" w14:textId="77777777" w:rsidR="002A32AD"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Sin embargo, este cambio está descrito, pero no cuantificado. El artículo de </w:t>
      </w:r>
      <w:proofErr w:type="spellStart"/>
      <w:r>
        <w:rPr>
          <w:rFonts w:ascii="Times New Roman" w:eastAsia="Times New Roman" w:hAnsi="Times New Roman" w:cs="Times New Roman"/>
        </w:rPr>
        <w:t>Jaimes</w:t>
      </w:r>
      <w:proofErr w:type="spellEnd"/>
      <w:r>
        <w:rPr>
          <w:rFonts w:ascii="Times New Roman" w:eastAsia="Times New Roman" w:hAnsi="Times New Roman" w:cs="Times New Roman"/>
        </w:rPr>
        <w:t xml:space="preserve"> (2026) afirma que el consumidor está dispuesto a pagar más por calidad, sabor y experiencia, pero el estudio que cita no publica cifras de cuánto más ni de quiénes lo hacen, y sus datos se refieren al café </w:t>
      </w:r>
      <w:r>
        <w:rPr>
          <w:rFonts w:ascii="Times New Roman" w:eastAsia="Times New Roman" w:hAnsi="Times New Roman" w:cs="Times New Roman"/>
        </w:rPr>
        <w:lastRenderedPageBreak/>
        <w:t xml:space="preserve">empacado. Lo mismo ocurre con las estadísticas oficiales, que miden el consumo de café en el hogar y no lo que pasa en la cafetería (Federación Nacional de Cafeteros de Colombia [FNC], 2019). </w:t>
      </w:r>
    </w:p>
    <w:p w14:paraId="6CFADC98" w14:textId="77777777" w:rsidR="002A32AD"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La única estimación local que encontramos se refiere también a café empacado (Vaca Neira, 2014). Este proyecto lleva la tesis de </w:t>
      </w:r>
      <w:proofErr w:type="spellStart"/>
      <w:r>
        <w:rPr>
          <w:rFonts w:ascii="Times New Roman" w:eastAsia="Times New Roman" w:hAnsi="Times New Roman" w:cs="Times New Roman"/>
        </w:rPr>
        <w:t>Jaimes</w:t>
      </w:r>
      <w:proofErr w:type="spellEnd"/>
      <w:r>
        <w:rPr>
          <w:rFonts w:ascii="Times New Roman" w:eastAsia="Times New Roman" w:hAnsi="Times New Roman" w:cs="Times New Roman"/>
        </w:rPr>
        <w:t xml:space="preserve"> (2026) a la cafetería de especialidad, donde la prima se paga en la práctica, y busca estimar la disposición a pagar por una bebida de referencia y relacionarla con tres características del consumidor: su nivel socioeconómico, su conocimiento del café y sus hábitos de consumo. La literatura ordena los determinantes del consumo de café en cinco categorías: preferencias personales, atributos económicos, atributos del producto, contexto de consumo y rasgos sociodemográficos (</w:t>
      </w:r>
      <w:proofErr w:type="spellStart"/>
      <w:r>
        <w:rPr>
          <w:rFonts w:ascii="Times New Roman" w:eastAsia="Times New Roman" w:hAnsi="Times New Roman" w:cs="Times New Roman"/>
        </w:rPr>
        <w:t>Samoggia</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Riedel</w:t>
      </w:r>
      <w:proofErr w:type="spellEnd"/>
      <w:r>
        <w:rPr>
          <w:rFonts w:ascii="Times New Roman" w:eastAsia="Times New Roman" w:hAnsi="Times New Roman" w:cs="Times New Roman"/>
        </w:rPr>
        <w:t>, 2018). Este proyecto se concentra en las que pueden medirse directamente en el cliente.</w:t>
      </w:r>
    </w:p>
    <w:p w14:paraId="6EED9F90"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2D0F4A54"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Dado lo anterior, nos preguntamos: ¿cómo varía la disposición a pagar por una bebida de especialidad y la prima que esta implica frente al tinto tradicional según el nivel socioeconómico, el conocimiento del café y los hábitos de consumo de los clientes de cafeterías de especialidad en Chapinero, Bogotá?</w:t>
      </w:r>
    </w:p>
    <w:p w14:paraId="3EA34B76"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1992CAA2"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Para responder esta pregunta, se plantean cuatro objetivos específicos:</w:t>
      </w:r>
    </w:p>
    <w:p w14:paraId="2F745762" w14:textId="77777777" w:rsidR="002A32AD" w:rsidRDefault="00000000">
      <w:pPr>
        <w:spacing w:line="360" w:lineRule="auto"/>
        <w:ind w:left="720" w:hanging="360"/>
        <w:rPr>
          <w:rFonts w:ascii="Times New Roman" w:eastAsia="Times New Roman" w:hAnsi="Times New Roman" w:cs="Times New Roman"/>
        </w:rPr>
      </w:pPr>
      <w:r>
        <w:rPr>
          <w:rFonts w:ascii="Times New Roman" w:eastAsia="Times New Roman" w:hAnsi="Times New Roman" w:cs="Times New Roman"/>
        </w:rPr>
        <w:t>1. Establecer cómo se distribuye la disposición a pagar por una bebida de referencia en cafeterías de especialidad de Chapinero y qué prima representa sobre un tinto tradicional.</w:t>
      </w:r>
    </w:p>
    <w:p w14:paraId="1D491CBA" w14:textId="77777777" w:rsidR="002A32AD" w:rsidRDefault="00000000">
      <w:pPr>
        <w:spacing w:line="360" w:lineRule="auto"/>
        <w:ind w:left="720" w:hanging="360"/>
        <w:rPr>
          <w:rFonts w:ascii="Times New Roman" w:eastAsia="Times New Roman" w:hAnsi="Times New Roman" w:cs="Times New Roman"/>
        </w:rPr>
      </w:pPr>
      <w:r>
        <w:rPr>
          <w:rFonts w:ascii="Times New Roman" w:eastAsia="Times New Roman" w:hAnsi="Times New Roman" w:cs="Times New Roman"/>
        </w:rPr>
        <w:t>2. Caracterizar a los clientes según sus condiciones socioeconómicas (estrato, ocupación y rango de edad), su conocimiento del café y sus hábitos de consumo, en particular la frecuencia de visita y el lugar habitual de consumo.</w:t>
      </w:r>
    </w:p>
    <w:p w14:paraId="18DFC20C" w14:textId="77777777" w:rsidR="002A32AD" w:rsidRDefault="00000000">
      <w:pPr>
        <w:spacing w:line="360" w:lineRule="auto"/>
        <w:ind w:left="720" w:hanging="360"/>
        <w:rPr>
          <w:rFonts w:ascii="Times New Roman" w:eastAsia="Times New Roman" w:hAnsi="Times New Roman" w:cs="Times New Roman"/>
        </w:rPr>
      </w:pPr>
      <w:r>
        <w:rPr>
          <w:rFonts w:ascii="Times New Roman" w:eastAsia="Times New Roman" w:hAnsi="Times New Roman" w:cs="Times New Roman"/>
        </w:rPr>
        <w:t>3. Comparar la disposición a pagar y la prima entre grupos con distintos niveles socioeconómicos, grados de conocimiento del café y frecuencias de visita.</w:t>
      </w:r>
    </w:p>
    <w:p w14:paraId="5B23FBDB" w14:textId="77777777" w:rsidR="002A32AD" w:rsidRDefault="00000000">
      <w:pPr>
        <w:spacing w:line="360" w:lineRule="auto"/>
        <w:ind w:left="720" w:hanging="360"/>
        <w:rPr>
          <w:rFonts w:ascii="Times New Roman" w:eastAsia="Times New Roman" w:hAnsi="Times New Roman" w:cs="Times New Roman"/>
        </w:rPr>
      </w:pPr>
      <w:r>
        <w:rPr>
          <w:rFonts w:ascii="Times New Roman" w:eastAsia="Times New Roman" w:hAnsi="Times New Roman" w:cs="Times New Roman"/>
        </w:rPr>
        <w:t>4. Describir qué atributos de la bebida y de la experiencia (sabor, aroma, origen, método de preparación, precio, ambiente y servicio) declaran priorizar los clientes con mayor y menor disposición a pagar. Este objetivo es descriptivo y complementa la medición de la disposición a pagar, sin reemplazarla.</w:t>
      </w:r>
    </w:p>
    <w:p w14:paraId="0E81F4ED"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2A9DDEF2"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Estos objetivos comparan a los clientes según tres grupos de características, cada uno respaldado por la literatura. El primero es el nivel socioeconómico (estrato, ocupación y rango de edad): el ingreso y la educación se asocian con una mayor disposición a pagar por café diferenciado (Valenciano-Salazar et al., 2021). El segundo es el conocimiento del café, que cambia la forma en que el consumidor percibe la calidad y, por tanto, lo que está dispuesto a pagar por ella (</w:t>
      </w:r>
      <w:proofErr w:type="spellStart"/>
      <w:r>
        <w:rPr>
          <w:rFonts w:ascii="Times New Roman" w:eastAsia="Times New Roman" w:hAnsi="Times New Roman" w:cs="Times New Roman"/>
        </w:rPr>
        <w:t>Giacalone</w:t>
      </w:r>
      <w:proofErr w:type="spellEnd"/>
      <w:r>
        <w:rPr>
          <w:rFonts w:ascii="Times New Roman" w:eastAsia="Times New Roman" w:hAnsi="Times New Roman" w:cs="Times New Roman"/>
        </w:rPr>
        <w:t xml:space="preserve"> et al., 2016; dos Santos et al., 2021). El tercero son los hábitos de consumo, como la frecuencia de visita y el lugar habitual de consumo: quienes consumen o planean consumir más café están dispuestos a pagar más por taza (Yang et al., 2012), y los compradores habituales de café son menos sensibles al precio al elegir marca (</w:t>
      </w:r>
      <w:proofErr w:type="spellStart"/>
      <w:r>
        <w:rPr>
          <w:rFonts w:ascii="Times New Roman" w:eastAsia="Times New Roman" w:hAnsi="Times New Roman" w:cs="Times New Roman"/>
        </w:rPr>
        <w:t>Krishnamurthi</w:t>
      </w:r>
      <w:proofErr w:type="spellEnd"/>
      <w:r>
        <w:rPr>
          <w:rFonts w:ascii="Times New Roman" w:eastAsia="Times New Roman" w:hAnsi="Times New Roman" w:cs="Times New Roman"/>
        </w:rPr>
        <w:t xml:space="preserve"> y Raj, 1991).</w:t>
      </w:r>
    </w:p>
    <w:p w14:paraId="057EC242"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6AEF175F" w14:textId="77777777" w:rsidR="002A32AD"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Alcance </w:t>
      </w:r>
    </w:p>
    <w:p w14:paraId="71607698" w14:textId="77777777" w:rsidR="002A32AD"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La investigación es descriptiva y cuantitativa. Su población de referencia son las personas de 18 años o más que compran una bebida en cafeterías de especialidad de Chapinero durante el trabajo de campo. La unidad de observación es el cliente encuestado en una visita. El trabajo de campo se concentrará en Chapinero, una sola zona con buena variabilidad de clientes. La localidad concentra residentes con niveles educativos muy altos: en su zona urbana, el 79,0 % de las personas de 15 años o más tiene educación superior, frente al 46,8 % del total urbano de Bogotá, y el 32,9 % de los hogares es unipersonal (Departamento Administrativo Nacional de Estadística [DANE] y Secretaría Distrital de Planeación [SDP], 2022). Su mercado laboral es más formal que el de la ciudad, con una tasa de informalidad de 25 % frente a 42,4 % en Bogotá (Secretaría Distrital de Integración Social [SDIS], 2022). Al mismo tiempo, en Chapinero conviven zonas de altos ingresos con barrios de origen informal (Ruiz Solano, 2017). Esa mezcla ofrece clientes de perfiles diversos en un área acotada, lo que permite encuestar a muchos consumidores en un número moderado de cafeterías. Se considera cafetería de especialidad la que ofrece al menos un método de filtrado e informa el origen del café en su carta. Los resultados describirán a los clientes de las tiendas visitadas, no a todos los consumidores de café de la ciudad, y las relaciones que se encuentren serán asociaciones, no efectos causales.</w:t>
      </w:r>
    </w:p>
    <w:p w14:paraId="1CB29264" w14:textId="77777777" w:rsidR="002A32AD" w:rsidRDefault="002A32AD">
      <w:pPr>
        <w:spacing w:line="360" w:lineRule="auto"/>
        <w:ind w:firstLine="720"/>
        <w:rPr>
          <w:rFonts w:ascii="Times New Roman" w:eastAsia="Times New Roman" w:hAnsi="Times New Roman" w:cs="Times New Roman"/>
        </w:rPr>
      </w:pPr>
    </w:p>
    <w:p w14:paraId="09A6D2D5" w14:textId="77777777" w:rsidR="002A32AD"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Marco teórico</w:t>
      </w:r>
    </w:p>
    <w:p w14:paraId="5FF2FA50"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Un tinto de panadería y un café filtrado de origen se parecen más de lo que sus precios sugieren: ambos son café negro servido en una taza. Que algunas personas paguen bastante más por el segundo no es un capricho que la economía deba dejarle a la psicología, sino un problema clásico de demanda de bienes diferenciados (Lancaster, 1966). Este marco lo aborda con algunas ideas encadenadas, resumidas en la Figura 1: la taza como canasta de características; la disposición a pagar y el límite que le impone la restricción presupuestaria; la información como condición para percibir la calidad, y el hábito como lo que vuelve repetida, y por tanto costosa, una decisión pequeña. Al final, esas ideas se traducen en magnitudes medibles y en un conjunto de asociaciones que la encuesta debe describir.</w:t>
      </w:r>
    </w:p>
    <w:p w14:paraId="0779AD1A" w14:textId="77777777" w:rsidR="002A32AD" w:rsidRDefault="002A32AD">
      <w:pPr>
        <w:spacing w:line="360" w:lineRule="auto"/>
        <w:rPr>
          <w:rFonts w:ascii="Times New Roman" w:eastAsia="Times New Roman" w:hAnsi="Times New Roman" w:cs="Times New Roman"/>
        </w:rPr>
      </w:pPr>
    </w:p>
    <w:p w14:paraId="61F27059" w14:textId="77777777" w:rsidR="002A32AD" w:rsidRDefault="002A32AD">
      <w:pPr>
        <w:spacing w:line="360" w:lineRule="auto"/>
        <w:rPr>
          <w:rFonts w:ascii="Times New Roman" w:eastAsia="Times New Roman" w:hAnsi="Times New Roman" w:cs="Times New Roman"/>
        </w:rPr>
      </w:pPr>
    </w:p>
    <w:p w14:paraId="2CCCDF20" w14:textId="77777777" w:rsidR="002A32AD" w:rsidRDefault="002A32AD">
      <w:pPr>
        <w:spacing w:line="360" w:lineRule="auto"/>
        <w:rPr>
          <w:rFonts w:ascii="Times New Roman" w:eastAsia="Times New Roman" w:hAnsi="Times New Roman" w:cs="Times New Roman"/>
        </w:rPr>
      </w:pPr>
    </w:p>
    <w:p w14:paraId="4A988B77" w14:textId="77777777" w:rsidR="002A32AD" w:rsidRDefault="002A32AD">
      <w:pPr>
        <w:spacing w:line="360" w:lineRule="auto"/>
        <w:rPr>
          <w:rFonts w:ascii="Times New Roman" w:eastAsia="Times New Roman" w:hAnsi="Times New Roman" w:cs="Times New Roman"/>
        </w:rPr>
      </w:pPr>
    </w:p>
    <w:p w14:paraId="592B40F3" w14:textId="77777777" w:rsidR="002A32AD" w:rsidRDefault="002A32AD">
      <w:pPr>
        <w:spacing w:line="360" w:lineRule="auto"/>
        <w:rPr>
          <w:rFonts w:ascii="Times New Roman" w:eastAsia="Times New Roman" w:hAnsi="Times New Roman" w:cs="Times New Roman"/>
        </w:rPr>
      </w:pPr>
    </w:p>
    <w:p w14:paraId="6B67999E" w14:textId="77777777" w:rsidR="002A32AD" w:rsidRDefault="002A32AD">
      <w:pPr>
        <w:spacing w:line="360" w:lineRule="auto"/>
        <w:rPr>
          <w:rFonts w:ascii="Times New Roman" w:eastAsia="Times New Roman" w:hAnsi="Times New Roman" w:cs="Times New Roman"/>
        </w:rPr>
      </w:pPr>
    </w:p>
    <w:p w14:paraId="007D3F75" w14:textId="77777777" w:rsidR="002A32AD" w:rsidRDefault="002A32AD">
      <w:pPr>
        <w:spacing w:line="360" w:lineRule="auto"/>
        <w:rPr>
          <w:rFonts w:ascii="Times New Roman" w:eastAsia="Times New Roman" w:hAnsi="Times New Roman" w:cs="Times New Roman"/>
        </w:rPr>
      </w:pPr>
    </w:p>
    <w:p w14:paraId="5FF8251F" w14:textId="77777777" w:rsidR="002A32AD" w:rsidRDefault="002A32AD">
      <w:pPr>
        <w:spacing w:line="360" w:lineRule="auto"/>
        <w:rPr>
          <w:rFonts w:ascii="Times New Roman" w:eastAsia="Times New Roman" w:hAnsi="Times New Roman" w:cs="Times New Roman"/>
        </w:rPr>
      </w:pPr>
    </w:p>
    <w:p w14:paraId="4DB50A40" w14:textId="77777777" w:rsidR="002A32AD" w:rsidRDefault="002A32AD">
      <w:pPr>
        <w:spacing w:line="360" w:lineRule="auto"/>
        <w:rPr>
          <w:rFonts w:ascii="Times New Roman" w:eastAsia="Times New Roman" w:hAnsi="Times New Roman" w:cs="Times New Roman"/>
        </w:rPr>
      </w:pPr>
    </w:p>
    <w:p w14:paraId="04509A65" w14:textId="62F17424" w:rsidR="00E51D9D" w:rsidRDefault="00E51D9D" w:rsidP="00E51D9D">
      <w:pPr>
        <w:spacing w:before="240" w:after="240" w:line="360" w:lineRule="auto"/>
        <w:jc w:val="center"/>
        <w:rPr>
          <w:rFonts w:ascii="Times New Roman" w:eastAsia="Times New Roman" w:hAnsi="Times New Roman" w:cs="Times New Roman"/>
          <w:i/>
          <w:iCs/>
        </w:rPr>
      </w:pPr>
      <w:r>
        <w:rPr>
          <w:rFonts w:ascii="Times New Roman" w:eastAsia="Times New Roman" w:hAnsi="Times New Roman" w:cs="Times New Roman"/>
          <w:i/>
          <w:iCs/>
        </w:rPr>
        <w:lastRenderedPageBreak/>
        <w:t xml:space="preserve">Figura </w:t>
      </w:r>
      <w:r>
        <w:rPr>
          <w:rFonts w:ascii="Times New Roman" w:eastAsia="Times New Roman" w:hAnsi="Times New Roman" w:cs="Times New Roman"/>
          <w:i/>
          <w:iCs/>
        </w:rPr>
        <w:t>1</w:t>
      </w:r>
      <w:r>
        <w:rPr>
          <w:rFonts w:ascii="Times New Roman" w:eastAsia="Times New Roman" w:hAnsi="Times New Roman" w:cs="Times New Roman"/>
          <w:i/>
          <w:iCs/>
        </w:rPr>
        <w:t>. Diagrama PRISMA de la revisión de literatura. Adaptado de PRISMA 2020 (Page et al., 2021). Elaboración propia.</w:t>
      </w:r>
    </w:p>
    <w:p w14:paraId="6B446B57" w14:textId="77777777" w:rsidR="002A32AD"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BE501F" wp14:editId="1514B7DD">
            <wp:extent cx="5731200" cy="5054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5054600"/>
                    </a:xfrm>
                    <a:prstGeom prst="rect">
                      <a:avLst/>
                    </a:prstGeom>
                    <a:ln/>
                  </pic:spPr>
                </pic:pic>
              </a:graphicData>
            </a:graphic>
          </wp:inline>
        </w:drawing>
      </w:r>
    </w:p>
    <w:p w14:paraId="3AD6DC25" w14:textId="77777777" w:rsidR="002A32AD" w:rsidRDefault="00000000">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rPr>
        <w:t>Figura 1. Marco teórico del proyecto: la bebida como canasta de características y los determinantes de la disposición a pagar. Elaboración propia.</w:t>
      </w:r>
    </w:p>
    <w:p w14:paraId="5FC854E0"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Lancaster (1966) cambió la pregunta de la teoría del consumidor por la idea de que las personas no obtienen utilidad de los bienes en sí, sino de las características que contienen, y un mismo bien reúne varias de ellas. Vista así, una bebida de especialidad es una canasta de atributos, como lo es la calidad sensorial del sabor o el aroma, información sobre el origen y la trazabilidad, un método de preparación y un servicio prestado en un espacio. El tinto comparte la característica básica, pero ofrece poco de las demás. La prima que un cliente está dispuesto a pagar por el filtrado frente al tinto puede leerse, entonces, como la valoración monetaria de esas características adicionales.</w:t>
      </w:r>
    </w:p>
    <w:p w14:paraId="236D029F"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Esta lectura tiene dos consecuencias. La primera es que la diferenciación le da a cada tienda margen para fijar su precio, porque enfrenta una demanda con pendiente negativa y no un precio de mercado </w:t>
      </w:r>
      <w:r>
        <w:rPr>
          <w:rFonts w:ascii="Times New Roman" w:eastAsia="Times New Roman" w:hAnsi="Times New Roman" w:cs="Times New Roman"/>
        </w:rPr>
        <w:lastRenderedPageBreak/>
        <w:t xml:space="preserve">único (CORE </w:t>
      </w:r>
      <w:proofErr w:type="spellStart"/>
      <w:r>
        <w:rPr>
          <w:rFonts w:ascii="Times New Roman" w:eastAsia="Times New Roman" w:hAnsi="Times New Roman" w:cs="Times New Roman"/>
        </w:rPr>
        <w:t>Econ</w:t>
      </w:r>
      <w:proofErr w:type="spellEnd"/>
      <w:r>
        <w:rPr>
          <w:rFonts w:ascii="Times New Roman" w:eastAsia="Times New Roman" w:hAnsi="Times New Roman" w:cs="Times New Roman"/>
        </w:rPr>
        <w:t xml:space="preserve">, 2023). La segunda es que la valoración de cada característica cambia entre personas, y esa heterogeneidad es justamente lo que el estudio quiere describir. La clasificación de </w:t>
      </w:r>
      <w:proofErr w:type="spellStart"/>
      <w:r>
        <w:rPr>
          <w:rFonts w:ascii="Times New Roman" w:eastAsia="Times New Roman" w:hAnsi="Times New Roman" w:cs="Times New Roman"/>
        </w:rPr>
        <w:t>Samoggia</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Riedel</w:t>
      </w:r>
      <w:proofErr w:type="spellEnd"/>
      <w:r>
        <w:rPr>
          <w:rFonts w:ascii="Times New Roman" w:eastAsia="Times New Roman" w:hAnsi="Times New Roman" w:cs="Times New Roman"/>
        </w:rPr>
        <w:t xml:space="preserve"> (2018), presentada en la motivación, permite ordenar esa heterogeneidad en las tres dimensiones de este proyecto: el nivel socioeconómico corresponde a los rasgos sociodemográficos, el conocimiento del café a las preferencias personales y los hábitos al contexto de consumo.</w:t>
      </w:r>
    </w:p>
    <w:p w14:paraId="280A6129"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La disposición a pagar (DAP) es la cantidad máxima que una persona pagaría por adquirir una unidad de un bien (CORE </w:t>
      </w:r>
      <w:proofErr w:type="spellStart"/>
      <w:r>
        <w:rPr>
          <w:rFonts w:ascii="Times New Roman" w:eastAsia="Times New Roman" w:hAnsi="Times New Roman" w:cs="Times New Roman"/>
        </w:rPr>
        <w:t>Econ</w:t>
      </w:r>
      <w:proofErr w:type="spellEnd"/>
      <w:r>
        <w:rPr>
          <w:rFonts w:ascii="Times New Roman" w:eastAsia="Times New Roman" w:hAnsi="Times New Roman" w:cs="Times New Roman"/>
        </w:rPr>
        <w:t>, 2023). Si se ordena a los consumidores de mayor a menor DAP, la proporción cuya DAP iguala o supera cada precio es la cantidad demandada a ese precio, por lo que la distribución de la DAP es la curva de demanda. Esta idea permite usar una encuesta para describir la demanda que enfrentan las tiendas.</w:t>
      </w:r>
    </w:p>
    <w:p w14:paraId="313E1BBE"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La DAP está acotada por la restricción presupuestaria. Si el café de especialidad es un bien normal, un mayor ingreso debería acompañarse de una mayor DAP, y la evidencia internacional va en esa dirección pues en Costa Rica el ingreso y la educación se asocian con pagar una prima por café certificado y con el monto de esa prima (Valenciano-Salazar et al., 2021). La educación ilustra por qué importa distinguir márgenes de decisión, ya que en Colombia la educación superior se asocia con una menor probabilidad de que el hogar consuma café (FNC, 2019). No hay contradicción, pues una cosa es decidir si se consume café y otra cuánto se paga por su calidad. En Bogotá, además, la medida más usada de posición socioeconómica es el estrato, que clasifica la vivienda como aproximación a la capacidad de pago y no mide el ingreso de quien responde (Uribe Mallarino y Pardo Pérez, 2006). Yunda (2019) muestra que este sistema, diseñado a partir de las características físicas de las viviendas y su entorno para distribuir subsidios cruzados en los servicios públicos, terminó siendo asimilado por los bogotanos como un indicador de ingreso y de reconocimiento social, al punto de orientar dónde se densifica la ciudad. Para la encuesta esto tiene dos implicaciones: el estrato es una variable que los clientes reconocen y responden con facilidad, pero debe interpretarse como un indicador del entorno residencial y no como el ingreso de cada persona.</w:t>
      </w:r>
    </w:p>
    <w:p w14:paraId="36BB0431" w14:textId="77777777" w:rsidR="002A32AD" w:rsidRDefault="00000000">
      <w:pPr>
        <w:spacing w:before="240" w:after="24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rPr>
        <w:t>Hay un detalle que suele pasarse por alto. Quien ya compró una bebida reveló que la valora al menos en su precio. Entre los clientes de una cafetería, por tanto, la DAP tiene un piso, pues la encuesta describe la parte alta de la curva de demanda, la de quienes ya cruzaron la puerta, y no la de toda la ciudad. No es un defecto del diseño, sino un límite que debe declararse, y explica por qué el estudio compara a los clientes entre sí en lugar de estimar cuántos bogotanos comprarían café de especialidad a cada precio.</w:t>
      </w:r>
    </w:p>
    <w:p w14:paraId="3F9CA02C"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Por otro lado, Nelson (1970) distinguió entre bienes de búsqueda, cuya calidad se conoce antes de comprar, y bienes de experiencia, cuya calidad solo se descubre al consumirlos. El sabor de un café </w:t>
      </w:r>
      <w:r>
        <w:rPr>
          <w:rFonts w:ascii="Times New Roman" w:eastAsia="Times New Roman" w:hAnsi="Times New Roman" w:cs="Times New Roman"/>
        </w:rPr>
        <w:lastRenderedPageBreak/>
        <w:t xml:space="preserve">pertenece a la segunda categoría. Darby y </w:t>
      </w:r>
      <w:proofErr w:type="spellStart"/>
      <w:r>
        <w:rPr>
          <w:rFonts w:ascii="Times New Roman" w:eastAsia="Times New Roman" w:hAnsi="Times New Roman" w:cs="Times New Roman"/>
        </w:rPr>
        <w:t>Karni</w:t>
      </w:r>
      <w:proofErr w:type="spellEnd"/>
      <w:r>
        <w:rPr>
          <w:rFonts w:ascii="Times New Roman" w:eastAsia="Times New Roman" w:hAnsi="Times New Roman" w:cs="Times New Roman"/>
        </w:rPr>
        <w:t xml:space="preserve"> (1973) añadieron los atributos de credibilidad, que el consumidor no puede verificar ni siquiera después de consumir, como que el grano provenga de la finca que anuncia la carta. Una taza de especialidad combina el precio y el método declarado en la carta, el sabor que se conoce al probar y el origen que se cree. La evidencia con consumidores colombianos confirma que estos atributos de credibilidad pesan en la elección. En un experimento de elección aplicado en Colombia y España, Sepúlveda et al. (2016) encontraron que los consumidores de ambos países valoran altamente el café de comercio justo y prefieren el de origen colombiano, aunque difieren en otros atributos: los españoles prefieren el café orgánico frente al certificado por </w:t>
      </w:r>
      <w:proofErr w:type="spellStart"/>
      <w:r>
        <w:rPr>
          <w:rFonts w:ascii="Times New Roman" w:eastAsia="Times New Roman" w:hAnsi="Times New Roman" w:cs="Times New Roman"/>
        </w:rPr>
        <w:t>Rainforest</w:t>
      </w:r>
      <w:proofErr w:type="spellEnd"/>
      <w:r>
        <w:rPr>
          <w:rFonts w:ascii="Times New Roman" w:eastAsia="Times New Roman" w:hAnsi="Times New Roman" w:cs="Times New Roman"/>
        </w:rPr>
        <w:t xml:space="preserve"> Alliance en mayor medida que los colombianos. Es una de las pocas mediciones cuantitativas de preferencias por café de especialidad con consumidores colombianos que identificamos en la revisión, y muestra que el origen y las certificaciones, que el cliente no puede comprobar en la taza, son atributos por los que vale la pena preguntar.</w:t>
      </w:r>
    </w:p>
    <w:p w14:paraId="76B97FB0"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Cuando la calidad intrínseca es difícil de juzgar, el consumidor se forma una calidad percibida a partir de señales externas como el precio, la marca o el lugar (Zeithaml, 1988). La pericia cambia este proceso cuando el que sabe más distingue mejor los atributos y procesa con más facilidad la información sobre ellos (Alba y Hutchinson, 1987). En el café, consumidores sin entrenamiento se dividieron por igual entre un café de alta calidad y uno corriente y no identificaron el más caro mejor que al azar; solo quienes acertaron tendían a preferir el de mayor calidad (</w:t>
      </w:r>
      <w:proofErr w:type="spellStart"/>
      <w:r>
        <w:rPr>
          <w:rFonts w:ascii="Times New Roman" w:eastAsia="Times New Roman" w:hAnsi="Times New Roman" w:cs="Times New Roman"/>
        </w:rPr>
        <w:t>Giacalone</w:t>
      </w:r>
      <w:proofErr w:type="spellEnd"/>
      <w:r>
        <w:rPr>
          <w:rFonts w:ascii="Times New Roman" w:eastAsia="Times New Roman" w:hAnsi="Times New Roman" w:cs="Times New Roman"/>
        </w:rPr>
        <w:t xml:space="preserve"> et al., 2016). En Brasil, los consumidores de especialidad se agrupan en regulares, entusiastas y expertos con criterios de compra distintos (Guimarães et al., 2019), y el paso de un grupo a otro se asocia con conocimiento conceptual y perceptual (dos Santos et al., 2021). En Bogotá, la etnografía de Plazas Moncada (2020) muestra que el gusto por la especialidad se aprende en barras y catas, y que no todos los que lo prueban aceptan la prima.</w:t>
      </w:r>
    </w:p>
    <w:p w14:paraId="45647C9F"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Esta dimensión ayuda a leer con cuidado una señal reciente. La prensa económica reporta que el sabor desplazó al precio como principal criterio para elegir una marca de café en Colombia (</w:t>
      </w:r>
      <w:proofErr w:type="spellStart"/>
      <w:r>
        <w:rPr>
          <w:rFonts w:ascii="Times New Roman" w:eastAsia="Times New Roman" w:hAnsi="Times New Roman" w:cs="Times New Roman"/>
        </w:rPr>
        <w:t>Jaimes</w:t>
      </w:r>
      <w:proofErr w:type="spellEnd"/>
      <w:r>
        <w:rPr>
          <w:rFonts w:ascii="Times New Roman" w:eastAsia="Times New Roman" w:hAnsi="Times New Roman" w:cs="Times New Roman"/>
        </w:rPr>
        <w:t>, 2026). Si es así, lo que se valora es un atributo de experiencia, que depende de saber reconocerlo. Pero la importancia declarada de un atributo no equivale a una menor sensibilidad al precio. Para saber cuánto se paga por el sabor hay que medir la disposición a pagar, no preferencias declaradas.</w:t>
      </w:r>
    </w:p>
    <w:p w14:paraId="3B0DB900" w14:textId="77777777" w:rsidR="002A32AD" w:rsidRDefault="00000000">
      <w:pPr>
        <w:spacing w:before="240" w:after="24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rPr>
        <w:t xml:space="preserve">De aquí surge la tensión más interesante de esta sección. Un cliente que sabe más percibe mejor las diferencias de calidad y, si las prefiere, debería pagar más por ellas. Pero un cliente que sabe poco también puede pagar más, porque toma el precio como señal de calidad, como se pudo observar en un experimento con etiquetas de café de especialidad donde la DAP estimada superó el precio más alto mostrado (Teixeira et al., 2024). Los atributos de credibilidad también tienen precio: en un experimento de campo en una cafetería de especialidad, con compras reales, los clientes pagaron en promedio US$1,31 más por una taza de filtrado producida por una cooperativa, y esa prima se explicó </w:t>
      </w:r>
      <w:r>
        <w:rPr>
          <w:rFonts w:ascii="Times New Roman" w:eastAsia="Times New Roman" w:hAnsi="Times New Roman" w:cs="Times New Roman"/>
        </w:rPr>
        <w:lastRenderedPageBreak/>
        <w:t>mejor por rasgos de personalidad que por variables sociodemográficas (</w:t>
      </w:r>
      <w:proofErr w:type="spellStart"/>
      <w:r>
        <w:rPr>
          <w:rFonts w:ascii="Times New Roman" w:eastAsia="Times New Roman" w:hAnsi="Times New Roman" w:cs="Times New Roman"/>
        </w:rPr>
        <w:t>Ufer</w:t>
      </w:r>
      <w:proofErr w:type="spellEnd"/>
      <w:r>
        <w:rPr>
          <w:rFonts w:ascii="Times New Roman" w:eastAsia="Times New Roman" w:hAnsi="Times New Roman" w:cs="Times New Roman"/>
        </w:rPr>
        <w:t xml:space="preserve"> et al., 2019). El signo de la relación entre conocimiento y DAP es, por tanto, una pregunta empírica, y las fuentes colombianas consultadas no la han examinado.</w:t>
      </w:r>
    </w:p>
    <w:p w14:paraId="187F1BA8"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Ahora bien, una taza es un gasto pequeño, un hábito no lo es. La frecuencia multiplica el precio y convierte una decisión menor en una partida del presupuesto mensual, de modo que el hábito se conecta con la restricción presupuestaria. Además, el café se comporta como un bien de adicción racional: consumirlo hoy aumenta lo deseable que resulta mañana (Becker y Murphy, 1988; </w:t>
      </w:r>
      <w:proofErr w:type="spellStart"/>
      <w:r>
        <w:rPr>
          <w:rFonts w:ascii="Times New Roman" w:eastAsia="Times New Roman" w:hAnsi="Times New Roman" w:cs="Times New Roman"/>
        </w:rPr>
        <w:t>Olekalns</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Bardsley</w:t>
      </w:r>
      <w:proofErr w:type="spellEnd"/>
      <w:r>
        <w:rPr>
          <w:rFonts w:ascii="Times New Roman" w:eastAsia="Times New Roman" w:hAnsi="Times New Roman" w:cs="Times New Roman"/>
        </w:rPr>
        <w:t>, 1996). También se conecta con la información, porque la experiencia acumulada es una de las formas en que se aprende a distinguir calidades. Por último, el motivo de la visita, ya sea trabajar, reunirse o comprar para llevar, cambia cuánto pesan el servicio y el espacio en lo que se paga. En algunos contextos, la cafetería funciona además como un lugar de consumo visible y compartido en redes sociales (Wang et al., 2024).</w:t>
      </w:r>
    </w:p>
    <w:p w14:paraId="5F54A9A9"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La relación esperada entre frecuencia y DAP es ambigua, pues los clientes frecuentes pueden valorar más la especialidad, pero también enfrentan una restricción más exigente por taza. Por eso esta dimensión entra al marco solo en la medida en que ayuda a explicar la DAP. La evidencia sobre café sugiere que la repetición importa: con datos de compras de café molido, los consumidores leales a una marca resultan menos sensibles al precio al elegirla, aunque más sensibles al decidir cuánto comprar (</w:t>
      </w:r>
      <w:proofErr w:type="spellStart"/>
      <w:r>
        <w:rPr>
          <w:rFonts w:ascii="Times New Roman" w:eastAsia="Times New Roman" w:hAnsi="Times New Roman" w:cs="Times New Roman"/>
        </w:rPr>
        <w:t>Krishnamurthi</w:t>
      </w:r>
      <w:proofErr w:type="spellEnd"/>
      <w:r>
        <w:rPr>
          <w:rFonts w:ascii="Times New Roman" w:eastAsia="Times New Roman" w:hAnsi="Times New Roman" w:cs="Times New Roman"/>
        </w:rPr>
        <w:t xml:space="preserve"> y Raj, 1991).</w:t>
      </w:r>
    </w:p>
    <w:p w14:paraId="4DFDA9FC" w14:textId="77777777" w:rsidR="002A32AD" w:rsidRDefault="002A32AD">
      <w:pPr>
        <w:spacing w:before="240" w:after="240" w:line="360" w:lineRule="auto"/>
        <w:rPr>
          <w:rFonts w:ascii="Times New Roman" w:eastAsia="Times New Roman" w:hAnsi="Times New Roman" w:cs="Times New Roman"/>
        </w:rPr>
      </w:pPr>
    </w:p>
    <w:p w14:paraId="176F107A" w14:textId="77777777" w:rsidR="002A32AD" w:rsidRDefault="00000000">
      <w:pPr>
        <w:spacing w:before="240" w:after="240" w:line="360" w:lineRule="auto"/>
        <w:rPr>
          <w:rFonts w:ascii="Times New Roman" w:eastAsia="Times New Roman" w:hAnsi="Times New Roman" w:cs="Times New Roman"/>
          <w:b/>
          <w:bCs/>
        </w:rPr>
      </w:pPr>
      <w:r>
        <w:rPr>
          <w:rFonts w:ascii="Times New Roman" w:eastAsia="Times New Roman" w:hAnsi="Times New Roman" w:cs="Times New Roman"/>
          <w:b/>
          <w:bCs/>
        </w:rPr>
        <w:t>Revisión de literatura</w:t>
      </w:r>
    </w:p>
    <w:p w14:paraId="1AD7C953" w14:textId="77777777" w:rsidR="002A32AD"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La revisión siguió las etapas del protocolo PRISMA 2020: identificación, tamizaje, elegibilidad e inclusión (Page et al., 2021). En la base de datos </w:t>
      </w:r>
      <w:proofErr w:type="spellStart"/>
      <w:r>
        <w:rPr>
          <w:rFonts w:ascii="Times New Roman" w:eastAsia="Times New Roman" w:hAnsi="Times New Roman" w:cs="Times New Roman"/>
        </w:rPr>
        <w:t>Consensus</w:t>
      </w:r>
      <w:proofErr w:type="spellEnd"/>
      <w:r>
        <w:rPr>
          <w:rFonts w:ascii="Times New Roman" w:eastAsia="Times New Roman" w:hAnsi="Times New Roman" w:cs="Times New Roman"/>
        </w:rPr>
        <w:t xml:space="preserve"> se hicieron cuatro búsquedas, una por cada dimensión del proyecto: disposición a pagar y características del consumidor, conocimiento y calidad percibida, hábitos y sensibilidad al precio, y preferencias por café de especialidad en Colombia. Por otros métodos se identificaron los clásicos teóricos y los estudios citados por los artículos incluidos, revistas y repositorios colombianos, fuentes del Distrito, el DANE y la FNC, y prensa económica, junto con las fuentes consideradas en las entregas anteriores. Se excluyeron los documentos fuera del tema, los publicados en revistas de bajo impacto o con evidencia débil, los redundantes frente a una fuente de mayor peso y los que no se ajustaban al enfoque final de la pregunta. Como resume la Figura 2, de 86 registros identificados se incluyeron 32: 22 artículos revisados por pares, 2 tesis de grado, 4 fuentes institucionales y 4 de prensa económica y gremial.</w:t>
      </w:r>
    </w:p>
    <w:p w14:paraId="6353470C" w14:textId="77777777" w:rsidR="002A32AD" w:rsidRDefault="0000000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[Espacio para la Figura 2: diagrama PRISMA de la revisión de literatura]</w:t>
      </w:r>
    </w:p>
    <w:p w14:paraId="511AE8B0" w14:textId="77777777" w:rsidR="002A32AD" w:rsidRDefault="002A32AD">
      <w:pPr>
        <w:spacing w:line="360" w:lineRule="auto"/>
        <w:rPr>
          <w:rFonts w:ascii="Times New Roman" w:eastAsia="Times New Roman" w:hAnsi="Times New Roman" w:cs="Times New Roman"/>
        </w:rPr>
      </w:pPr>
    </w:p>
    <w:p w14:paraId="105D9809" w14:textId="77777777" w:rsidR="002A32AD" w:rsidRDefault="002A32AD">
      <w:pPr>
        <w:spacing w:line="360" w:lineRule="auto"/>
        <w:rPr>
          <w:rFonts w:ascii="Times New Roman" w:eastAsia="Times New Roman" w:hAnsi="Times New Roman" w:cs="Times New Roman"/>
        </w:rPr>
      </w:pPr>
    </w:p>
    <w:p w14:paraId="719E3A8D" w14:textId="77777777" w:rsidR="002A32AD"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Referencias</w:t>
      </w:r>
    </w:p>
    <w:p w14:paraId="5E3936A5" w14:textId="77777777" w:rsidR="002A32AD" w:rsidRDefault="002A32AD">
      <w:pPr>
        <w:spacing w:line="360" w:lineRule="auto"/>
        <w:jc w:val="center"/>
        <w:rPr>
          <w:rFonts w:ascii="Times New Roman" w:eastAsia="Times New Roman" w:hAnsi="Times New Roman" w:cs="Times New Roman"/>
          <w:b/>
          <w:bCs/>
        </w:rPr>
      </w:pPr>
    </w:p>
    <w:p w14:paraId="53F248DC"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Alba, J. W., y Hutchinson, J. W. (1987). </w:t>
      </w:r>
      <w:proofErr w:type="spellStart"/>
      <w:r>
        <w:rPr>
          <w:rFonts w:ascii="Times New Roman" w:eastAsia="Times New Roman" w:hAnsi="Times New Roman" w:cs="Times New Roman"/>
        </w:rPr>
        <w:t>Dimensions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consumer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expertise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Consumer</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Research</w:t>
      </w:r>
      <w:proofErr w:type="spellEnd"/>
      <w:r>
        <w:rPr>
          <w:rFonts w:ascii="Times New Roman" w:eastAsia="Times New Roman" w:hAnsi="Times New Roman" w:cs="Times New Roman"/>
          <w:i/>
          <w:iCs/>
        </w:rPr>
        <w:t>, 13</w:t>
      </w:r>
      <w:r>
        <w:rPr>
          <w:rFonts w:ascii="Times New Roman" w:eastAsia="Times New Roman" w:hAnsi="Times New Roman" w:cs="Times New Roman"/>
        </w:rPr>
        <w:t>(4), 411–454. https://doi.org/10.1086/209080</w:t>
      </w:r>
    </w:p>
    <w:p w14:paraId="10E1EF80"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Alcaldía Mayor de Bogotá. (2025, 9 de diciembre). </w:t>
      </w:r>
      <w:r>
        <w:rPr>
          <w:rFonts w:ascii="Times New Roman" w:eastAsia="Times New Roman" w:hAnsi="Times New Roman" w:cs="Times New Roman"/>
          <w:i/>
          <w:iCs/>
        </w:rPr>
        <w:t>Bogotá lanza ‘Conexión Bogotá: Experiencias de Café’: La capital de experiencias cafeteras en Colombia</w:t>
      </w:r>
      <w:r>
        <w:rPr>
          <w:rFonts w:ascii="Times New Roman" w:eastAsia="Times New Roman" w:hAnsi="Times New Roman" w:cs="Times New Roman"/>
        </w:rPr>
        <w:t>. https://bogota.gov.co/mi-ciudad/desarrollo-economico/bogota-lanza-conexion-bogota-experiencias-de-cafe-en-turismo</w:t>
      </w:r>
    </w:p>
    <w:p w14:paraId="46ADB13B"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Becker, G. S., y Murphy, K. M. (1988). A </w:t>
      </w:r>
      <w:proofErr w:type="spellStart"/>
      <w:r>
        <w:rPr>
          <w:rFonts w:ascii="Times New Roman" w:eastAsia="Times New Roman" w:hAnsi="Times New Roman" w:cs="Times New Roman"/>
        </w:rPr>
        <w:t>theory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addiction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Political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Economy</w:t>
      </w:r>
      <w:proofErr w:type="spellEnd"/>
      <w:r>
        <w:rPr>
          <w:rFonts w:ascii="Times New Roman" w:eastAsia="Times New Roman" w:hAnsi="Times New Roman" w:cs="Times New Roman"/>
          <w:i/>
          <w:iCs/>
        </w:rPr>
        <w:t>, 96</w:t>
      </w:r>
      <w:r>
        <w:rPr>
          <w:rFonts w:ascii="Times New Roman" w:eastAsia="Times New Roman" w:hAnsi="Times New Roman" w:cs="Times New Roman"/>
        </w:rPr>
        <w:t>(4), 675–700. https://doi.org/10.1086/261558</w:t>
      </w:r>
    </w:p>
    <w:p w14:paraId="1074F2F6"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Bloomberg Línea. (2024, 17 de junio). </w:t>
      </w:r>
      <w:r>
        <w:rPr>
          <w:rFonts w:ascii="Times New Roman" w:eastAsia="Times New Roman" w:hAnsi="Times New Roman" w:cs="Times New Roman"/>
          <w:i/>
          <w:iCs/>
        </w:rPr>
        <w:t>¿Consumo de café se estanca? Colombia pone la lupa en su producto estrella y cambia la estrategia</w:t>
      </w:r>
      <w:r>
        <w:rPr>
          <w:rFonts w:ascii="Times New Roman" w:eastAsia="Times New Roman" w:hAnsi="Times New Roman" w:cs="Times New Roman"/>
        </w:rPr>
        <w:t>. https://www.bloomberglinea.com/latinoamerica/colombia/consumo-de-cafe-se-estanca-colombia-pone-la-lupa-en-su-producto-estrella-y-reduce-importaciones/</w:t>
      </w:r>
    </w:p>
    <w:p w14:paraId="719988A1"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Colombia Más Competitiva. (2026). </w:t>
      </w:r>
      <w:r>
        <w:rPr>
          <w:rFonts w:ascii="Times New Roman" w:eastAsia="Times New Roman" w:hAnsi="Times New Roman" w:cs="Times New Roman"/>
          <w:i/>
          <w:iCs/>
        </w:rPr>
        <w:t>Estudio de consumo de cafés especiales en Colombia</w:t>
      </w:r>
      <w:r>
        <w:rPr>
          <w:rFonts w:ascii="Times New Roman" w:eastAsia="Times New Roman" w:hAnsi="Times New Roman" w:cs="Times New Roman"/>
        </w:rPr>
        <w:t>. https://colombiamascompetitiva.com/project/estudio-de-consumo-de-cafes-especiales-en-colombia/</w:t>
      </w:r>
    </w:p>
    <w:p w14:paraId="2A1B6A59"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CORE Econ. (2023). </w:t>
      </w:r>
      <w:proofErr w:type="spellStart"/>
      <w:r>
        <w:rPr>
          <w:rFonts w:ascii="Times New Roman" w:eastAsia="Times New Roman" w:hAnsi="Times New Roman" w:cs="Times New Roman"/>
          <w:i/>
          <w:iCs/>
        </w:rPr>
        <w:t>The</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Economy</w:t>
      </w:r>
      <w:proofErr w:type="spellEnd"/>
      <w:r>
        <w:rPr>
          <w:rFonts w:ascii="Times New Roman" w:eastAsia="Times New Roman" w:hAnsi="Times New Roman" w:cs="Times New Roman"/>
          <w:i/>
          <w:iCs/>
        </w:rPr>
        <w:t xml:space="preserve"> 2.0: </w:t>
      </w:r>
      <w:proofErr w:type="spellStart"/>
      <w:r>
        <w:rPr>
          <w:rFonts w:ascii="Times New Roman" w:eastAsia="Times New Roman" w:hAnsi="Times New Roman" w:cs="Times New Roman"/>
          <w:i/>
          <w:iCs/>
        </w:rPr>
        <w:t>Microeconomics</w:t>
      </w:r>
      <w:proofErr w:type="spellEnd"/>
      <w:r>
        <w:rPr>
          <w:rFonts w:ascii="Times New Roman" w:eastAsia="Times New Roman" w:hAnsi="Times New Roman" w:cs="Times New Roman"/>
        </w:rPr>
        <w:t xml:space="preserve"> (versión 2.0.0). https://books.core-econ.org/the-economy/microeconomics/08-supply-demand-02-buying-and-selling.html</w:t>
      </w:r>
    </w:p>
    <w:p w14:paraId="78CB947F"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Darby, M. R., y </w:t>
      </w:r>
      <w:proofErr w:type="spellStart"/>
      <w:r>
        <w:rPr>
          <w:rFonts w:ascii="Times New Roman" w:eastAsia="Times New Roman" w:hAnsi="Times New Roman" w:cs="Times New Roman"/>
        </w:rPr>
        <w:t>Karni</w:t>
      </w:r>
      <w:proofErr w:type="spellEnd"/>
      <w:r>
        <w:rPr>
          <w:rFonts w:ascii="Times New Roman" w:eastAsia="Times New Roman" w:hAnsi="Times New Roman" w:cs="Times New Roman"/>
        </w:rPr>
        <w:t xml:space="preserve">, E. (1973). Free </w:t>
      </w:r>
      <w:proofErr w:type="spellStart"/>
      <w:r>
        <w:rPr>
          <w:rFonts w:ascii="Times New Roman" w:eastAsia="Times New Roman" w:hAnsi="Times New Roman" w:cs="Times New Roman"/>
        </w:rPr>
        <w:t>competition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optimal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amount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fraud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The</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Law</w:t>
      </w:r>
      <w:proofErr w:type="spellEnd"/>
      <w:r>
        <w:rPr>
          <w:rFonts w:ascii="Times New Roman" w:eastAsia="Times New Roman" w:hAnsi="Times New Roman" w:cs="Times New Roman"/>
          <w:i/>
          <w:iCs/>
        </w:rPr>
        <w:t xml:space="preserve"> and </w:t>
      </w:r>
      <w:proofErr w:type="spellStart"/>
      <w:r>
        <w:rPr>
          <w:rFonts w:ascii="Times New Roman" w:eastAsia="Times New Roman" w:hAnsi="Times New Roman" w:cs="Times New Roman"/>
          <w:i/>
          <w:iCs/>
        </w:rPr>
        <w:t>Economics</w:t>
      </w:r>
      <w:proofErr w:type="spellEnd"/>
      <w:r>
        <w:rPr>
          <w:rFonts w:ascii="Times New Roman" w:eastAsia="Times New Roman" w:hAnsi="Times New Roman" w:cs="Times New Roman"/>
          <w:i/>
          <w:iCs/>
        </w:rPr>
        <w:t>, 16</w:t>
      </w:r>
      <w:r>
        <w:rPr>
          <w:rFonts w:ascii="Times New Roman" w:eastAsia="Times New Roman" w:hAnsi="Times New Roman" w:cs="Times New Roman"/>
        </w:rPr>
        <w:t>(1), 67–88. https://doi.org/10.1086/466756</w:t>
      </w:r>
    </w:p>
    <w:p w14:paraId="350CC6DF"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Departamento Administrativo Nacional de Estadística y Secretaría Distrital de Planeación. (2022). </w:t>
      </w:r>
      <w:r>
        <w:rPr>
          <w:rFonts w:ascii="Times New Roman" w:eastAsia="Times New Roman" w:hAnsi="Times New Roman" w:cs="Times New Roman"/>
          <w:i/>
          <w:iCs/>
        </w:rPr>
        <w:t>Boletín técnico: Encuesta Multipropósito Bogotá–Cundinamarca (EM) 2021</w:t>
      </w:r>
      <w:r>
        <w:rPr>
          <w:rFonts w:ascii="Times New Roman" w:eastAsia="Times New Roman" w:hAnsi="Times New Roman" w:cs="Times New Roman"/>
        </w:rPr>
        <w:t>. https://www.dane.gov.co/files/investigaciones/multi/Boletin_EM_2021.pdf</w:t>
      </w:r>
    </w:p>
    <w:p w14:paraId="463620DE"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dos Santos, P. M., </w:t>
      </w:r>
      <w:proofErr w:type="spellStart"/>
      <w:r>
        <w:rPr>
          <w:rFonts w:ascii="Times New Roman" w:eastAsia="Times New Roman" w:hAnsi="Times New Roman" w:cs="Times New Roman"/>
        </w:rPr>
        <w:t>Cirillo</w:t>
      </w:r>
      <w:proofErr w:type="spellEnd"/>
      <w:r>
        <w:rPr>
          <w:rFonts w:ascii="Times New Roman" w:eastAsia="Times New Roman" w:hAnsi="Times New Roman" w:cs="Times New Roman"/>
        </w:rPr>
        <w:t xml:space="preserve">, M. Â., y Guimarães, E. R. (2021). Specialty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Brazil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Transition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among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consumers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constructs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structural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equation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British </w:t>
      </w:r>
      <w:proofErr w:type="spellStart"/>
      <w:r>
        <w:rPr>
          <w:rFonts w:ascii="Times New Roman" w:eastAsia="Times New Roman" w:hAnsi="Times New Roman" w:cs="Times New Roman"/>
          <w:i/>
          <w:iCs/>
        </w:rPr>
        <w:t>Food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123</w:t>
      </w:r>
      <w:r>
        <w:rPr>
          <w:rFonts w:ascii="Times New Roman" w:eastAsia="Times New Roman" w:hAnsi="Times New Roman" w:cs="Times New Roman"/>
        </w:rPr>
        <w:t>(5), 1913–1930. https://doi.org/10.1108/BFJ-06-2020-0537</w:t>
      </w:r>
    </w:p>
    <w:p w14:paraId="2597C5E8"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Federación Nacional de Cafeteros de Colombia. (2019). El consumo interno de café en Colombia: Medición y determinantes. </w:t>
      </w:r>
      <w:r>
        <w:rPr>
          <w:rFonts w:ascii="Times New Roman" w:eastAsia="Times New Roman" w:hAnsi="Times New Roman" w:cs="Times New Roman"/>
          <w:i/>
          <w:iCs/>
        </w:rPr>
        <w:t>Ensayos sobre Economía Cafetera, 33</w:t>
      </w:r>
      <w:r>
        <w:rPr>
          <w:rFonts w:ascii="Times New Roman" w:eastAsia="Times New Roman" w:hAnsi="Times New Roman" w:cs="Times New Roman"/>
        </w:rPr>
        <w:t>(1), 37–65. https://doi.org/10.38141/10788/033-1-3</w:t>
      </w:r>
    </w:p>
    <w:p w14:paraId="4A902647" w14:textId="77777777" w:rsidR="002A32AD" w:rsidRDefault="00000000">
      <w:pPr>
        <w:spacing w:line="360" w:lineRule="auto"/>
        <w:ind w:left="1440" w:hanging="720"/>
        <w:rPr>
          <w:rFonts w:ascii="Times New Roman" w:eastAsia="Times New Roman" w:hAnsi="Times New Roman" w:cs="Times New Roman"/>
        </w:rPr>
      </w:pPr>
      <w:proofErr w:type="spellStart"/>
      <w:r>
        <w:rPr>
          <w:rFonts w:ascii="Times New Roman" w:eastAsia="Times New Roman" w:hAnsi="Times New Roman" w:cs="Times New Roman"/>
        </w:rPr>
        <w:t>Giacalone</w:t>
      </w:r>
      <w:proofErr w:type="spellEnd"/>
      <w:r>
        <w:rPr>
          <w:rFonts w:ascii="Times New Roman" w:eastAsia="Times New Roman" w:hAnsi="Times New Roman" w:cs="Times New Roman"/>
        </w:rPr>
        <w:t xml:space="preserve">, D., </w:t>
      </w:r>
      <w:proofErr w:type="spellStart"/>
      <w:r>
        <w:rPr>
          <w:rFonts w:ascii="Times New Roman" w:eastAsia="Times New Roman" w:hAnsi="Times New Roman" w:cs="Times New Roman"/>
        </w:rPr>
        <w:t>Fosgaard</w:t>
      </w:r>
      <w:proofErr w:type="spellEnd"/>
      <w:r>
        <w:rPr>
          <w:rFonts w:ascii="Times New Roman" w:eastAsia="Times New Roman" w:hAnsi="Times New Roman" w:cs="Times New Roman"/>
        </w:rPr>
        <w:t xml:space="preserve">, T. R., </w:t>
      </w:r>
      <w:proofErr w:type="spellStart"/>
      <w:r>
        <w:rPr>
          <w:rFonts w:ascii="Times New Roman" w:eastAsia="Times New Roman" w:hAnsi="Times New Roman" w:cs="Times New Roman"/>
        </w:rPr>
        <w:t>Steen</w:t>
      </w:r>
      <w:proofErr w:type="spellEnd"/>
      <w:r>
        <w:rPr>
          <w:rFonts w:ascii="Times New Roman" w:eastAsia="Times New Roman" w:hAnsi="Times New Roman" w:cs="Times New Roman"/>
        </w:rPr>
        <w:t xml:space="preserve">, I., y </w:t>
      </w:r>
      <w:proofErr w:type="spellStart"/>
      <w:r>
        <w:rPr>
          <w:rFonts w:ascii="Times New Roman" w:eastAsia="Times New Roman" w:hAnsi="Times New Roman" w:cs="Times New Roman"/>
        </w:rPr>
        <w:t>Münchow</w:t>
      </w:r>
      <w:proofErr w:type="spellEnd"/>
      <w:r>
        <w:rPr>
          <w:rFonts w:ascii="Times New Roman" w:eastAsia="Times New Roman" w:hAnsi="Times New Roman" w:cs="Times New Roman"/>
        </w:rPr>
        <w:t>, M. (2016). "</w:t>
      </w:r>
      <w:proofErr w:type="spellStart"/>
      <w:r>
        <w:rPr>
          <w:rFonts w:ascii="Times New Roman" w:eastAsia="Times New Roman" w:hAnsi="Times New Roman" w:cs="Times New Roman"/>
        </w:rPr>
        <w:t>Quality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itself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Divergence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between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objective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quality</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preference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naïve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consumers</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British </w:t>
      </w:r>
      <w:proofErr w:type="spellStart"/>
      <w:r>
        <w:rPr>
          <w:rFonts w:ascii="Times New Roman" w:eastAsia="Times New Roman" w:hAnsi="Times New Roman" w:cs="Times New Roman"/>
          <w:i/>
          <w:iCs/>
        </w:rPr>
        <w:t>Food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118</w:t>
      </w:r>
      <w:r>
        <w:rPr>
          <w:rFonts w:ascii="Times New Roman" w:eastAsia="Times New Roman" w:hAnsi="Times New Roman" w:cs="Times New Roman"/>
        </w:rPr>
        <w:t>(10), 2462–2474. https://doi.org/10.1108/BFJ-03-2016-0127</w:t>
      </w:r>
    </w:p>
    <w:p w14:paraId="17195932"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lastRenderedPageBreak/>
        <w:t xml:space="preserve">Guimarães, E. R., Leme, P. H. M. V., De </w:t>
      </w:r>
      <w:proofErr w:type="spellStart"/>
      <w:r>
        <w:rPr>
          <w:rFonts w:ascii="Times New Roman" w:eastAsia="Times New Roman" w:hAnsi="Times New Roman" w:cs="Times New Roman"/>
        </w:rPr>
        <w:t>Rezende</w:t>
      </w:r>
      <w:proofErr w:type="spellEnd"/>
      <w:r>
        <w:rPr>
          <w:rFonts w:ascii="Times New Roman" w:eastAsia="Times New Roman" w:hAnsi="Times New Roman" w:cs="Times New Roman"/>
        </w:rPr>
        <w:t xml:space="preserve">, D. C., Pereira, S. P., y Dos Santos, A. C. (2019).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brand</w:t>
      </w:r>
      <w:proofErr w:type="spellEnd"/>
      <w:r>
        <w:rPr>
          <w:rFonts w:ascii="Times New Roman" w:eastAsia="Times New Roman" w:hAnsi="Times New Roman" w:cs="Times New Roman"/>
        </w:rPr>
        <w:t xml:space="preserve"> new </w:t>
      </w:r>
      <w:proofErr w:type="spellStart"/>
      <w:r>
        <w:rPr>
          <w:rFonts w:ascii="Times New Roman" w:eastAsia="Times New Roman" w:hAnsi="Times New Roman" w:cs="Times New Roman"/>
        </w:rPr>
        <w:t>Brazilian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specialty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market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Food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Products</w:t>
      </w:r>
      <w:proofErr w:type="spellEnd"/>
      <w:r>
        <w:rPr>
          <w:rFonts w:ascii="Times New Roman" w:eastAsia="Times New Roman" w:hAnsi="Times New Roman" w:cs="Times New Roman"/>
          <w:i/>
          <w:iCs/>
        </w:rPr>
        <w:t xml:space="preserve"> Marketing, 25</w:t>
      </w:r>
      <w:r>
        <w:rPr>
          <w:rFonts w:ascii="Times New Roman" w:eastAsia="Times New Roman" w:hAnsi="Times New Roman" w:cs="Times New Roman"/>
        </w:rPr>
        <w:t>(1), 49–71. https://doi.org/10.1080/10454446.2018.1478757</w:t>
      </w:r>
    </w:p>
    <w:p w14:paraId="427FA01E" w14:textId="77777777" w:rsidR="002A32AD" w:rsidRDefault="00000000">
      <w:pPr>
        <w:spacing w:line="360" w:lineRule="auto"/>
        <w:ind w:left="1440" w:hanging="720"/>
        <w:rPr>
          <w:rFonts w:ascii="Times New Roman" w:eastAsia="Times New Roman" w:hAnsi="Times New Roman" w:cs="Times New Roman"/>
        </w:rPr>
      </w:pPr>
      <w:proofErr w:type="spellStart"/>
      <w:r>
        <w:rPr>
          <w:rFonts w:ascii="Times New Roman" w:eastAsia="Times New Roman" w:hAnsi="Times New Roman" w:cs="Times New Roman"/>
        </w:rPr>
        <w:t>Jaimes</w:t>
      </w:r>
      <w:proofErr w:type="spellEnd"/>
      <w:r>
        <w:rPr>
          <w:rFonts w:ascii="Times New Roman" w:eastAsia="Times New Roman" w:hAnsi="Times New Roman" w:cs="Times New Roman"/>
        </w:rPr>
        <w:t xml:space="preserve">, C. (2026, 27 de junio). </w:t>
      </w:r>
      <w:r>
        <w:rPr>
          <w:rFonts w:ascii="Times New Roman" w:eastAsia="Times New Roman" w:hAnsi="Times New Roman" w:cs="Times New Roman"/>
          <w:i/>
          <w:iCs/>
        </w:rPr>
        <w:t>Consumo de café cambió radicalmente en Colombia: Lo importante ya no es el precio</w:t>
      </w:r>
      <w:r>
        <w:rPr>
          <w:rFonts w:ascii="Times New Roman" w:eastAsia="Times New Roman" w:hAnsi="Times New Roman" w:cs="Times New Roman"/>
        </w:rPr>
        <w:t xml:space="preserve">. Valora </w:t>
      </w:r>
      <w:proofErr w:type="spellStart"/>
      <w:r>
        <w:rPr>
          <w:rFonts w:ascii="Times New Roman" w:eastAsia="Times New Roman" w:hAnsi="Times New Roman" w:cs="Times New Roman"/>
        </w:rPr>
        <w:t>Analitik</w:t>
      </w:r>
      <w:proofErr w:type="spellEnd"/>
      <w:r>
        <w:rPr>
          <w:rFonts w:ascii="Times New Roman" w:eastAsia="Times New Roman" w:hAnsi="Times New Roman" w:cs="Times New Roman"/>
        </w:rPr>
        <w:t>. https://www.valoraanalitik.com/criterio-de-consumo-de-cafe-cambio-en-colombia/</w:t>
      </w:r>
    </w:p>
    <w:p w14:paraId="352E6748" w14:textId="77777777" w:rsidR="002A32AD" w:rsidRDefault="00000000">
      <w:pPr>
        <w:spacing w:line="360" w:lineRule="auto"/>
        <w:ind w:left="1440" w:hanging="720"/>
        <w:rPr>
          <w:rFonts w:ascii="Times New Roman" w:eastAsia="Times New Roman" w:hAnsi="Times New Roman" w:cs="Times New Roman"/>
        </w:rPr>
      </w:pPr>
      <w:proofErr w:type="spellStart"/>
      <w:r>
        <w:rPr>
          <w:rFonts w:ascii="Times New Roman" w:eastAsia="Times New Roman" w:hAnsi="Times New Roman" w:cs="Times New Roman"/>
        </w:rPr>
        <w:t>Krishnamurthi</w:t>
      </w:r>
      <w:proofErr w:type="spellEnd"/>
      <w:r>
        <w:rPr>
          <w:rFonts w:ascii="Times New Roman" w:eastAsia="Times New Roman" w:hAnsi="Times New Roman" w:cs="Times New Roman"/>
        </w:rPr>
        <w:t xml:space="preserve">, L., y Raj, S. P. (1991). </w:t>
      </w:r>
      <w:proofErr w:type="spellStart"/>
      <w:r>
        <w:rPr>
          <w:rFonts w:ascii="Times New Roman" w:eastAsia="Times New Roman" w:hAnsi="Times New Roman" w:cs="Times New Roman"/>
        </w:rPr>
        <w: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empirical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relationship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between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brand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loyalty</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consumer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elasticity</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Marketing </w:t>
      </w:r>
      <w:proofErr w:type="spellStart"/>
      <w:r>
        <w:rPr>
          <w:rFonts w:ascii="Times New Roman" w:eastAsia="Times New Roman" w:hAnsi="Times New Roman" w:cs="Times New Roman"/>
          <w:i/>
          <w:iCs/>
        </w:rPr>
        <w:t>Science</w:t>
      </w:r>
      <w:proofErr w:type="spellEnd"/>
      <w:r>
        <w:rPr>
          <w:rFonts w:ascii="Times New Roman" w:eastAsia="Times New Roman" w:hAnsi="Times New Roman" w:cs="Times New Roman"/>
          <w:i/>
          <w:iCs/>
        </w:rPr>
        <w:t>, 10</w:t>
      </w:r>
      <w:r>
        <w:rPr>
          <w:rFonts w:ascii="Times New Roman" w:eastAsia="Times New Roman" w:hAnsi="Times New Roman" w:cs="Times New Roman"/>
        </w:rPr>
        <w:t>(2), 172–183. https://doi.org/10.1287/mksc.10.2.172</w:t>
      </w:r>
    </w:p>
    <w:p w14:paraId="503CFA77"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Lancaster, K. J. (1966). A new </w:t>
      </w:r>
      <w:proofErr w:type="spellStart"/>
      <w:r>
        <w:rPr>
          <w:rFonts w:ascii="Times New Roman" w:eastAsia="Times New Roman" w:hAnsi="Times New Roman" w:cs="Times New Roman"/>
        </w:rPr>
        <w:t>approach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consumer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Political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Economy</w:t>
      </w:r>
      <w:proofErr w:type="spellEnd"/>
      <w:r>
        <w:rPr>
          <w:rFonts w:ascii="Times New Roman" w:eastAsia="Times New Roman" w:hAnsi="Times New Roman" w:cs="Times New Roman"/>
          <w:i/>
          <w:iCs/>
        </w:rPr>
        <w:t>, 74</w:t>
      </w:r>
      <w:r>
        <w:rPr>
          <w:rFonts w:ascii="Times New Roman" w:eastAsia="Times New Roman" w:hAnsi="Times New Roman" w:cs="Times New Roman"/>
        </w:rPr>
        <w:t>(2), 132–157. https://www.jstor.org/stable/1828835</w:t>
      </w:r>
    </w:p>
    <w:p w14:paraId="4E6181BE"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Nelson, P. (1970). </w:t>
      </w:r>
      <w:proofErr w:type="spellStart"/>
      <w:r>
        <w:rPr>
          <w:rFonts w:ascii="Times New Roman" w:eastAsia="Times New Roman" w:hAnsi="Times New Roman" w:cs="Times New Roman"/>
        </w:rPr>
        <w:t>Information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consumer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Political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Economy</w:t>
      </w:r>
      <w:proofErr w:type="spellEnd"/>
      <w:r>
        <w:rPr>
          <w:rFonts w:ascii="Times New Roman" w:eastAsia="Times New Roman" w:hAnsi="Times New Roman" w:cs="Times New Roman"/>
          <w:i/>
          <w:iCs/>
        </w:rPr>
        <w:t>, 78</w:t>
      </w:r>
      <w:r>
        <w:rPr>
          <w:rFonts w:ascii="Times New Roman" w:eastAsia="Times New Roman" w:hAnsi="Times New Roman" w:cs="Times New Roman"/>
        </w:rPr>
        <w:t>(2), 311–329. https://www.jstor.org/stable/1830691</w:t>
      </w:r>
    </w:p>
    <w:p w14:paraId="0DBB400D" w14:textId="77777777" w:rsidR="002A32AD" w:rsidRDefault="00000000">
      <w:pPr>
        <w:spacing w:line="360" w:lineRule="auto"/>
        <w:ind w:left="1440" w:hanging="720"/>
        <w:rPr>
          <w:rFonts w:ascii="Times New Roman" w:eastAsia="Times New Roman" w:hAnsi="Times New Roman" w:cs="Times New Roman"/>
        </w:rPr>
      </w:pPr>
      <w:proofErr w:type="spellStart"/>
      <w:r>
        <w:rPr>
          <w:rFonts w:ascii="Times New Roman" w:eastAsia="Times New Roman" w:hAnsi="Times New Roman" w:cs="Times New Roman"/>
        </w:rPr>
        <w:t>Olekalns</w:t>
      </w:r>
      <w:proofErr w:type="spellEnd"/>
      <w:r>
        <w:rPr>
          <w:rFonts w:ascii="Times New Roman" w:eastAsia="Times New Roman" w:hAnsi="Times New Roman" w:cs="Times New Roman"/>
        </w:rPr>
        <w:t xml:space="preserve">, N., y </w:t>
      </w:r>
      <w:proofErr w:type="spellStart"/>
      <w:r>
        <w:rPr>
          <w:rFonts w:ascii="Times New Roman" w:eastAsia="Times New Roman" w:hAnsi="Times New Roman" w:cs="Times New Roman"/>
        </w:rPr>
        <w:t>Bardsley</w:t>
      </w:r>
      <w:proofErr w:type="spellEnd"/>
      <w:r>
        <w:rPr>
          <w:rFonts w:ascii="Times New Roman" w:eastAsia="Times New Roman" w:hAnsi="Times New Roman" w:cs="Times New Roman"/>
        </w:rPr>
        <w:t xml:space="preserve">, P. (1996). </w:t>
      </w:r>
      <w:proofErr w:type="spellStart"/>
      <w:r>
        <w:rPr>
          <w:rFonts w:ascii="Times New Roman" w:eastAsia="Times New Roman" w:hAnsi="Times New Roman" w:cs="Times New Roman"/>
        </w:rPr>
        <w:t>Rational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addiction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caffeine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consumption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Political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Economy</w:t>
      </w:r>
      <w:proofErr w:type="spellEnd"/>
      <w:r>
        <w:rPr>
          <w:rFonts w:ascii="Times New Roman" w:eastAsia="Times New Roman" w:hAnsi="Times New Roman" w:cs="Times New Roman"/>
          <w:i/>
          <w:iCs/>
        </w:rPr>
        <w:t>, 104</w:t>
      </w:r>
      <w:r>
        <w:rPr>
          <w:rFonts w:ascii="Times New Roman" w:eastAsia="Times New Roman" w:hAnsi="Times New Roman" w:cs="Times New Roman"/>
        </w:rPr>
        <w:t>(5), 1100–1104. https://doi.org/10.1086/262054</w:t>
      </w:r>
    </w:p>
    <w:p w14:paraId="6394E705"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Page, M. J., McKenzie, J. E., </w:t>
      </w:r>
      <w:proofErr w:type="spellStart"/>
      <w:r>
        <w:rPr>
          <w:rFonts w:ascii="Times New Roman" w:eastAsia="Times New Roman" w:hAnsi="Times New Roman" w:cs="Times New Roman"/>
        </w:rPr>
        <w:t>Bossuyt</w:t>
      </w:r>
      <w:proofErr w:type="spellEnd"/>
      <w:r>
        <w:rPr>
          <w:rFonts w:ascii="Times New Roman" w:eastAsia="Times New Roman" w:hAnsi="Times New Roman" w:cs="Times New Roman"/>
        </w:rPr>
        <w:t xml:space="preserve">, P. M., </w:t>
      </w:r>
      <w:proofErr w:type="spellStart"/>
      <w:r>
        <w:rPr>
          <w:rFonts w:ascii="Times New Roman" w:eastAsia="Times New Roman" w:hAnsi="Times New Roman" w:cs="Times New Roman"/>
        </w:rPr>
        <w:t>Boutron</w:t>
      </w:r>
      <w:proofErr w:type="spellEnd"/>
      <w:r>
        <w:rPr>
          <w:rFonts w:ascii="Times New Roman" w:eastAsia="Times New Roman" w:hAnsi="Times New Roman" w:cs="Times New Roman"/>
        </w:rPr>
        <w:t xml:space="preserve">, I., Hoffmann, T. C., </w:t>
      </w:r>
      <w:proofErr w:type="spellStart"/>
      <w:r>
        <w:rPr>
          <w:rFonts w:ascii="Times New Roman" w:eastAsia="Times New Roman" w:hAnsi="Times New Roman" w:cs="Times New Roman"/>
        </w:rPr>
        <w:t>Mulrow</w:t>
      </w:r>
      <w:proofErr w:type="spellEnd"/>
      <w:r>
        <w:rPr>
          <w:rFonts w:ascii="Times New Roman" w:eastAsia="Times New Roman" w:hAnsi="Times New Roman" w:cs="Times New Roman"/>
        </w:rPr>
        <w:t xml:space="preserve">, C. D., </w:t>
      </w:r>
      <w:proofErr w:type="spellStart"/>
      <w:r>
        <w:rPr>
          <w:rFonts w:ascii="Times New Roman" w:eastAsia="Times New Roman" w:hAnsi="Times New Roman" w:cs="Times New Roman"/>
        </w:rPr>
        <w:t>Shamseer</w:t>
      </w:r>
      <w:proofErr w:type="spellEnd"/>
      <w:r>
        <w:rPr>
          <w:rFonts w:ascii="Times New Roman" w:eastAsia="Times New Roman" w:hAnsi="Times New Roman" w:cs="Times New Roman"/>
        </w:rPr>
        <w:t xml:space="preserve">, L., </w:t>
      </w:r>
      <w:proofErr w:type="spellStart"/>
      <w:r>
        <w:rPr>
          <w:rFonts w:ascii="Times New Roman" w:eastAsia="Times New Roman" w:hAnsi="Times New Roman" w:cs="Times New Roman"/>
        </w:rPr>
        <w:t>Tetzlaff</w:t>
      </w:r>
      <w:proofErr w:type="spellEnd"/>
      <w:r>
        <w:rPr>
          <w:rFonts w:ascii="Times New Roman" w:eastAsia="Times New Roman" w:hAnsi="Times New Roman" w:cs="Times New Roman"/>
        </w:rPr>
        <w:t xml:space="preserve">, J. M., </w:t>
      </w:r>
      <w:proofErr w:type="spellStart"/>
      <w:r>
        <w:rPr>
          <w:rFonts w:ascii="Times New Roman" w:eastAsia="Times New Roman" w:hAnsi="Times New Roman" w:cs="Times New Roman"/>
        </w:rPr>
        <w:t>Akl</w:t>
      </w:r>
      <w:proofErr w:type="spellEnd"/>
      <w:r>
        <w:rPr>
          <w:rFonts w:ascii="Times New Roman" w:eastAsia="Times New Roman" w:hAnsi="Times New Roman" w:cs="Times New Roman"/>
        </w:rPr>
        <w:t xml:space="preserve">, E. A., Brennan, S. E., Chou, R., </w:t>
      </w:r>
      <w:proofErr w:type="spellStart"/>
      <w:r>
        <w:rPr>
          <w:rFonts w:ascii="Times New Roman" w:eastAsia="Times New Roman" w:hAnsi="Times New Roman" w:cs="Times New Roman"/>
        </w:rPr>
        <w:t>Glanville</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Grimshaw</w:t>
      </w:r>
      <w:proofErr w:type="spellEnd"/>
      <w:r>
        <w:rPr>
          <w:rFonts w:ascii="Times New Roman" w:eastAsia="Times New Roman" w:hAnsi="Times New Roman" w:cs="Times New Roman"/>
        </w:rPr>
        <w:t xml:space="preserve">, J. M., </w:t>
      </w:r>
      <w:proofErr w:type="spellStart"/>
      <w:r>
        <w:rPr>
          <w:rFonts w:ascii="Times New Roman" w:eastAsia="Times New Roman" w:hAnsi="Times New Roman" w:cs="Times New Roman"/>
        </w:rPr>
        <w:t>Hróbjartsson</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Lalu</w:t>
      </w:r>
      <w:proofErr w:type="spellEnd"/>
      <w:r>
        <w:rPr>
          <w:rFonts w:ascii="Times New Roman" w:eastAsia="Times New Roman" w:hAnsi="Times New Roman" w:cs="Times New Roman"/>
        </w:rPr>
        <w:t xml:space="preserve">, M. M., Li, T., </w:t>
      </w:r>
      <w:proofErr w:type="spellStart"/>
      <w:r>
        <w:rPr>
          <w:rFonts w:ascii="Times New Roman" w:eastAsia="Times New Roman" w:hAnsi="Times New Roman" w:cs="Times New Roman"/>
        </w:rPr>
        <w:t>Loder</w:t>
      </w:r>
      <w:proofErr w:type="spellEnd"/>
      <w:r>
        <w:rPr>
          <w:rFonts w:ascii="Times New Roman" w:eastAsia="Times New Roman" w:hAnsi="Times New Roman" w:cs="Times New Roman"/>
        </w:rPr>
        <w:t xml:space="preserve">, E. W., Mayo-Wilson, E., McDonald, S., … </w:t>
      </w:r>
      <w:proofErr w:type="spellStart"/>
      <w:r>
        <w:rPr>
          <w:rFonts w:ascii="Times New Roman" w:eastAsia="Times New Roman" w:hAnsi="Times New Roman" w:cs="Times New Roman"/>
        </w:rPr>
        <w:t>Moher</w:t>
      </w:r>
      <w:proofErr w:type="spellEnd"/>
      <w:r>
        <w:rPr>
          <w:rFonts w:ascii="Times New Roman" w:eastAsia="Times New Roman" w:hAnsi="Times New Roman" w:cs="Times New Roman"/>
        </w:rPr>
        <w:t xml:space="preserve">, D. (2021).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PRISMA 2020 </w:t>
      </w:r>
      <w:proofErr w:type="spellStart"/>
      <w:r>
        <w:rPr>
          <w:rFonts w:ascii="Times New Roman" w:eastAsia="Times New Roman" w:hAnsi="Times New Roman" w:cs="Times New Roman"/>
        </w:rPr>
        <w:t>statement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updated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guideline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reporting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systematic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reviews</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BMJ, 372</w:t>
      </w:r>
      <w:r>
        <w:rPr>
          <w:rFonts w:ascii="Times New Roman" w:eastAsia="Times New Roman" w:hAnsi="Times New Roman" w:cs="Times New Roman"/>
        </w:rPr>
        <w:t>, Artículo n71. https://doi.org/10.1136/bmj.n71</w:t>
      </w:r>
    </w:p>
    <w:p w14:paraId="626FA2C6"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Plazas Moncada, C. A. (2020). </w:t>
      </w:r>
      <w:r>
        <w:rPr>
          <w:rFonts w:ascii="Times New Roman" w:eastAsia="Times New Roman" w:hAnsi="Times New Roman" w:cs="Times New Roman"/>
          <w:i/>
          <w:iCs/>
        </w:rPr>
        <w:t>Hacer el sabor del café: Etnografía sobre la producción de significados en torno al café especial en tiendas especializadas, tostadoras y marcas de café, en Bogotá y Chía</w:t>
      </w:r>
      <w:r>
        <w:rPr>
          <w:rFonts w:ascii="Times New Roman" w:eastAsia="Times New Roman" w:hAnsi="Times New Roman" w:cs="Times New Roman"/>
        </w:rPr>
        <w:t xml:space="preserve"> [Trabajo de grado, Universidad del Rosario]. https://doi.org/10.48713/10336_30510</w:t>
      </w:r>
    </w:p>
    <w:p w14:paraId="6FC47EB6"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Ruiz Solano, J. R. (2017). Impactos sociales del proceso de gentrificación en barrios de origen informal: Caso de la localidad de Chapinero, Bogotá. </w:t>
      </w:r>
      <w:r>
        <w:rPr>
          <w:rFonts w:ascii="Times New Roman" w:eastAsia="Times New Roman" w:hAnsi="Times New Roman" w:cs="Times New Roman"/>
          <w:i/>
          <w:iCs/>
        </w:rPr>
        <w:t>Revista Ciudades, Estados y Política, 4</w:t>
      </w:r>
      <w:r>
        <w:rPr>
          <w:rFonts w:ascii="Times New Roman" w:eastAsia="Times New Roman" w:hAnsi="Times New Roman" w:cs="Times New Roman"/>
        </w:rPr>
        <w:t>(2), 17–36. https://revistas.unal.edu.co/index.php/revcep/article/view/59470</w:t>
      </w:r>
    </w:p>
    <w:p w14:paraId="603E04D3" w14:textId="77777777" w:rsidR="002A32AD" w:rsidRDefault="00000000">
      <w:pPr>
        <w:spacing w:line="360" w:lineRule="auto"/>
        <w:ind w:left="1440" w:hanging="720"/>
        <w:rPr>
          <w:rFonts w:ascii="Times New Roman" w:eastAsia="Times New Roman" w:hAnsi="Times New Roman" w:cs="Times New Roman"/>
        </w:rPr>
      </w:pPr>
      <w:proofErr w:type="spellStart"/>
      <w:r>
        <w:rPr>
          <w:rFonts w:ascii="Times New Roman" w:eastAsia="Times New Roman" w:hAnsi="Times New Roman" w:cs="Times New Roman"/>
        </w:rPr>
        <w:t>Samoggia</w:t>
      </w:r>
      <w:proofErr w:type="spellEnd"/>
      <w:r>
        <w:rPr>
          <w:rFonts w:ascii="Times New Roman" w:eastAsia="Times New Roman" w:hAnsi="Times New Roman" w:cs="Times New Roman"/>
        </w:rPr>
        <w:t xml:space="preserve">, A., y </w:t>
      </w:r>
      <w:proofErr w:type="spellStart"/>
      <w:r>
        <w:rPr>
          <w:rFonts w:ascii="Times New Roman" w:eastAsia="Times New Roman" w:hAnsi="Times New Roman" w:cs="Times New Roman"/>
        </w:rPr>
        <w:t>Riedel</w:t>
      </w:r>
      <w:proofErr w:type="spellEnd"/>
      <w:r>
        <w:rPr>
          <w:rFonts w:ascii="Times New Roman" w:eastAsia="Times New Roman" w:hAnsi="Times New Roman" w:cs="Times New Roman"/>
        </w:rPr>
        <w:t xml:space="preserve">, B. (2018).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consumption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purchasing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Insights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further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research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Appetite</w:t>
      </w:r>
      <w:proofErr w:type="spellEnd"/>
      <w:r>
        <w:rPr>
          <w:rFonts w:ascii="Times New Roman" w:eastAsia="Times New Roman" w:hAnsi="Times New Roman" w:cs="Times New Roman"/>
          <w:i/>
          <w:iCs/>
        </w:rPr>
        <w:t>, 129</w:t>
      </w:r>
      <w:r>
        <w:rPr>
          <w:rFonts w:ascii="Times New Roman" w:eastAsia="Times New Roman" w:hAnsi="Times New Roman" w:cs="Times New Roman"/>
        </w:rPr>
        <w:t>, 70–81. https://doi.org/10.1016/j.appet.2018.07.002</w:t>
      </w:r>
    </w:p>
    <w:p w14:paraId="464C0478"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Secretaría Distrital de Integración Social. (2022). </w:t>
      </w:r>
      <w:r>
        <w:rPr>
          <w:rFonts w:ascii="Times New Roman" w:eastAsia="Times New Roman" w:hAnsi="Times New Roman" w:cs="Times New Roman"/>
          <w:i/>
          <w:iCs/>
        </w:rPr>
        <w:t>Chapinero: Diagnóstico local</w:t>
      </w:r>
      <w:r>
        <w:rPr>
          <w:rFonts w:ascii="Times New Roman" w:eastAsia="Times New Roman" w:hAnsi="Times New Roman" w:cs="Times New Roman"/>
        </w:rPr>
        <w:t>. https://www.integracionsocial.gov.co/images/_docs/entidad/2_Diagnostico_local_Chapinero_2021_VF.pdf</w:t>
      </w:r>
    </w:p>
    <w:p w14:paraId="6D54460F"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Sepúlveda, W., </w:t>
      </w:r>
      <w:proofErr w:type="spellStart"/>
      <w:r>
        <w:rPr>
          <w:rFonts w:ascii="Times New Roman" w:eastAsia="Times New Roman" w:hAnsi="Times New Roman" w:cs="Times New Roman"/>
        </w:rPr>
        <w:t>Chekmam</w:t>
      </w:r>
      <w:proofErr w:type="spellEnd"/>
      <w:r>
        <w:rPr>
          <w:rFonts w:ascii="Times New Roman" w:eastAsia="Times New Roman" w:hAnsi="Times New Roman" w:cs="Times New Roman"/>
        </w:rPr>
        <w:t xml:space="preserve">, L., Maza Rubio, M. T., y Mancilla, N. O. (2016). </w:t>
      </w:r>
      <w:proofErr w:type="spellStart"/>
      <w:r>
        <w:rPr>
          <w:rFonts w:ascii="Times New Roman" w:eastAsia="Times New Roman" w:hAnsi="Times New Roman" w:cs="Times New Roman"/>
        </w:rPr>
        <w:t>Consumers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preference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origin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quality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attributes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associated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specialty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coffees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Results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from</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cross</w:t>
      </w:r>
      <w:proofErr w:type="spellEnd"/>
      <w:r>
        <w:rPr>
          <w:rFonts w:ascii="Times New Roman" w:eastAsia="Times New Roman" w:hAnsi="Times New Roman" w:cs="Times New Roman"/>
        </w:rPr>
        <w:t xml:space="preserve">-cultural </w:t>
      </w:r>
      <w:proofErr w:type="spellStart"/>
      <w:r>
        <w:rPr>
          <w:rFonts w:ascii="Times New Roman" w:eastAsia="Times New Roman" w:hAnsi="Times New Roman" w:cs="Times New Roman"/>
        </w:rPr>
        <w:t>study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Food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Research</w:t>
      </w:r>
      <w:proofErr w:type="spellEnd"/>
      <w:r>
        <w:rPr>
          <w:rFonts w:ascii="Times New Roman" w:eastAsia="Times New Roman" w:hAnsi="Times New Roman" w:cs="Times New Roman"/>
          <w:i/>
          <w:iCs/>
        </w:rPr>
        <w:t xml:space="preserve"> International, 89</w:t>
      </w:r>
      <w:r>
        <w:rPr>
          <w:rFonts w:ascii="Times New Roman" w:eastAsia="Times New Roman" w:hAnsi="Times New Roman" w:cs="Times New Roman"/>
        </w:rPr>
        <w:t>(2), 997–1003. https://doi.org/10.1016/j.foodres.2016.03.039</w:t>
      </w:r>
    </w:p>
    <w:p w14:paraId="55109ED1"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Suárez, M. C. (2023, 1 de octubre). </w:t>
      </w:r>
      <w:r>
        <w:rPr>
          <w:rFonts w:ascii="Times New Roman" w:eastAsia="Times New Roman" w:hAnsi="Times New Roman" w:cs="Times New Roman"/>
          <w:i/>
          <w:iCs/>
        </w:rPr>
        <w:t>¿Por qué los colombianos están comprando más café a pesar del aumento de precios?</w:t>
      </w:r>
      <w:r>
        <w:rPr>
          <w:rFonts w:ascii="Times New Roman" w:eastAsia="Times New Roman" w:hAnsi="Times New Roman" w:cs="Times New Roman"/>
        </w:rPr>
        <w:t xml:space="preserve"> Bloomberg Línea. https://www.bloomberglinea.com/latinoamerica/colombia/por-que-los-colombianos-estan-comprando-mas-cafe-a-pesar-del-aumento-de-precios/</w:t>
      </w:r>
    </w:p>
    <w:p w14:paraId="79A98B05"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Teixeira, L. V., </w:t>
      </w:r>
      <w:proofErr w:type="spellStart"/>
      <w:r>
        <w:rPr>
          <w:rFonts w:ascii="Times New Roman" w:eastAsia="Times New Roman" w:hAnsi="Times New Roman" w:cs="Times New Roman"/>
        </w:rPr>
        <w:t>Dâmaso</w:t>
      </w:r>
      <w:proofErr w:type="spellEnd"/>
      <w:r>
        <w:rPr>
          <w:rFonts w:ascii="Times New Roman" w:eastAsia="Times New Roman" w:hAnsi="Times New Roman" w:cs="Times New Roman"/>
        </w:rPr>
        <w:t xml:space="preserve">, L. C. S., Lima, L. M., </w:t>
      </w:r>
      <w:proofErr w:type="spellStart"/>
      <w:r>
        <w:rPr>
          <w:rFonts w:ascii="Times New Roman" w:eastAsia="Times New Roman" w:hAnsi="Times New Roman" w:cs="Times New Roman"/>
        </w:rPr>
        <w:t>Spers</w:t>
      </w:r>
      <w:proofErr w:type="spellEnd"/>
      <w:r>
        <w:rPr>
          <w:rFonts w:ascii="Times New Roman" w:eastAsia="Times New Roman" w:hAnsi="Times New Roman" w:cs="Times New Roman"/>
        </w:rPr>
        <w:t xml:space="preserve">, E. E., y </w:t>
      </w:r>
      <w:proofErr w:type="spellStart"/>
      <w:r>
        <w:rPr>
          <w:rFonts w:ascii="Times New Roman" w:eastAsia="Times New Roman" w:hAnsi="Times New Roman" w:cs="Times New Roman"/>
        </w:rPr>
        <w:t>Fouto</w:t>
      </w:r>
      <w:proofErr w:type="spellEnd"/>
      <w:r>
        <w:rPr>
          <w:rFonts w:ascii="Times New Roman" w:eastAsia="Times New Roman" w:hAnsi="Times New Roman" w:cs="Times New Roman"/>
        </w:rPr>
        <w:t xml:space="preserve">, N. M. M. D. (2024). Visual </w:t>
      </w:r>
      <w:proofErr w:type="spellStart"/>
      <w:r>
        <w:rPr>
          <w:rFonts w:ascii="Times New Roman" w:eastAsia="Times New Roman" w:hAnsi="Times New Roman" w:cs="Times New Roman"/>
        </w:rPr>
        <w:t>attention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attribute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specialty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labels</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Revista de </w:t>
      </w:r>
      <w:proofErr w:type="spellStart"/>
      <w:r>
        <w:rPr>
          <w:rFonts w:ascii="Times New Roman" w:eastAsia="Times New Roman" w:hAnsi="Times New Roman" w:cs="Times New Roman"/>
          <w:i/>
          <w:iCs/>
        </w:rPr>
        <w:t>Economia</w:t>
      </w:r>
      <w:proofErr w:type="spellEnd"/>
      <w:r>
        <w:rPr>
          <w:rFonts w:ascii="Times New Roman" w:eastAsia="Times New Roman" w:hAnsi="Times New Roman" w:cs="Times New Roman"/>
          <w:i/>
          <w:iCs/>
        </w:rPr>
        <w:t xml:space="preserve"> e </w:t>
      </w:r>
      <w:proofErr w:type="spellStart"/>
      <w:r>
        <w:rPr>
          <w:rFonts w:ascii="Times New Roman" w:eastAsia="Times New Roman" w:hAnsi="Times New Roman" w:cs="Times New Roman"/>
          <w:i/>
          <w:iCs/>
        </w:rPr>
        <w:t>Sociologia</w:t>
      </w:r>
      <w:proofErr w:type="spellEnd"/>
      <w:r>
        <w:rPr>
          <w:rFonts w:ascii="Times New Roman" w:eastAsia="Times New Roman" w:hAnsi="Times New Roman" w:cs="Times New Roman"/>
          <w:i/>
          <w:iCs/>
        </w:rPr>
        <w:t xml:space="preserve"> Rural, 62</w:t>
      </w:r>
      <w:r>
        <w:rPr>
          <w:rFonts w:ascii="Times New Roman" w:eastAsia="Times New Roman" w:hAnsi="Times New Roman" w:cs="Times New Roman"/>
        </w:rPr>
        <w:t>(2), e271049. https://doi.org/10.1590/1806-9479.2022.271049</w:t>
      </w:r>
    </w:p>
    <w:p w14:paraId="78472983" w14:textId="77777777" w:rsidR="002A32AD" w:rsidRDefault="00000000">
      <w:pPr>
        <w:spacing w:line="360" w:lineRule="auto"/>
        <w:ind w:left="1440" w:hanging="720"/>
        <w:rPr>
          <w:rFonts w:ascii="Times New Roman" w:eastAsia="Times New Roman" w:hAnsi="Times New Roman" w:cs="Times New Roman"/>
        </w:rPr>
      </w:pPr>
      <w:proofErr w:type="spellStart"/>
      <w:r>
        <w:rPr>
          <w:rFonts w:ascii="Times New Roman" w:eastAsia="Times New Roman" w:hAnsi="Times New Roman" w:cs="Times New Roman"/>
        </w:rPr>
        <w:t>Ufer</w:t>
      </w:r>
      <w:proofErr w:type="spellEnd"/>
      <w:r>
        <w:rPr>
          <w:rFonts w:ascii="Times New Roman" w:eastAsia="Times New Roman" w:hAnsi="Times New Roman" w:cs="Times New Roman"/>
        </w:rPr>
        <w:t xml:space="preserve">, D., Lin, W., y Ortega, D. L. (2019). </w:t>
      </w:r>
      <w:proofErr w:type="spellStart"/>
      <w:r>
        <w:rPr>
          <w:rFonts w:ascii="Times New Roman" w:eastAsia="Times New Roman" w:hAnsi="Times New Roman" w:cs="Times New Roman"/>
        </w:rPr>
        <w:t>Personality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traits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preferences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specialty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Results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from</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shop </w:t>
      </w:r>
      <w:proofErr w:type="spellStart"/>
      <w:r>
        <w:rPr>
          <w:rFonts w:ascii="Times New Roman" w:eastAsia="Times New Roman" w:hAnsi="Times New Roman" w:cs="Times New Roman"/>
        </w:rPr>
        <w:t>field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experiment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Food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Research</w:t>
      </w:r>
      <w:proofErr w:type="spellEnd"/>
      <w:r>
        <w:rPr>
          <w:rFonts w:ascii="Times New Roman" w:eastAsia="Times New Roman" w:hAnsi="Times New Roman" w:cs="Times New Roman"/>
          <w:i/>
          <w:iCs/>
        </w:rPr>
        <w:t xml:space="preserve"> International, 125</w:t>
      </w:r>
      <w:r>
        <w:rPr>
          <w:rFonts w:ascii="Times New Roman" w:eastAsia="Times New Roman" w:hAnsi="Times New Roman" w:cs="Times New Roman"/>
        </w:rPr>
        <w:t>, Artículo 108504. https://doi.org/10.1016/j.foodres.2019.108504</w:t>
      </w:r>
    </w:p>
    <w:p w14:paraId="5D10799A"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Uribe Mallarino, C., y Pardo Pérez, C. (2006). La ciudad vivida: Movilidad espacial y representaciones sobre la estratificación social en Bogotá. </w:t>
      </w:r>
      <w:proofErr w:type="spellStart"/>
      <w:r>
        <w:rPr>
          <w:rFonts w:ascii="Times New Roman" w:eastAsia="Times New Roman" w:hAnsi="Times New Roman" w:cs="Times New Roman"/>
          <w:i/>
          <w:iCs/>
        </w:rPr>
        <w:t>Universitas</w:t>
      </w:r>
      <w:proofErr w:type="spellEnd"/>
      <w:r>
        <w:rPr>
          <w:rFonts w:ascii="Times New Roman" w:eastAsia="Times New Roman" w:hAnsi="Times New Roman" w:cs="Times New Roman"/>
          <w:i/>
          <w:iCs/>
        </w:rPr>
        <w:t xml:space="preserve"> Humanística, 62</w:t>
      </w:r>
      <w:r>
        <w:rPr>
          <w:rFonts w:ascii="Times New Roman" w:eastAsia="Times New Roman" w:hAnsi="Times New Roman" w:cs="Times New Roman"/>
        </w:rPr>
        <w:t>, 169–203. https://www.redalyc.org/pdf/791/79106208.pdf</w:t>
      </w:r>
    </w:p>
    <w:p w14:paraId="5C160241"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Vaca Neira, M. A. (2014). </w:t>
      </w:r>
      <w:r>
        <w:rPr>
          <w:rFonts w:ascii="Times New Roman" w:eastAsia="Times New Roman" w:hAnsi="Times New Roman" w:cs="Times New Roman"/>
          <w:i/>
          <w:iCs/>
        </w:rPr>
        <w:t>Estimación de la disposición a pagar por cafés especiales: Un análisis del mercado interno</w:t>
      </w:r>
      <w:r>
        <w:rPr>
          <w:rFonts w:ascii="Times New Roman" w:eastAsia="Times New Roman" w:hAnsi="Times New Roman" w:cs="Times New Roman"/>
        </w:rPr>
        <w:t xml:space="preserve"> [Tesis de pregrado, Universidad de los Andes]. Repositorio Institucional Universidad de los Andes. https://repositorio.uniandes.edu.co/entities/publication/292fbff3-aa2d-4e52-ba58-f787c31e2d6c</w:t>
      </w:r>
    </w:p>
    <w:p w14:paraId="53615460"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Valenciano-Salazar, J. A., André, F. J., y </w:t>
      </w:r>
      <w:proofErr w:type="spellStart"/>
      <w:r>
        <w:rPr>
          <w:rFonts w:ascii="Times New Roman" w:eastAsia="Times New Roman" w:hAnsi="Times New Roman" w:cs="Times New Roman"/>
        </w:rPr>
        <w:t>Soliño</w:t>
      </w:r>
      <w:proofErr w:type="spellEnd"/>
      <w:r>
        <w:rPr>
          <w:rFonts w:ascii="Times New Roman" w:eastAsia="Times New Roman" w:hAnsi="Times New Roman" w:cs="Times New Roman"/>
        </w:rPr>
        <w:t xml:space="preserve">, M. (2021). </w:t>
      </w:r>
      <w:proofErr w:type="spellStart"/>
      <w:r>
        <w:rPr>
          <w:rFonts w:ascii="Times New Roman" w:eastAsia="Times New Roman" w:hAnsi="Times New Roman" w:cs="Times New Roman"/>
        </w:rPr>
        <w:t>Paying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sustainable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in a </w:t>
      </w:r>
      <w:proofErr w:type="spellStart"/>
      <w:r>
        <w:rPr>
          <w:rFonts w:ascii="Times New Roman" w:eastAsia="Times New Roman" w:hAnsi="Times New Roman" w:cs="Times New Roman"/>
        </w:rPr>
        <w:t>developing</w:t>
      </w:r>
      <w:proofErr w:type="spellEnd"/>
      <w:r>
        <w:rPr>
          <w:rFonts w:ascii="Times New Roman" w:eastAsia="Times New Roman" w:hAnsi="Times New Roman" w:cs="Times New Roman"/>
        </w:rPr>
        <w:t xml:space="preserve"> country: </w:t>
      </w:r>
      <w:proofErr w:type="spellStart"/>
      <w:r>
        <w:rPr>
          <w:rFonts w:ascii="Times New Roman" w:eastAsia="Times New Roman" w:hAnsi="Times New Roman" w:cs="Times New Roman"/>
        </w:rPr>
        <w:t>Consumers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profile</w:t>
      </w:r>
      <w:proofErr w:type="spellEnd"/>
      <w:r>
        <w:rPr>
          <w:rFonts w:ascii="Times New Roman" w:eastAsia="Times New Roman" w:hAnsi="Times New Roman" w:cs="Times New Roman"/>
        </w:rPr>
        <w:t xml:space="preserve"> in Costa Rica. </w:t>
      </w:r>
      <w:proofErr w:type="spellStart"/>
      <w:r>
        <w:rPr>
          <w:rFonts w:ascii="Times New Roman" w:eastAsia="Times New Roman" w:hAnsi="Times New Roman" w:cs="Times New Roman"/>
          <w:i/>
          <w:iCs/>
        </w:rPr>
        <w:t>Sustainability</w:t>
      </w:r>
      <w:proofErr w:type="spellEnd"/>
      <w:r>
        <w:rPr>
          <w:rFonts w:ascii="Times New Roman" w:eastAsia="Times New Roman" w:hAnsi="Times New Roman" w:cs="Times New Roman"/>
          <w:i/>
          <w:iCs/>
        </w:rPr>
        <w:t>, 13</w:t>
      </w:r>
      <w:r>
        <w:rPr>
          <w:rFonts w:ascii="Times New Roman" w:eastAsia="Times New Roman" w:hAnsi="Times New Roman" w:cs="Times New Roman"/>
        </w:rPr>
        <w:t>(16), Artículo 9360. https://doi.org/10.3390/su13169360</w:t>
      </w:r>
    </w:p>
    <w:p w14:paraId="57EEBBC5"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Wang, M.-J. S., </w:t>
      </w:r>
      <w:proofErr w:type="spellStart"/>
      <w:r>
        <w:rPr>
          <w:rFonts w:ascii="Times New Roman" w:eastAsia="Times New Roman" w:hAnsi="Times New Roman" w:cs="Times New Roman"/>
        </w:rPr>
        <w:t>Opoku</w:t>
      </w:r>
      <w:proofErr w:type="spellEnd"/>
      <w:r>
        <w:rPr>
          <w:rFonts w:ascii="Times New Roman" w:eastAsia="Times New Roman" w:hAnsi="Times New Roman" w:cs="Times New Roman"/>
        </w:rPr>
        <w:t xml:space="preserve">, E. K., y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A. (2024). </w:t>
      </w:r>
      <w:proofErr w:type="spellStart"/>
      <w:r>
        <w:rPr>
          <w:rFonts w:ascii="Times New Roman" w:eastAsia="Times New Roman" w:hAnsi="Times New Roman" w:cs="Times New Roman"/>
        </w:rPr>
        <w:t>Exploring</w:t>
      </w:r>
      <w:proofErr w:type="spellEnd"/>
      <w:r>
        <w:rPr>
          <w:rFonts w:ascii="Times New Roman" w:eastAsia="Times New Roman" w:hAnsi="Times New Roman" w:cs="Times New Roman"/>
        </w:rPr>
        <w:t xml:space="preserve"> Gen-Z </w:t>
      </w:r>
      <w:proofErr w:type="spellStart"/>
      <w:r>
        <w:rPr>
          <w:rFonts w:ascii="Times New Roman" w:eastAsia="Times New Roman" w:hAnsi="Times New Roman" w:cs="Times New Roman"/>
        </w:rPr>
        <w:t>consumers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preference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specialty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socio-cultural </w:t>
      </w:r>
      <w:proofErr w:type="spellStart"/>
      <w:r>
        <w:rPr>
          <w:rFonts w:ascii="Times New Roman" w:eastAsia="Times New Roman" w:hAnsi="Times New Roman" w:cs="Times New Roman"/>
        </w:rPr>
        <w:t>context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Taiwan</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Young </w:t>
      </w:r>
      <w:proofErr w:type="spellStart"/>
      <w:r>
        <w:rPr>
          <w:rFonts w:ascii="Times New Roman" w:eastAsia="Times New Roman" w:hAnsi="Times New Roman" w:cs="Times New Roman"/>
          <w:i/>
          <w:iCs/>
        </w:rPr>
        <w:t>Consumers</w:t>
      </w:r>
      <w:proofErr w:type="spellEnd"/>
      <w:r>
        <w:rPr>
          <w:rFonts w:ascii="Times New Roman" w:eastAsia="Times New Roman" w:hAnsi="Times New Roman" w:cs="Times New Roman"/>
          <w:i/>
          <w:iCs/>
        </w:rPr>
        <w:t>, 25</w:t>
      </w:r>
      <w:r>
        <w:rPr>
          <w:rFonts w:ascii="Times New Roman" w:eastAsia="Times New Roman" w:hAnsi="Times New Roman" w:cs="Times New Roman"/>
        </w:rPr>
        <w:t>(3), 368–382. https://doi.org/10.1108/YC-08-2023-1844</w:t>
      </w:r>
    </w:p>
    <w:p w14:paraId="7CA646AF"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Yang, S.-H., </w:t>
      </w:r>
      <w:proofErr w:type="spellStart"/>
      <w:r>
        <w:rPr>
          <w:rFonts w:ascii="Times New Roman" w:eastAsia="Times New Roman" w:hAnsi="Times New Roman" w:cs="Times New Roman"/>
        </w:rPr>
        <w:t>Hu</w:t>
      </w:r>
      <w:proofErr w:type="spellEnd"/>
      <w:r>
        <w:rPr>
          <w:rFonts w:ascii="Times New Roman" w:eastAsia="Times New Roman" w:hAnsi="Times New Roman" w:cs="Times New Roman"/>
        </w:rPr>
        <w:t xml:space="preserve">, W., </w:t>
      </w:r>
      <w:proofErr w:type="spellStart"/>
      <w:r>
        <w:rPr>
          <w:rFonts w:ascii="Times New Roman" w:eastAsia="Times New Roman" w:hAnsi="Times New Roman" w:cs="Times New Roman"/>
        </w:rPr>
        <w:t>Mupandawana</w:t>
      </w:r>
      <w:proofErr w:type="spellEnd"/>
      <w:r>
        <w:rPr>
          <w:rFonts w:ascii="Times New Roman" w:eastAsia="Times New Roman" w:hAnsi="Times New Roman" w:cs="Times New Roman"/>
        </w:rPr>
        <w:t xml:space="preserve">, M., y Liu, Y. (2012). </w:t>
      </w:r>
      <w:proofErr w:type="spellStart"/>
      <w:r>
        <w:rPr>
          <w:rFonts w:ascii="Times New Roman" w:eastAsia="Times New Roman" w:hAnsi="Times New Roman" w:cs="Times New Roman"/>
        </w:rPr>
        <w:t>Consumer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willingness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coffee</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Chinese</w:t>
      </w:r>
      <w:proofErr w:type="spellEnd"/>
      <w:r>
        <w:rPr>
          <w:rFonts w:ascii="Times New Roman" w:eastAsia="Times New Roman" w:hAnsi="Times New Roman" w:cs="Times New Roman"/>
        </w:rPr>
        <w:t xml:space="preserve"> case </w:t>
      </w:r>
      <w:proofErr w:type="spellStart"/>
      <w:r>
        <w:rPr>
          <w:rFonts w:ascii="Times New Roman" w:eastAsia="Times New Roman" w:hAnsi="Times New Roman" w:cs="Times New Roman"/>
        </w:rPr>
        <w:t>study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Agricultural</w:t>
      </w:r>
      <w:proofErr w:type="spellEnd"/>
      <w:r>
        <w:rPr>
          <w:rFonts w:ascii="Times New Roman" w:eastAsia="Times New Roman" w:hAnsi="Times New Roman" w:cs="Times New Roman"/>
          <w:i/>
          <w:iCs/>
        </w:rPr>
        <w:t xml:space="preserve"> and </w:t>
      </w:r>
      <w:proofErr w:type="spellStart"/>
      <w:r>
        <w:rPr>
          <w:rFonts w:ascii="Times New Roman" w:eastAsia="Times New Roman" w:hAnsi="Times New Roman" w:cs="Times New Roman"/>
          <w:i/>
          <w:iCs/>
        </w:rPr>
        <w:t>Applied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Economics</w:t>
      </w:r>
      <w:proofErr w:type="spellEnd"/>
      <w:r>
        <w:rPr>
          <w:rFonts w:ascii="Times New Roman" w:eastAsia="Times New Roman" w:hAnsi="Times New Roman" w:cs="Times New Roman"/>
          <w:i/>
          <w:iCs/>
        </w:rPr>
        <w:t>, 44</w:t>
      </w:r>
      <w:r>
        <w:rPr>
          <w:rFonts w:ascii="Times New Roman" w:eastAsia="Times New Roman" w:hAnsi="Times New Roman" w:cs="Times New Roman"/>
        </w:rPr>
        <w:t>(1), 21–34. https://doi.org/10.1017/S1074070800000146</w:t>
      </w:r>
    </w:p>
    <w:p w14:paraId="11F2AAC7"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Yunda, J. G. (2019). Densificación y estratificación social en Bogotá: Distribución sesgada de la inversión privada. </w:t>
      </w:r>
      <w:r>
        <w:rPr>
          <w:rFonts w:ascii="Times New Roman" w:eastAsia="Times New Roman" w:hAnsi="Times New Roman" w:cs="Times New Roman"/>
          <w:i/>
          <w:iCs/>
        </w:rPr>
        <w:t>EURE, 45</w:t>
      </w:r>
      <w:r>
        <w:rPr>
          <w:rFonts w:ascii="Times New Roman" w:eastAsia="Times New Roman" w:hAnsi="Times New Roman" w:cs="Times New Roman"/>
        </w:rPr>
        <w:t>(134), 237–257. https://doi.org/10.4067/S0250-71612019000100237</w:t>
      </w:r>
    </w:p>
    <w:p w14:paraId="258E49DE" w14:textId="77777777" w:rsidR="002A32AD" w:rsidRDefault="00000000">
      <w:pPr>
        <w:spacing w:line="36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Zeithaml, V. A. (1988). </w:t>
      </w:r>
      <w:proofErr w:type="spellStart"/>
      <w:r>
        <w:rPr>
          <w:rFonts w:ascii="Times New Roman" w:eastAsia="Times New Roman" w:hAnsi="Times New Roman" w:cs="Times New Roman"/>
        </w:rPr>
        <w:t>Consumer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perceptions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quality</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value</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means-end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synthesis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evidence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Journal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Marketing, 52</w:t>
      </w:r>
      <w:r>
        <w:rPr>
          <w:rFonts w:ascii="Times New Roman" w:eastAsia="Times New Roman" w:hAnsi="Times New Roman" w:cs="Times New Roman"/>
        </w:rPr>
        <w:t>(3), 2–22. https://doi.org/10.1177/002224298805200302</w:t>
      </w:r>
    </w:p>
    <w:p w14:paraId="5EB49E9E" w14:textId="77777777" w:rsidR="002A32AD" w:rsidRDefault="002A32AD">
      <w:pPr>
        <w:spacing w:line="360" w:lineRule="auto"/>
        <w:ind w:left="1440" w:hanging="720"/>
        <w:rPr>
          <w:rFonts w:ascii="Times New Roman" w:eastAsia="Times New Roman" w:hAnsi="Times New Roman" w:cs="Times New Roman"/>
        </w:rPr>
      </w:pPr>
    </w:p>
    <w:p w14:paraId="5235EC7D" w14:textId="77777777" w:rsidR="002A32AD" w:rsidRDefault="002A32AD">
      <w:pPr>
        <w:spacing w:after="80" w:line="360" w:lineRule="auto"/>
        <w:rPr>
          <w:rFonts w:ascii="Times New Roman" w:eastAsia="Times New Roman" w:hAnsi="Times New Roman" w:cs="Times New Roman"/>
          <w:b/>
          <w:bCs/>
        </w:rPr>
      </w:pPr>
    </w:p>
    <w:sectPr w:rsidR="002A32A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A74AE8-085A-495A-AA5E-1A0D92C3ED35}"/>
  </w:font>
  <w:font w:name="Cambria">
    <w:panose1 w:val="02040503050406030204"/>
    <w:charset w:val="00"/>
    <w:family w:val="roman"/>
    <w:pitch w:val="variable"/>
    <w:sig w:usb0="E00006FF" w:usb1="420024FF" w:usb2="02000000" w:usb3="00000000" w:csb0="0000019F" w:csb1="00000000"/>
    <w:embedRegular r:id="rId2" w:fontKey="{32C46B80-2A72-4BFF-98D0-08192DA2B3A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2AD"/>
    <w:rsid w:val="002A32AD"/>
    <w:rsid w:val="00B34953"/>
    <w:rsid w:val="00E51D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F2F4D"/>
  <w15:docId w15:val="{40BA949D-67FD-4E43-AE4F-A11E8994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4000</Words>
  <Characters>22001</Characters>
  <Application>Microsoft Office Word</Application>
  <DocSecurity>0</DocSecurity>
  <Lines>183</Lines>
  <Paragraphs>51</Paragraphs>
  <ScaleCrop>false</ScaleCrop>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Prestamo Estudiantes</cp:lastModifiedBy>
  <cp:revision>2</cp:revision>
  <dcterms:created xsi:type="dcterms:W3CDTF">2026-10-21T20:19:00Z</dcterms:created>
  <dcterms:modified xsi:type="dcterms:W3CDTF">2026-10-21T20:20:00Z</dcterms:modified>
</cp:coreProperties>
</file>