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Universidad del Rosario</w:t>
      </w:r>
    </w:p>
    <w:p w:rsidR="00000000" w:rsidDel="00000000" w:rsidP="00000000" w:rsidRDefault="00000000" w:rsidRPr="00000000" w14:paraId="00000002">
      <w:pPr>
        <w:spacing w:after="0"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Haciendo Economía - 2026-2</w:t>
      </w:r>
    </w:p>
    <w:p w:rsidR="00000000" w:rsidDel="00000000" w:rsidP="00000000" w:rsidRDefault="00000000" w:rsidRPr="00000000" w14:paraId="00000003">
      <w:pPr>
        <w:spacing w:after="0"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Profesor: Paul Rodríguez L.</w:t>
      </w:r>
    </w:p>
    <w:p w:rsidR="00000000" w:rsidDel="00000000" w:rsidP="00000000" w:rsidRDefault="00000000" w:rsidRPr="00000000" w14:paraId="00000004">
      <w:pPr>
        <w:spacing w:after="0"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Estudiantes: Santiago Gómez, Camilo Ospina, David Pascagaza y Emily Rodríguez</w:t>
      </w:r>
    </w:p>
    <w:p w:rsidR="00000000" w:rsidDel="00000000" w:rsidP="00000000" w:rsidRDefault="00000000" w:rsidRPr="00000000" w14:paraId="00000005">
      <w:pPr>
        <w:spacing w:after="0"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006">
      <w:pPr>
        <w:spacing w:after="0" w:line="360" w:lineRule="auto"/>
        <w:jc w:val="cente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¿Quién paga la diferencia? Disposición a pagar por café de especialidad en Chapinero, Bogotá</w:t>
      </w:r>
    </w:p>
    <w:p w:rsidR="00000000" w:rsidDel="00000000" w:rsidP="00000000" w:rsidRDefault="00000000" w:rsidRPr="00000000" w14:paraId="00000007">
      <w:pPr>
        <w:spacing w:after="0" w:line="36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Eje temático: Demanda y comportamiento del consumidor</w:t>
      </w: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1. Pregunta de investigación y objetivos</w:t>
      </w:r>
    </w:p>
    <w:p w:rsidR="00000000" w:rsidDel="00000000" w:rsidP="00000000" w:rsidRDefault="00000000" w:rsidRPr="00000000" w14:paraId="00000009">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¿Cómo varía la disposición a pagar por una bebida de especialidad y la prima que esta implica frente al tinto tradicional según el nivel socioeconómico, el conocimiento del café y los hábitos de consumo de los clientes de cafeterías de especialidad en Chapinero, Bogotá?</w:t>
      </w: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 disposición a pagar (DAP) es declarada, no una compra observada, y su relación con las características de los clientes se lee como asociación, no como efecto causal. </w:t>
      </w:r>
    </w:p>
    <w:p w:rsidR="00000000" w:rsidDel="00000000" w:rsidP="00000000" w:rsidRDefault="00000000" w:rsidRPr="00000000" w14:paraId="0000000C">
      <w:pPr>
        <w:numPr>
          <w:ilvl w:val="0"/>
          <w:numId w:val="1"/>
        </w:numPr>
        <w:spacing w:after="0" w:afterAutospacing="0"/>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El </w:t>
      </w:r>
      <w:r w:rsidDel="00000000" w:rsidR="00000000" w:rsidRPr="00000000">
        <w:rPr>
          <w:rFonts w:ascii="Times New Roman" w:cs="Times New Roman" w:eastAsia="Times New Roman" w:hAnsi="Times New Roman"/>
          <w:i w:val="1"/>
          <w:iCs w:val="1"/>
          <w:sz w:val="22"/>
          <w:szCs w:val="22"/>
          <w:rtl w:val="0"/>
        </w:rPr>
        <w:t xml:space="preserve">nivel socioeconómico</w:t>
      </w:r>
      <w:r w:rsidDel="00000000" w:rsidR="00000000" w:rsidRPr="00000000">
        <w:rPr>
          <w:rFonts w:ascii="Times New Roman" w:cs="Times New Roman" w:eastAsia="Times New Roman" w:hAnsi="Times New Roman"/>
          <w:sz w:val="22"/>
          <w:szCs w:val="22"/>
          <w:rtl w:val="0"/>
        </w:rPr>
        <w:t xml:space="preserve"> se mide con estrato, ingreso del hogar por rangos, educación y ocupación</w:t>
      </w:r>
    </w:p>
    <w:p w:rsidR="00000000" w:rsidDel="00000000" w:rsidP="00000000" w:rsidRDefault="00000000" w:rsidRPr="00000000" w14:paraId="0000000D">
      <w:pPr>
        <w:numPr>
          <w:ilvl w:val="0"/>
          <w:numId w:val="1"/>
        </w:numPr>
        <w:spacing w:after="0" w:afterAutospacing="0"/>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El </w:t>
      </w:r>
      <w:r w:rsidDel="00000000" w:rsidR="00000000" w:rsidRPr="00000000">
        <w:rPr>
          <w:rFonts w:ascii="Times New Roman" w:cs="Times New Roman" w:eastAsia="Times New Roman" w:hAnsi="Times New Roman"/>
          <w:i w:val="1"/>
          <w:iCs w:val="1"/>
          <w:sz w:val="22"/>
          <w:szCs w:val="22"/>
          <w:rtl w:val="0"/>
        </w:rPr>
        <w:t xml:space="preserve">conocimiento del café</w:t>
      </w:r>
      <w:r w:rsidDel="00000000" w:rsidR="00000000" w:rsidRPr="00000000">
        <w:rPr>
          <w:rFonts w:ascii="Times New Roman" w:cs="Times New Roman" w:eastAsia="Times New Roman" w:hAnsi="Times New Roman"/>
          <w:sz w:val="22"/>
          <w:szCs w:val="22"/>
          <w:rtl w:val="0"/>
        </w:rPr>
        <w:t xml:space="preserve"> se mide con un puntaje de 0 a 4 en preguntas básicas y una autoevaluación de 1 a 5</w:t>
      </w:r>
    </w:p>
    <w:p w:rsidR="00000000" w:rsidDel="00000000" w:rsidP="00000000" w:rsidRDefault="00000000" w:rsidRPr="00000000" w14:paraId="0000000E">
      <w:pPr>
        <w:numPr>
          <w:ilvl w:val="0"/>
          <w:numId w:val="1"/>
        </w:numPr>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Los </w:t>
      </w:r>
      <w:r w:rsidDel="00000000" w:rsidR="00000000" w:rsidRPr="00000000">
        <w:rPr>
          <w:rFonts w:ascii="Times New Roman" w:cs="Times New Roman" w:eastAsia="Times New Roman" w:hAnsi="Times New Roman"/>
          <w:i w:val="1"/>
          <w:iCs w:val="1"/>
          <w:sz w:val="22"/>
          <w:szCs w:val="22"/>
          <w:rtl w:val="0"/>
        </w:rPr>
        <w:t xml:space="preserve">hábitos</w:t>
      </w:r>
      <w:r w:rsidDel="00000000" w:rsidR="00000000" w:rsidRPr="00000000">
        <w:rPr>
          <w:rFonts w:ascii="Times New Roman" w:cs="Times New Roman" w:eastAsia="Times New Roman" w:hAnsi="Times New Roman"/>
          <w:sz w:val="22"/>
          <w:szCs w:val="22"/>
          <w:rtl w:val="0"/>
        </w:rPr>
        <w:t xml:space="preserve"> se mide con la frecuencia de visita, el lugar habitual de consumo y el motivo de la visita.</w:t>
      </w:r>
    </w:p>
    <w:p w:rsidR="00000000" w:rsidDel="00000000" w:rsidP="00000000" w:rsidRDefault="00000000" w:rsidRPr="00000000" w14:paraId="0000000F">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Objetivo general.</w:t>
      </w:r>
      <w:r w:rsidDel="00000000" w:rsidR="00000000" w:rsidRPr="00000000">
        <w:rPr>
          <w:rFonts w:ascii="Times New Roman" w:cs="Times New Roman" w:eastAsia="Times New Roman" w:hAnsi="Times New Roman"/>
          <w:sz w:val="22"/>
          <w:szCs w:val="22"/>
          <w:rtl w:val="0"/>
        </w:rPr>
        <w:t xml:space="preserve"> Describir la distribución de la DAP declarada por la bebida de referencia, y de la prima que implica frente al tinto, entre los clientes adultos de las cafeterías seleccionadas, y compararlas entre grupos de nivel socioeconómico, conocimiento y hábitos.</w:t>
      </w:r>
    </w:p>
    <w:p w:rsidR="00000000" w:rsidDel="00000000" w:rsidP="00000000" w:rsidRDefault="00000000" w:rsidRPr="00000000" w14:paraId="00000010">
      <w:pPr>
        <w:spacing w:after="0" w:line="150"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2. Diseño del estudio</w:t>
      </w:r>
    </w:p>
    <w:p w:rsidR="00000000" w:rsidDel="00000000" w:rsidP="00000000" w:rsidRDefault="00000000" w:rsidRPr="00000000" w14:paraId="00000012">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Es una encuesta presencial, transversal y descriptiva a clientes adultos de un grupo de cafeterías de especialidad de Chapinero, con observación estructurada de cartas y precios. Solo se asignan al azar los precios ofrecidos, para medir la DAP sin que el encuestador elija la oferta. No se asigna nada que permita atribuir efectos causales a las características del cliente.</w:t>
      </w:r>
    </w:p>
    <w:p w:rsidR="00000000" w:rsidDel="00000000" w:rsidP="00000000" w:rsidRDefault="00000000" w:rsidRPr="00000000" w14:paraId="00000013">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Población y unidades.</w:t>
      </w:r>
      <w:r w:rsidDel="00000000" w:rsidR="00000000" w:rsidRPr="00000000">
        <w:rPr>
          <w:rFonts w:ascii="Times New Roman" w:cs="Times New Roman" w:eastAsia="Times New Roman" w:hAnsi="Times New Roman"/>
          <w:sz w:val="22"/>
          <w:szCs w:val="22"/>
          <w:rtl w:val="0"/>
        </w:rPr>
        <w:t xml:space="preserve"> Personas de 18 años o más que compran una bebida en las cafeterías seleccionadas, en las fechas y franjas del campo. La unidad de observación es el cliente en una visita, con una sola encuesta por persona. Como no existe una lista de clientes, se muestrean visitas dentro de cada tienda y franja.</w:t>
      </w:r>
    </w:p>
    <w:p w:rsidR="00000000" w:rsidDel="00000000" w:rsidP="00000000" w:rsidRDefault="00000000" w:rsidRPr="00000000" w14:paraId="00000014">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Inclusión y exclusión.</w:t>
      </w:r>
      <w:r w:rsidDel="00000000" w:rsidR="00000000" w:rsidRPr="00000000">
        <w:rPr>
          <w:rFonts w:ascii="Times New Roman" w:cs="Times New Roman" w:eastAsia="Times New Roman" w:hAnsi="Times New Roman"/>
          <w:sz w:val="22"/>
          <w:szCs w:val="22"/>
          <w:rtl w:val="0"/>
        </w:rPr>
        <w:t xml:space="preserve"> Se incluye a quien tiene 18 años o más, compró (o le compraron) una bebida en la tienda ese día, entiende el guion en español y acepta participar. Se excluye a quien ya respondió, trabaja en la tienda, pertenece al grupo o al curso, está en una mesa donde ya se encuestó a alguien o no puede dar su consentimiento. Cada exclusión se registra con su motivo.</w:t>
      </w:r>
    </w:p>
    <w:p w:rsidR="00000000" w:rsidDel="00000000" w:rsidP="00000000" w:rsidRDefault="00000000" w:rsidRPr="00000000" w14:paraId="00000015">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Cafetería de especialidad.</w:t>
      </w:r>
      <w:r w:rsidDel="00000000" w:rsidR="00000000" w:rsidRPr="00000000">
        <w:rPr>
          <w:rFonts w:ascii="Times New Roman" w:cs="Times New Roman" w:eastAsia="Times New Roman" w:hAnsi="Times New Roman"/>
          <w:sz w:val="22"/>
          <w:szCs w:val="22"/>
          <w:rtl w:val="0"/>
        </w:rPr>
        <w:t xml:space="preserve"> Es elegible la tienda que ofrece al menos un método de filtrado manual, informa el origen del café (región o finca) y prepara en barra con barista. Se registra si es independiente o de cadena.</w:t>
      </w:r>
    </w:p>
    <w:p w:rsidR="00000000" w:rsidDel="00000000" w:rsidP="00000000" w:rsidRDefault="00000000" w:rsidRPr="00000000" w14:paraId="00000016">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Selección de tiendas.</w:t>
      </w:r>
      <w:r w:rsidDel="00000000" w:rsidR="00000000" w:rsidRPr="00000000">
        <w:rPr>
          <w:rFonts w:ascii="Times New Roman" w:cs="Times New Roman" w:eastAsia="Times New Roman" w:hAnsi="Times New Roman"/>
          <w:sz w:val="22"/>
          <w:szCs w:val="22"/>
          <w:rtl w:val="0"/>
        </w:rPr>
        <w:t xml:space="preserve"> El número de tiendas elegibles son 26. Se eligieron investigando de antemano si estas son de especialidad para no perder tiempo en los días de encuestas, también tratando de abarcar todo el sector elegido ya que queremos indagar a fondo y el solo elegir un sector alto o bajo ciega otros datos. Si una tienda no autoriza, se invita a la siguiente de su zona y se registra la sustitución. La muestra resultante es de conveniencia dentro de un orden aleatorio, no probabilístico.</w:t>
      </w:r>
    </w:p>
    <w:p w:rsidR="00000000" w:rsidDel="00000000" w:rsidP="00000000" w:rsidRDefault="00000000" w:rsidRPr="00000000" w14:paraId="00000017">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Tamaño de muestra.</w:t>
      </w:r>
      <w:r w:rsidDel="00000000" w:rsidR="00000000" w:rsidRPr="00000000">
        <w:rPr>
          <w:rFonts w:ascii="Times New Roman" w:cs="Times New Roman" w:eastAsia="Times New Roman" w:hAnsi="Times New Roman"/>
          <w:sz w:val="22"/>
          <w:szCs w:val="22"/>
          <w:rtl w:val="0"/>
        </w:rPr>
        <w:t xml:space="preserve"> No se calcula desde una población, sino para que cada versión de precios tenga respuestas suficientes. El margen de error máximo de una proporción con </w:t>
      </w:r>
      <w:r w:rsidDel="00000000" w:rsidR="00000000" w:rsidRPr="00000000">
        <w:rPr>
          <w:rFonts w:ascii="Times New Roman" w:cs="Times New Roman" w:eastAsia="Times New Roman" w:hAnsi="Times New Roman"/>
          <w:i w:val="1"/>
          <w:iCs w:val="1"/>
          <w:sz w:val="22"/>
          <w:szCs w:val="22"/>
          <w:rtl w:val="0"/>
        </w:rPr>
        <w:t xml:space="preserve">n</w:t>
      </w:r>
      <w:r w:rsidDel="00000000" w:rsidR="00000000" w:rsidRPr="00000000">
        <w:rPr>
          <w:rFonts w:ascii="Times New Roman" w:cs="Times New Roman" w:eastAsia="Times New Roman" w:hAnsi="Times New Roman"/>
          <w:sz w:val="22"/>
          <w:szCs w:val="22"/>
          <w:rtl w:val="0"/>
        </w:rPr>
        <w:t xml:space="preserve"> respuestas es:</w:t>
      </w:r>
    </w:p>
    <w:p w:rsidR="00000000" w:rsidDel="00000000" w:rsidP="00000000" w:rsidRDefault="00000000" w:rsidRPr="00000000" w14:paraId="00000018">
      <w:pPr>
        <w:spacing w:after="60" w:before="20" w:lineRule="auto"/>
        <w:jc w:val="center"/>
        <w:rPr>
          <w:rFonts w:ascii="Times New Roman" w:cs="Times New Roman" w:eastAsia="Times New Roman" w:hAnsi="Times New Roman"/>
          <w:sz w:val="22"/>
          <w:szCs w:val="22"/>
        </w:rPr>
      </w:pPr>
      <m:oMath>
        <m:sSub>
          <m:sSubPr>
            <m:ctrlPr>
              <w:rPr>
                <w:rFonts w:ascii="Times New Roman" w:cs="Times New Roman" w:eastAsia="Times New Roman" w:hAnsi="Times New Roman"/>
                <w:sz w:val="22"/>
                <w:szCs w:val="22"/>
              </w:rPr>
            </m:ctrlPr>
          </m:sSubPr>
          <m:e>
            <m:r>
              <w:rPr>
                <w:rFonts w:ascii="Times New Roman" w:cs="Times New Roman" w:eastAsia="Times New Roman" w:hAnsi="Times New Roman"/>
                <w:sz w:val="22"/>
                <w:szCs w:val="22"/>
              </w:rPr>
              <m:t xml:space="preserve">margen</m:t>
            </m:r>
          </m:e>
          <m:sub>
            <m:r>
              <w:rPr>
                <w:rFonts w:ascii="Times New Roman" w:cs="Times New Roman" w:eastAsia="Times New Roman" w:hAnsi="Times New Roman"/>
                <w:sz w:val="22"/>
                <w:szCs w:val="22"/>
              </w:rPr>
              <m:t xml:space="preserve">95 %</m:t>
            </m:r>
          </m:sub>
        </m:sSub>
        <m:r>
          <w:rPr>
            <w:rFonts w:ascii="Times New Roman" w:cs="Times New Roman" w:eastAsia="Times New Roman" w:hAnsi="Times New Roman"/>
            <w:sz w:val="22"/>
            <w:szCs w:val="22"/>
          </w:rPr>
          <m:t xml:space="preserve">=1,96</m:t>
        </m:r>
        <m:rad>
          <m:radPr>
            <m:degHide m:val="1"/>
            <m:ctrlPr>
              <w:rPr>
                <w:rFonts w:ascii="Times New Roman" w:cs="Times New Roman" w:eastAsia="Times New Roman" w:hAnsi="Times New Roman"/>
                <w:sz w:val="22"/>
                <w:szCs w:val="22"/>
              </w:rPr>
            </m:ctrlPr>
          </m:radPr>
          <m:e>
            <m:f>
              <m:fPr>
                <m:ctrlPr>
                  <w:rPr>
                    <w:rFonts w:ascii="Times New Roman" w:cs="Times New Roman" w:eastAsia="Times New Roman" w:hAnsi="Times New Roman"/>
                    <w:sz w:val="22"/>
                    <w:szCs w:val="22"/>
                  </w:rPr>
                </m:ctrlPr>
              </m:fPr>
              <m:num>
                <m:r>
                  <w:rPr>
                    <w:rFonts w:ascii="Times New Roman" w:cs="Times New Roman" w:eastAsia="Times New Roman" w:hAnsi="Times New Roman"/>
                    <w:sz w:val="22"/>
                    <w:szCs w:val="22"/>
                  </w:rPr>
                  <m:t xml:space="preserve">0,25</m:t>
                </m:r>
              </m:num>
              <m:den>
                <m:r>
                  <w:rPr>
                    <w:rFonts w:ascii="Times New Roman" w:cs="Times New Roman" w:eastAsia="Times New Roman" w:hAnsi="Times New Roman"/>
                    <w:sz w:val="22"/>
                    <w:szCs w:val="22"/>
                  </w:rPr>
                  <m:t xml:space="preserve">n</m:t>
                </m:r>
              </m:den>
            </m:f>
          </m:e>
        </m:rad>
      </m:oMath>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 estas cifras hay que sumar rechazos, protestas e incompletas, que solo el resultado de la encuesta puede estimar, ningún escenario está garantizado. Las cuotas son iguales por tienda (por ejemplo, 5 tiendas con 25 encuestas), en tres franjas fijas (mañana, mediodía y tarde) y encuestar al menos 10 tiendas por día. La meta de duración es de cinco a seis minutos.</w:t>
      </w:r>
    </w:p>
    <w:p w:rsidR="00000000" w:rsidDel="00000000" w:rsidP="00000000" w:rsidRDefault="00000000" w:rsidRPr="00000000" w14:paraId="0000001A">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Riesgos de sesgo.</w:t>
      </w:r>
      <w:r w:rsidDel="00000000" w:rsidR="00000000" w:rsidRPr="00000000">
        <w:rPr>
          <w:rtl w:val="0"/>
        </w:rPr>
      </w:r>
    </w:p>
    <w:tbl>
      <w:tblPr>
        <w:tblStyle w:val="Table1"/>
        <w:tblW w:w="9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12"/>
        <w:gridCol w:w="6192"/>
        <w:tblGridChange w:id="0">
          <w:tblGrid>
            <w:gridCol w:w="3212"/>
            <w:gridCol w:w="6192"/>
          </w:tblGrid>
        </w:tblGridChange>
      </w:tblGrid>
      <w:tr>
        <w:trPr>
          <w:cantSplit w:val="1"/>
          <w:tblHeader w:val="1"/>
        </w:trPr>
        <w:tc>
          <w:tcPr>
            <w:shd w:fill="cccccc" w:val="clear"/>
            <w:tcMar>
              <w:top w:w="25.0" w:type="dxa"/>
              <w:left w:w="75.0" w:type="dxa"/>
              <w:bottom w:w="25.0" w:type="dxa"/>
              <w:right w:w="75.0" w:type="dxa"/>
            </w:tcMar>
            <w:vAlign w:val="bottom"/>
          </w:tcPr>
          <w:p w:rsidR="00000000" w:rsidDel="00000000" w:rsidP="00000000" w:rsidRDefault="00000000" w:rsidRPr="00000000" w14:paraId="0000001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Riesgo</w:t>
            </w:r>
            <w:r w:rsidDel="00000000" w:rsidR="00000000" w:rsidRPr="00000000">
              <w:rPr>
                <w:rtl w:val="0"/>
              </w:rPr>
            </w:r>
          </w:p>
        </w:tc>
        <w:tc>
          <w:tcPr>
            <w:shd w:fill="cccccc" w:val="clear"/>
            <w:tcMar>
              <w:top w:w="25.0" w:type="dxa"/>
              <w:left w:w="75.0" w:type="dxa"/>
              <w:bottom w:w="25.0" w:type="dxa"/>
              <w:right w:w="75.0" w:type="dxa"/>
            </w:tcMar>
            <w:vAlign w:val="bottom"/>
          </w:tcPr>
          <w:p w:rsidR="00000000" w:rsidDel="00000000" w:rsidP="00000000" w:rsidRDefault="00000000" w:rsidRPr="00000000" w14:paraId="0000001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Mitigación</w:t>
            </w:r>
            <w:r w:rsidDel="00000000" w:rsidR="00000000" w:rsidRPr="00000000">
              <w:rPr>
                <w:rtl w:val="0"/>
              </w:rPr>
            </w:r>
          </w:p>
        </w:tc>
      </w:tr>
      <w:tr>
        <w:trPr>
          <w:cantSplit w:val="1"/>
          <w:tblHeader w:val="0"/>
        </w:trPr>
        <w:tc>
          <w:tcPr>
            <w:tcMar>
              <w:top w:w="25.0" w:type="dxa"/>
              <w:left w:w="75.0" w:type="dxa"/>
              <w:bottom w:w="25.0" w:type="dxa"/>
              <w:right w:w="75.0" w:type="dxa"/>
            </w:tcMar>
            <w:vAlign w:val="top"/>
          </w:tcPr>
          <w:p w:rsidR="00000000" w:rsidDel="00000000" w:rsidP="00000000" w:rsidRDefault="00000000" w:rsidRPr="00000000" w14:paraId="0000001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Selección, pues solo aceptan tiendas que autorizan, en franjas elegidas</w:t>
            </w:r>
          </w:p>
        </w:tc>
        <w:tc>
          <w:tcPr>
            <w:tcMar>
              <w:top w:w="25.0" w:type="dxa"/>
              <w:left w:w="75.0" w:type="dxa"/>
              <w:bottom w:w="25.0" w:type="dxa"/>
              <w:right w:w="75.0" w:type="dxa"/>
            </w:tcMar>
            <w:vAlign w:val="top"/>
          </w:tcPr>
          <w:p w:rsidR="00000000" w:rsidDel="00000000" w:rsidP="00000000" w:rsidRDefault="00000000" w:rsidRPr="00000000" w14:paraId="0000001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Regla sistemática para abordar clientes; registro de rechazos; reportar la población alcanzada</w:t>
            </w:r>
          </w:p>
        </w:tc>
      </w:tr>
      <w:tr>
        <w:trPr>
          <w:cantSplit w:val="1"/>
          <w:tblHeader w:val="0"/>
        </w:trPr>
        <w:tc>
          <w:tcPr>
            <w:tcMar>
              <w:top w:w="25.0" w:type="dxa"/>
              <w:left w:w="75.0" w:type="dxa"/>
              <w:bottom w:w="25.0" w:type="dxa"/>
              <w:right w:w="75.0" w:type="dxa"/>
            </w:tcMar>
            <w:vAlign w:val="top"/>
          </w:tcPr>
          <w:p w:rsidR="00000000" w:rsidDel="00000000" w:rsidP="00000000" w:rsidRDefault="00000000" w:rsidRPr="00000000" w14:paraId="0000001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Frecuencia, pues quien va más a la tienda tiene más probabilidad de ser encuestado</w:t>
            </w:r>
          </w:p>
        </w:tc>
        <w:tc>
          <w:tcPr>
            <w:tcMar>
              <w:top w:w="25.0" w:type="dxa"/>
              <w:left w:w="75.0" w:type="dxa"/>
              <w:bottom w:w="25.0" w:type="dxa"/>
              <w:right w:w="75.0" w:type="dxa"/>
            </w:tcMar>
            <w:vAlign w:val="top"/>
          </w:tcPr>
          <w:p w:rsidR="00000000" w:rsidDel="00000000" w:rsidP="00000000" w:rsidRDefault="00000000" w:rsidRPr="00000000" w14:paraId="0000002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Preguntar la frecuencia en esa tienda y repetir los resultados ponderando por su inverso</w:t>
            </w:r>
          </w:p>
        </w:tc>
      </w:tr>
      <w:tr>
        <w:trPr>
          <w:cantSplit w:val="1"/>
          <w:tblHeader w:val="0"/>
        </w:trPr>
        <w:tc>
          <w:tcPr>
            <w:tcMar>
              <w:top w:w="25.0" w:type="dxa"/>
              <w:left w:w="75.0" w:type="dxa"/>
              <w:bottom w:w="25.0" w:type="dxa"/>
              <w:right w:w="75.0" w:type="dxa"/>
            </w:tcMar>
            <w:vAlign w:val="top"/>
          </w:tcPr>
          <w:p w:rsidR="00000000" w:rsidDel="00000000" w:rsidP="00000000" w:rsidRDefault="00000000" w:rsidRPr="00000000" w14:paraId="00000021">
            <w:pPr>
              <w:spacing w:after="0" w:line="240" w:lineRule="auto"/>
              <w:rPr>
                <w:rFonts w:ascii="Times New Roman" w:cs="Times New Roman" w:eastAsia="Times New Roman" w:hAnsi="Times New Roman"/>
                <w:sz w:val="22"/>
                <w:szCs w:val="22"/>
              </w:rPr>
            </w:pPr>
            <w:r w:rsidDel="00000000" w:rsidR="00000000" w:rsidRPr="00000000">
              <w:rPr>
                <w:rFonts w:ascii="Cardo" w:cs="Cardo" w:eastAsia="Cardo" w:hAnsi="Cardo"/>
                <w:sz w:val="22"/>
                <w:szCs w:val="22"/>
                <w:rtl w:val="0"/>
              </w:rPr>
              <w:t xml:space="preserve">Anclaje → precio inicial, carta visible y precio pagado</w:t>
            </w:r>
          </w:p>
        </w:tc>
        <w:tc>
          <w:tcPr>
            <w:tcMar>
              <w:top w:w="25.0" w:type="dxa"/>
              <w:left w:w="75.0" w:type="dxa"/>
              <w:bottom w:w="25.0" w:type="dxa"/>
              <w:right w:w="75.0" w:type="dxa"/>
            </w:tcMar>
            <w:vAlign w:val="top"/>
          </w:tcPr>
          <w:p w:rsidR="00000000" w:rsidDel="00000000" w:rsidP="00000000" w:rsidRDefault="00000000" w:rsidRPr="00000000" w14:paraId="0000002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Primera oferta aleatoria. Precio pagado preguntado después del árbol. Registro del precio de carta</w:t>
            </w:r>
          </w:p>
        </w:tc>
      </w:tr>
    </w:tbl>
    <w:p w:rsidR="00000000" w:rsidDel="00000000" w:rsidP="00000000" w:rsidRDefault="00000000" w:rsidRPr="00000000" w14:paraId="00000023">
      <w:pPr>
        <w:spacing w:after="0" w:line="150"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3. Bebida de referencia y comparador</w:t>
      </w:r>
    </w:p>
    <w:p w:rsidR="00000000" w:rsidDel="00000000" w:rsidP="00000000" w:rsidRDefault="00000000" w:rsidRPr="00000000" w14:paraId="00000025">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 DAP se pregunta por una sola bebida, descrita igual a todos que son café filtrado manual (V60, Chemex, Kalita u otro), de una finca o región identificada, negro, en la taza estándar de la tienda y para tomar allí, comprado hoy con dinero propio y sin promociones. Fijarla evita que la DAP mezcle bienes distintos. Como los montos de las ofertas ya están fijados (sección 4), la ficha de cada tienda solo registra, para comparar con la DAP, el precio y el tamaño del filtrado en la carta, los métodos disponibles, el origen informado, la barra con barista, el tipo de tienda y una foto fechada de la carta.</w:t>
      </w:r>
    </w:p>
    <w:p w:rsidR="00000000" w:rsidDel="00000000" w:rsidP="00000000" w:rsidRDefault="00000000" w:rsidRPr="00000000" w14:paraId="00000026">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comparador es el tinto de la cafetería, el precio que el cliente dice pagar normalmente (B5). La prima mide la diferencia de valoración entre dos experiencias completas (tamaño, grano, método, servicio y espacio), no solo la calidad del grano. Como el árbol ubica a cada persona en un intervalo [L, U), con P_T el precio de su tinto:</w:t>
      </w:r>
    </w:p>
    <w:p w:rsidR="00000000" w:rsidDel="00000000" w:rsidP="00000000" w:rsidRDefault="00000000" w:rsidRPr="00000000" w14:paraId="00000027">
      <w:pPr>
        <w:spacing w:after="60" w:before="20" w:lineRule="auto"/>
        <w:jc w:val="center"/>
        <w:rPr>
          <w:rFonts w:ascii="Times New Roman" w:cs="Times New Roman" w:eastAsia="Times New Roman" w:hAnsi="Times New Roman"/>
          <w:sz w:val="22"/>
          <w:szCs w:val="22"/>
        </w:rPr>
      </w:pPr>
      <m:oMath>
        <m:sSub>
          <m:sSubPr>
            <m:ctrlPr>
              <w:rPr>
                <w:rFonts w:ascii="Times New Roman" w:cs="Times New Roman" w:eastAsia="Times New Roman" w:hAnsi="Times New Roman"/>
                <w:sz w:val="22"/>
                <w:szCs w:val="22"/>
              </w:rPr>
            </m:ctrlPr>
          </m:sSubPr>
          <m:e>
            <m:r>
              <w:rPr>
                <w:rFonts w:ascii="Times New Roman" w:cs="Times New Roman" w:eastAsia="Times New Roman" w:hAnsi="Times New Roman"/>
                <w:sz w:val="22"/>
                <w:szCs w:val="22"/>
              </w:rPr>
              <m:t xml:space="preserve">DAP</m:t>
            </m:r>
          </m:e>
          <m:sub>
            <m:r>
              <w:rPr>
                <w:rFonts w:ascii="Times New Roman" w:cs="Times New Roman" w:eastAsia="Times New Roman" w:hAnsi="Times New Roman"/>
                <w:sz w:val="22"/>
                <w:szCs w:val="22"/>
              </w:rPr>
              <m:t xml:space="preserve">i</m:t>
            </m:r>
          </m:sub>
        </m:sSub>
        <m:r>
          <w:rPr>
            <w:rFonts w:ascii="Times New Roman" w:cs="Times New Roman" w:eastAsia="Times New Roman" w:hAnsi="Times New Roman"/>
            <w:sz w:val="22"/>
            <w:szCs w:val="22"/>
          </w:rPr>
          <m:t xml:space="preserve">∈[</m:t>
        </m:r>
        <m:sSub>
          <m:sSubPr>
            <m:ctrlPr>
              <w:rPr>
                <w:rFonts w:ascii="Times New Roman" w:cs="Times New Roman" w:eastAsia="Times New Roman" w:hAnsi="Times New Roman"/>
                <w:sz w:val="22"/>
                <w:szCs w:val="22"/>
              </w:rPr>
            </m:ctrlPr>
          </m:sSubPr>
          <m:e>
            <m:r>
              <w:rPr>
                <w:rFonts w:ascii="Times New Roman" w:cs="Times New Roman" w:eastAsia="Times New Roman" w:hAnsi="Times New Roman"/>
                <w:sz w:val="22"/>
                <w:szCs w:val="22"/>
              </w:rPr>
              <m:t xml:space="preserve">L</m:t>
            </m:r>
          </m:e>
          <m:sub>
            <m:r>
              <w:rPr>
                <w:rFonts w:ascii="Times New Roman" w:cs="Times New Roman" w:eastAsia="Times New Roman" w:hAnsi="Times New Roman"/>
                <w:sz w:val="22"/>
                <w:szCs w:val="22"/>
              </w:rPr>
              <m:t xml:space="preserve">i</m:t>
            </m:r>
          </m:sub>
        </m:sSub>
        <m:r>
          <w:rPr>
            <w:rFonts w:ascii="Times New Roman" w:cs="Times New Roman" w:eastAsia="Times New Roman" w:hAnsi="Times New Roman"/>
            <w:sz w:val="22"/>
            <w:szCs w:val="22"/>
          </w:rPr>
          <m:t xml:space="preserve">, </m:t>
        </m:r>
        <m:sSub>
          <m:sSubPr>
            <m:ctrlPr>
              <w:rPr>
                <w:rFonts w:ascii="Times New Roman" w:cs="Times New Roman" w:eastAsia="Times New Roman" w:hAnsi="Times New Roman"/>
                <w:sz w:val="22"/>
                <w:szCs w:val="22"/>
              </w:rPr>
            </m:ctrlPr>
          </m:sSubPr>
          <m:e>
            <m:r>
              <w:rPr>
                <w:rFonts w:ascii="Times New Roman" w:cs="Times New Roman" w:eastAsia="Times New Roman" w:hAnsi="Times New Roman"/>
                <w:sz w:val="22"/>
                <w:szCs w:val="22"/>
              </w:rPr>
              <m:t xml:space="preserve">U</m:t>
            </m:r>
          </m:e>
          <m:sub>
            <m:r>
              <w:rPr>
                <w:rFonts w:ascii="Times New Roman" w:cs="Times New Roman" w:eastAsia="Times New Roman" w:hAnsi="Times New Roman"/>
                <w:sz w:val="22"/>
                <w:szCs w:val="22"/>
              </w:rPr>
              <m:t xml:space="preserve">i</m:t>
            </m:r>
          </m:sub>
        </m:sSub>
        <m:r>
          <w:rPr>
            <w:rFonts w:ascii="Times New Roman" w:cs="Times New Roman" w:eastAsia="Times New Roman" w:hAnsi="Times New Roman"/>
            <w:sz w:val="22"/>
            <w:szCs w:val="22"/>
          </w:rPr>
          <m:t xml:space="preserve">)</m:t>
        </m:r>
      </m:oMath>
      <w:r w:rsidDel="00000000" w:rsidR="00000000" w:rsidRPr="00000000">
        <w:rPr>
          <w:rtl w:val="0"/>
        </w:rPr>
      </w:r>
    </w:p>
    <w:p w:rsidR="00000000" w:rsidDel="00000000" w:rsidP="00000000" w:rsidRDefault="00000000" w:rsidRPr="00000000" w14:paraId="00000028">
      <w:pPr>
        <w:spacing w:after="60" w:before="20" w:lineRule="auto"/>
        <w:jc w:val="center"/>
        <w:rPr>
          <w:rFonts w:ascii="Times New Roman" w:cs="Times New Roman" w:eastAsia="Times New Roman" w:hAnsi="Times New Roman"/>
          <w:sz w:val="22"/>
          <w:szCs w:val="22"/>
        </w:rPr>
      </w:pPr>
      <m:oMath>
        <m:sSub>
          <m:sSubPr>
            <m:ctrlPr>
              <w:rPr>
                <w:rFonts w:ascii="Times New Roman" w:cs="Times New Roman" w:eastAsia="Times New Roman" w:hAnsi="Times New Roman"/>
                <w:sz w:val="22"/>
                <w:szCs w:val="22"/>
              </w:rPr>
            </m:ctrlPr>
          </m:sSubPr>
          <m:e>
            <m:r>
              <w:rPr>
                <w:rFonts w:ascii="Times New Roman" w:cs="Times New Roman" w:eastAsia="Times New Roman" w:hAnsi="Times New Roman"/>
                <w:sz w:val="22"/>
                <w:szCs w:val="22"/>
              </w:rPr>
              <m:t xml:space="preserve">Prima</m:t>
            </m:r>
          </m:e>
          <m:sub>
            <m:r>
              <w:rPr>
                <w:rFonts w:ascii="Times New Roman" w:cs="Times New Roman" w:eastAsia="Times New Roman" w:hAnsi="Times New Roman"/>
                <w:sz w:val="22"/>
                <w:szCs w:val="22"/>
              </w:rPr>
              <m:t xml:space="preserve">i</m:t>
            </m:r>
          </m:sub>
        </m:sSub>
        <m:r>
          <w:rPr>
            <w:rFonts w:ascii="Times New Roman" w:cs="Times New Roman" w:eastAsia="Times New Roman" w:hAnsi="Times New Roman"/>
            <w:sz w:val="22"/>
            <w:szCs w:val="22"/>
          </w:rPr>
          <m:t xml:space="preserve">∈[</m:t>
        </m:r>
        <m:sSub>
          <m:sSubPr>
            <m:ctrlPr>
              <w:rPr>
                <w:rFonts w:ascii="Times New Roman" w:cs="Times New Roman" w:eastAsia="Times New Roman" w:hAnsi="Times New Roman"/>
                <w:sz w:val="22"/>
                <w:szCs w:val="22"/>
              </w:rPr>
            </m:ctrlPr>
          </m:sSubPr>
          <m:e>
            <m:r>
              <w:rPr>
                <w:rFonts w:ascii="Times New Roman" w:cs="Times New Roman" w:eastAsia="Times New Roman" w:hAnsi="Times New Roman"/>
                <w:sz w:val="22"/>
                <w:szCs w:val="22"/>
              </w:rPr>
              <m:t xml:space="preserve">L</m:t>
            </m:r>
          </m:e>
          <m:sub>
            <m:r>
              <w:rPr>
                <w:rFonts w:ascii="Times New Roman" w:cs="Times New Roman" w:eastAsia="Times New Roman" w:hAnsi="Times New Roman"/>
                <w:sz w:val="22"/>
                <w:szCs w:val="22"/>
              </w:rPr>
              <m:t xml:space="preserve">i</m:t>
            </m:r>
          </m:sub>
        </m:sSub>
        <m:r>
          <w:rPr>
            <w:rFonts w:ascii="Times New Roman" w:cs="Times New Roman" w:eastAsia="Times New Roman" w:hAnsi="Times New Roman"/>
            <w:sz w:val="22"/>
            <w:szCs w:val="22"/>
          </w:rPr>
          <m:t xml:space="preserve">−</m:t>
        </m:r>
        <m:sSubSup>
          <m:sSubSupPr>
            <m:ctrlPr>
              <w:rPr>
                <w:rFonts w:ascii="Times New Roman" w:cs="Times New Roman" w:eastAsia="Times New Roman" w:hAnsi="Times New Roman"/>
                <w:sz w:val="22"/>
                <w:szCs w:val="22"/>
              </w:rPr>
            </m:ctrlPr>
          </m:sSubSupPr>
          <m:e>
            <m:r>
              <w:rPr>
                <w:rFonts w:ascii="Times New Roman" w:cs="Times New Roman" w:eastAsia="Times New Roman" w:hAnsi="Times New Roman"/>
                <w:sz w:val="22"/>
                <w:szCs w:val="22"/>
              </w:rPr>
              <m:t xml:space="preserve">P</m:t>
            </m:r>
          </m:e>
          <m:sub>
            <m:r>
              <w:rPr>
                <w:rFonts w:ascii="Times New Roman" w:cs="Times New Roman" w:eastAsia="Times New Roman" w:hAnsi="Times New Roman"/>
                <w:sz w:val="22"/>
                <w:szCs w:val="22"/>
              </w:rPr>
              <m:t xml:space="preserve">i</m:t>
            </m:r>
          </m:sub>
          <m:sup>
            <m:r>
              <w:rPr>
                <w:rFonts w:ascii="Times New Roman" w:cs="Times New Roman" w:eastAsia="Times New Roman" w:hAnsi="Times New Roman"/>
                <w:sz w:val="22"/>
                <w:szCs w:val="22"/>
              </w:rPr>
              <m:t xml:space="preserve">T</m:t>
            </m:r>
          </m:sup>
        </m:sSubSup>
        <m:r>
          <w:rPr>
            <w:rFonts w:ascii="Times New Roman" w:cs="Times New Roman" w:eastAsia="Times New Roman" w:hAnsi="Times New Roman"/>
            <w:sz w:val="22"/>
            <w:szCs w:val="22"/>
          </w:rPr>
          <m:t xml:space="preserve">, </m:t>
        </m:r>
        <m:sSub>
          <m:sSubPr>
            <m:ctrlPr>
              <w:rPr>
                <w:rFonts w:ascii="Times New Roman" w:cs="Times New Roman" w:eastAsia="Times New Roman" w:hAnsi="Times New Roman"/>
                <w:sz w:val="22"/>
                <w:szCs w:val="22"/>
              </w:rPr>
            </m:ctrlPr>
          </m:sSubPr>
          <m:e>
            <m:r>
              <w:rPr>
                <w:rFonts w:ascii="Times New Roman" w:cs="Times New Roman" w:eastAsia="Times New Roman" w:hAnsi="Times New Roman"/>
                <w:sz w:val="22"/>
                <w:szCs w:val="22"/>
              </w:rPr>
              <m:t xml:space="preserve">U</m:t>
            </m:r>
          </m:e>
          <m:sub>
            <m:r>
              <w:rPr>
                <w:rFonts w:ascii="Times New Roman" w:cs="Times New Roman" w:eastAsia="Times New Roman" w:hAnsi="Times New Roman"/>
                <w:sz w:val="22"/>
                <w:szCs w:val="22"/>
              </w:rPr>
              <m:t xml:space="preserve">i</m:t>
            </m:r>
          </m:sub>
        </m:sSub>
        <m:r>
          <w:rPr>
            <w:rFonts w:ascii="Times New Roman" w:cs="Times New Roman" w:eastAsia="Times New Roman" w:hAnsi="Times New Roman"/>
            <w:sz w:val="22"/>
            <w:szCs w:val="22"/>
          </w:rPr>
          <m:t xml:space="preserve">−</m:t>
        </m:r>
        <m:sSubSup>
          <m:sSubSupPr>
            <m:ctrlPr>
              <w:rPr>
                <w:rFonts w:ascii="Times New Roman" w:cs="Times New Roman" w:eastAsia="Times New Roman" w:hAnsi="Times New Roman"/>
                <w:sz w:val="22"/>
                <w:szCs w:val="22"/>
              </w:rPr>
            </m:ctrlPr>
          </m:sSubSupPr>
          <m:e>
            <m:r>
              <w:rPr>
                <w:rFonts w:ascii="Times New Roman" w:cs="Times New Roman" w:eastAsia="Times New Roman" w:hAnsi="Times New Roman"/>
                <w:sz w:val="22"/>
                <w:szCs w:val="22"/>
              </w:rPr>
              <m:t xml:space="preserve">P</m:t>
            </m:r>
          </m:e>
          <m:sub>
            <m:r>
              <w:rPr>
                <w:rFonts w:ascii="Times New Roman" w:cs="Times New Roman" w:eastAsia="Times New Roman" w:hAnsi="Times New Roman"/>
                <w:sz w:val="22"/>
                <w:szCs w:val="22"/>
              </w:rPr>
              <m:t xml:space="preserve">i</m:t>
            </m:r>
          </m:sub>
          <m:sup>
            <m:r>
              <w:rPr>
                <w:rFonts w:ascii="Times New Roman" w:cs="Times New Roman" w:eastAsia="Times New Roman" w:hAnsi="Times New Roman"/>
                <w:sz w:val="22"/>
                <w:szCs w:val="22"/>
              </w:rPr>
              <m:t xml:space="preserve">T</m:t>
            </m:r>
          </m:sup>
        </m:sSubSup>
        <m:r>
          <w:rPr>
            <w:rFonts w:ascii="Times New Roman" w:cs="Times New Roman" w:eastAsia="Times New Roman" w:hAnsi="Times New Roman"/>
            <w:sz w:val="22"/>
            <w:szCs w:val="22"/>
          </w:rPr>
          <m:t xml:space="preserve">)</m:t>
        </m:r>
      </m:oMath>
      <w:r w:rsidDel="00000000" w:rsidR="00000000" w:rsidRPr="00000000">
        <w:rPr>
          <w:rtl w:val="0"/>
        </w:rPr>
      </w:r>
    </w:p>
    <w:p w:rsidR="00000000" w:rsidDel="00000000" w:rsidP="00000000" w:rsidRDefault="00000000" w:rsidRPr="00000000" w14:paraId="00000029">
      <w:pPr>
        <w:spacing w:after="60" w:before="20" w:lineRule="auto"/>
        <w:jc w:val="center"/>
        <w:rPr>
          <w:rFonts w:ascii="Times New Roman" w:cs="Times New Roman" w:eastAsia="Times New Roman" w:hAnsi="Times New Roman"/>
          <w:sz w:val="22"/>
          <w:szCs w:val="22"/>
        </w:rPr>
      </w:pPr>
      <m:oMath>
        <m:sSub>
          <m:sSubPr>
            <m:ctrlPr>
              <w:rPr>
                <w:rFonts w:ascii="Times New Roman" w:cs="Times New Roman" w:eastAsia="Times New Roman" w:hAnsi="Times New Roman"/>
                <w:sz w:val="22"/>
                <w:szCs w:val="22"/>
              </w:rPr>
            </m:ctrlPr>
          </m:sSubPr>
          <m:e>
            <m:r>
              <w:rPr>
                <w:rFonts w:ascii="Times New Roman" w:cs="Times New Roman" w:eastAsia="Times New Roman" w:hAnsi="Times New Roman"/>
                <w:sz w:val="22"/>
                <w:szCs w:val="22"/>
              </w:rPr>
              <m:t xml:space="preserve">Prima relativa</m:t>
            </m:r>
          </m:e>
          <m:sub>
            <m:r>
              <w:rPr>
                <w:rFonts w:ascii="Times New Roman" w:cs="Times New Roman" w:eastAsia="Times New Roman" w:hAnsi="Times New Roman"/>
                <w:sz w:val="22"/>
                <w:szCs w:val="22"/>
              </w:rPr>
              <m:t xml:space="preserve">i</m:t>
            </m:r>
          </m:sub>
        </m:sSub>
        <m:r>
          <w:rPr>
            <w:rFonts w:ascii="Times New Roman" w:cs="Times New Roman" w:eastAsia="Times New Roman" w:hAnsi="Times New Roman"/>
            <w:sz w:val="22"/>
            <w:szCs w:val="22"/>
          </w:rPr>
          <m:t xml:space="preserve">∈[</m:t>
        </m:r>
        <m:f>
          <m:fPr>
            <m:ctrlPr>
              <w:rPr>
                <w:rFonts w:ascii="Times New Roman" w:cs="Times New Roman" w:eastAsia="Times New Roman" w:hAnsi="Times New Roman"/>
                <w:sz w:val="22"/>
                <w:szCs w:val="22"/>
              </w:rPr>
            </m:ctrlPr>
          </m:fPr>
          <m:num>
            <m:sSub>
              <m:sSubPr>
                <m:ctrlPr>
                  <w:rPr>
                    <w:rFonts w:ascii="Times New Roman" w:cs="Times New Roman" w:eastAsia="Times New Roman" w:hAnsi="Times New Roman"/>
                    <w:sz w:val="22"/>
                    <w:szCs w:val="22"/>
                  </w:rPr>
                </m:ctrlPr>
              </m:sSubPr>
              <m:e>
                <m:r>
                  <w:rPr>
                    <w:rFonts w:ascii="Times New Roman" w:cs="Times New Roman" w:eastAsia="Times New Roman" w:hAnsi="Times New Roman"/>
                    <w:sz w:val="22"/>
                    <w:szCs w:val="22"/>
                  </w:rPr>
                  <m:t xml:space="preserve">L</m:t>
                </m:r>
              </m:e>
              <m:sub>
                <m:r>
                  <w:rPr>
                    <w:rFonts w:ascii="Times New Roman" w:cs="Times New Roman" w:eastAsia="Times New Roman" w:hAnsi="Times New Roman"/>
                    <w:sz w:val="22"/>
                    <w:szCs w:val="22"/>
                  </w:rPr>
                  <m:t xml:space="preserve">i</m:t>
                </m:r>
              </m:sub>
            </m:sSub>
          </m:num>
          <m:den>
            <m:sSubSup>
              <m:sSubSupPr>
                <m:ctrlPr>
                  <w:rPr>
                    <w:rFonts w:ascii="Times New Roman" w:cs="Times New Roman" w:eastAsia="Times New Roman" w:hAnsi="Times New Roman"/>
                    <w:sz w:val="22"/>
                    <w:szCs w:val="22"/>
                  </w:rPr>
                </m:ctrlPr>
              </m:sSubSupPr>
              <m:e>
                <m:r>
                  <w:rPr>
                    <w:rFonts w:ascii="Times New Roman" w:cs="Times New Roman" w:eastAsia="Times New Roman" w:hAnsi="Times New Roman"/>
                    <w:sz w:val="22"/>
                    <w:szCs w:val="22"/>
                  </w:rPr>
                  <m:t xml:space="preserve">P</m:t>
                </m:r>
              </m:e>
              <m:sub>
                <m:r>
                  <w:rPr>
                    <w:rFonts w:ascii="Times New Roman" w:cs="Times New Roman" w:eastAsia="Times New Roman" w:hAnsi="Times New Roman"/>
                    <w:sz w:val="22"/>
                    <w:szCs w:val="22"/>
                  </w:rPr>
                  <m:t xml:space="preserve">i</m:t>
                </m:r>
              </m:sub>
              <m:sup>
                <m:r>
                  <w:rPr>
                    <w:rFonts w:ascii="Times New Roman" w:cs="Times New Roman" w:eastAsia="Times New Roman" w:hAnsi="Times New Roman"/>
                    <w:sz w:val="22"/>
                    <w:szCs w:val="22"/>
                  </w:rPr>
                  <m:t xml:space="preserve">T</m:t>
                </m:r>
              </m:sup>
            </m:sSubSup>
          </m:den>
        </m:f>
        <m:r>
          <w:rPr>
            <w:rFonts w:ascii="Times New Roman" w:cs="Times New Roman" w:eastAsia="Times New Roman" w:hAnsi="Times New Roman"/>
            <w:sz w:val="22"/>
            <w:szCs w:val="22"/>
          </w:rPr>
          <m:t xml:space="preserve">, </m:t>
        </m:r>
        <m:f>
          <m:fPr>
            <m:ctrlPr>
              <w:rPr>
                <w:rFonts w:ascii="Times New Roman" w:cs="Times New Roman" w:eastAsia="Times New Roman" w:hAnsi="Times New Roman"/>
                <w:sz w:val="22"/>
                <w:szCs w:val="22"/>
              </w:rPr>
            </m:ctrlPr>
          </m:fPr>
          <m:num>
            <m:sSub>
              <m:sSubPr>
                <m:ctrlPr>
                  <w:rPr>
                    <w:rFonts w:ascii="Times New Roman" w:cs="Times New Roman" w:eastAsia="Times New Roman" w:hAnsi="Times New Roman"/>
                    <w:sz w:val="22"/>
                    <w:szCs w:val="22"/>
                  </w:rPr>
                </m:ctrlPr>
              </m:sSubPr>
              <m:e>
                <m:r>
                  <w:rPr>
                    <w:rFonts w:ascii="Times New Roman" w:cs="Times New Roman" w:eastAsia="Times New Roman" w:hAnsi="Times New Roman"/>
                    <w:sz w:val="22"/>
                    <w:szCs w:val="22"/>
                  </w:rPr>
                  <m:t xml:space="preserve">U</m:t>
                </m:r>
              </m:e>
              <m:sub>
                <m:r>
                  <w:rPr>
                    <w:rFonts w:ascii="Times New Roman" w:cs="Times New Roman" w:eastAsia="Times New Roman" w:hAnsi="Times New Roman"/>
                    <w:sz w:val="22"/>
                    <w:szCs w:val="22"/>
                  </w:rPr>
                  <m:t xml:space="preserve">i</m:t>
                </m:r>
              </m:sub>
            </m:sSub>
          </m:num>
          <m:den>
            <m:sSubSup>
              <m:sSubSupPr>
                <m:ctrlPr>
                  <w:rPr>
                    <w:rFonts w:ascii="Times New Roman" w:cs="Times New Roman" w:eastAsia="Times New Roman" w:hAnsi="Times New Roman"/>
                    <w:sz w:val="22"/>
                    <w:szCs w:val="22"/>
                  </w:rPr>
                </m:ctrlPr>
              </m:sSubSupPr>
              <m:e>
                <m:r>
                  <w:rPr>
                    <w:rFonts w:ascii="Times New Roman" w:cs="Times New Roman" w:eastAsia="Times New Roman" w:hAnsi="Times New Roman"/>
                    <w:sz w:val="22"/>
                    <w:szCs w:val="22"/>
                  </w:rPr>
                  <m:t xml:space="preserve">P</m:t>
                </m:r>
              </m:e>
              <m:sub>
                <m:r>
                  <w:rPr>
                    <w:rFonts w:ascii="Times New Roman" w:cs="Times New Roman" w:eastAsia="Times New Roman" w:hAnsi="Times New Roman"/>
                    <w:sz w:val="22"/>
                    <w:szCs w:val="22"/>
                  </w:rPr>
                  <m:t xml:space="preserve">i</m:t>
                </m:r>
              </m:sub>
              <m:sup>
                <m:r>
                  <w:rPr>
                    <w:rFonts w:ascii="Times New Roman" w:cs="Times New Roman" w:eastAsia="Times New Roman" w:hAnsi="Times New Roman"/>
                    <w:sz w:val="22"/>
                    <w:szCs w:val="22"/>
                  </w:rPr>
                  <m:t xml:space="preserve">T</m:t>
                </m:r>
              </m:sup>
            </m:sSubSup>
          </m:den>
        </m:f>
        <m:r>
          <w:rPr>
            <w:rFonts w:ascii="Times New Roman" w:cs="Times New Roman" w:eastAsia="Times New Roman" w:hAnsi="Times New Roman"/>
            <w:sz w:val="22"/>
            <w:szCs w:val="22"/>
          </w:rPr>
          <m:t xml:space="preserve">)</m:t>
        </m:r>
      </m:oMath>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2"/>
          <w:szCs w:val="22"/>
        </w:rPr>
      </w:pPr>
      <w:r w:rsidDel="00000000" w:rsidR="00000000" w:rsidRPr="00000000">
        <w:rPr>
          <w:rFonts w:ascii="Gungsuh" w:cs="Gungsuh" w:eastAsia="Gungsuh" w:hAnsi="Gungsuh"/>
          <w:sz w:val="22"/>
          <w:szCs w:val="22"/>
          <w:rtl w:val="0"/>
        </w:rPr>
        <w:t xml:space="preserve">Frente al precio de carta del filtrado (P_E), la DAP queda por encima (L ≥ P_E), por debajo (U ≤ P_E) o indeterminada. El precio pagado en la visita solo es un piso revelado de la DAP para quien compró justamente un filtrado.</w:t>
      </w:r>
    </w:p>
    <w:p w:rsidR="00000000" w:rsidDel="00000000" w:rsidP="00000000" w:rsidRDefault="00000000" w:rsidRPr="00000000" w14:paraId="0000002B">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 Árbol de preguntas de disposición a pagar</w:t>
      </w:r>
    </w:p>
    <w:p w:rsidR="00000000" w:rsidDel="00000000" w:rsidP="00000000" w:rsidRDefault="00000000" w:rsidRPr="00000000" w14:paraId="0000002D">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 usa una elección dicotómica de doble límite seguida de una pregunta abierta complementaria: un precio inicial B; si la persona acepta, uno más alto (B_alta), y si rechaza, uno más bajo (B_baja). Da un intervalo por persona con menos observaciones que la pregunta dicotómica simple (Hanemann et al., 1991), aunque la segunda respuesta puede anclarse en el primer precio (Herriges y Shogren, 1996). La pregunta abierta sola produce ceros, valores extremos y sesgo hipotético (Miller et al., 2011), por lo que solo complementa. Como las preguntas de seguimiento pueden perder las propiedades de la primera (Johnston et al., 2017), el análisis principal usa la primera respuesta.</w:t>
      </w:r>
      <w:r w:rsidDel="00000000" w:rsidR="00000000" w:rsidRPr="00000000">
        <w:rPr>
          <w:rtl w:val="0"/>
        </w:rPr>
      </w:r>
    </w:p>
    <w:p w:rsidR="00000000" w:rsidDel="00000000" w:rsidP="00000000" w:rsidRDefault="00000000" w:rsidRPr="00000000" w14:paraId="0000002E">
      <w:pPr>
        <w:keepNext w:val="1"/>
        <w:spacing w:after="0" w:before="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Figura 1</w:t>
      </w:r>
      <w:r w:rsidDel="00000000" w:rsidR="00000000" w:rsidRPr="00000000">
        <w:rPr>
          <w:rtl w:val="0"/>
        </w:rPr>
      </w:r>
    </w:p>
    <w:p w:rsidR="00000000" w:rsidDel="00000000" w:rsidP="00000000" w:rsidRDefault="00000000" w:rsidRPr="00000000" w14:paraId="0000002F">
      <w:pPr>
        <w:keepNext w:val="1"/>
        <w:spacing w:after="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Árbol de preguntas de disposición a pagar: dos precios, nueve trayectorias. La primera respuesta (resaltada) es la medida principal; los recuadros grises no entran a la distribución</w:t>
      </w:r>
      <w:r w:rsidDel="00000000" w:rsidR="00000000" w:rsidRPr="00000000">
        <w:rPr>
          <w:rtl w:val="0"/>
        </w:rPr>
      </w:r>
    </w:p>
    <w:p w:rsidR="00000000" w:rsidDel="00000000" w:rsidP="00000000" w:rsidRDefault="00000000" w:rsidRPr="00000000" w14:paraId="00000030">
      <w:pPr>
        <w:spacing w:after="80" w:line="240" w:lineRule="auto"/>
        <w:jc w:val="cente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0" distT="0" distL="0" distR="0">
            <wp:extent cx="4476750" cy="3705225"/>
            <wp:effectExtent b="0" l="0" r="0" t="0"/>
            <wp:docPr descr="Árbol de preguntas de disposición a pagar: dos precios, nueve trayectorias. La primera respuesta (resaltada) es la medida principal; los recuadros grises no entran a la distribución" id="1" name="image1.png"/>
            <a:graphic>
              <a:graphicData uri="http://schemas.openxmlformats.org/drawingml/2006/picture">
                <pic:pic>
                  <pic:nvPicPr>
                    <pic:cNvPr descr="Árbol de preguntas de disposición a pagar: dos precios, nueve trayectorias. La primera respuesta (resaltada) es la medida principal; los recuadros grises no entran a la distribución" id="0" name="image1.png"/>
                    <pic:cNvPicPr preferRelativeResize="0"/>
                  </pic:nvPicPr>
                  <pic:blipFill>
                    <a:blip r:embed="rId6"/>
                    <a:srcRect b="0" l="0" r="0" t="0"/>
                    <a:stretch>
                      <a:fillRect/>
                    </a:stretch>
                  </pic:blipFill>
                  <pic:spPr>
                    <a:xfrm>
                      <a:off x="0" y="0"/>
                      <a:ext cx="4476750" cy="3705225"/>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 está seguro" en la primera pregunta sigue la rama del "no", con una marca, porque en estudios de DAP el "no sabe" se comporta como un "no" (Groothuis y Whitehead, 2002); "no responde" es un faltante. El árbol solo dice entre qué montos está la DAP de cada persona. El punto medio del intervalo no es su precio máximo, y en las trayectorias Sí–Sí y No–No ni siquiera existe.</w:t>
      </w:r>
    </w:p>
    <w:p w:rsidR="00000000" w:rsidDel="00000000" w:rsidP="00000000" w:rsidRDefault="00000000" w:rsidRPr="00000000" w14:paraId="00000032">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Precios fijados de antemano.</w:t>
      </w:r>
      <w:r w:rsidDel="00000000" w:rsidR="00000000" w:rsidRPr="00000000">
        <w:rPr>
          <w:rFonts w:ascii="Times New Roman" w:cs="Times New Roman" w:eastAsia="Times New Roman" w:hAnsi="Times New Roman"/>
          <w:sz w:val="22"/>
          <w:szCs w:val="22"/>
          <w:rtl w:val="0"/>
        </w:rPr>
        <w:t xml:space="preserve"> Los montos se fijaron antes del campo con precios publicados en internet y consultados el 22 de octubre de 2026. Las cartas en línea de dos cafeterías de especialidad de Bogotá cobran COP 12.000 y 12.500 por un V60 de una taza, y las guías de precios ubican el filtrado artesanal entre COP 8.000 y 15.000 (Sectacafetera, 2026) o entre 9.000 y 14.000 (Pulled, s. f.). Estas fuentes no son una muestra de las tiendas de Chapinero, son referencias públicas para que las ofertas cubran el rango plausible de precios.</w:t>
      </w:r>
    </w:p>
    <w:p w:rsidR="00000000" w:rsidDel="00000000" w:rsidP="00000000" w:rsidRDefault="00000000" w:rsidRPr="00000000" w14:paraId="00000033">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Las cinco versiones están anidadas, ya que la segunda oferta es el peldaño siguiente si la persona acepta y el anterior si rechaza.</w:t>
      </w:r>
    </w:p>
    <w:tbl>
      <w:tblPr>
        <w:tblStyle w:val="Table2"/>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2700"/>
        <w:gridCol w:w="2565"/>
        <w:gridCol w:w="2520"/>
        <w:tblGridChange w:id="0">
          <w:tblGrid>
            <w:gridCol w:w="1590"/>
            <w:gridCol w:w="2700"/>
            <w:gridCol w:w="2565"/>
            <w:gridCol w:w="2520"/>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20.0" w:type="dxa"/>
              <w:left w:w="80.0" w:type="dxa"/>
              <w:bottom w:w="20.0" w:type="dxa"/>
              <w:right w:w="80.0" w:type="dxa"/>
            </w:tcMar>
            <w:vAlign w:val="bottom"/>
          </w:tcPr>
          <w:p w:rsidR="00000000" w:rsidDel="00000000" w:rsidP="00000000" w:rsidRDefault="00000000" w:rsidRPr="00000000" w14:paraId="00000034">
            <w:pPr>
              <w:spacing w:after="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Versión</w:t>
            </w:r>
          </w:p>
        </w:tc>
        <w:tc>
          <w:tcPr>
            <w:tcBorders>
              <w:top w:color="000000" w:space="0" w:sz="5" w:val="single"/>
              <w:left w:color="000000" w:space="0" w:sz="5" w:val="single"/>
              <w:bottom w:color="000000" w:space="0" w:sz="5" w:val="single"/>
              <w:right w:color="000000" w:space="0" w:sz="5" w:val="single"/>
            </w:tcBorders>
            <w:shd w:fill="d9d9d9" w:val="clear"/>
            <w:tcMar>
              <w:top w:w="20.0" w:type="dxa"/>
              <w:left w:w="80.0" w:type="dxa"/>
              <w:bottom w:w="20.0" w:type="dxa"/>
              <w:right w:w="80.0" w:type="dxa"/>
            </w:tcMar>
            <w:vAlign w:val="bottom"/>
          </w:tcPr>
          <w:p w:rsidR="00000000" w:rsidDel="00000000" w:rsidP="00000000" w:rsidRDefault="00000000" w:rsidRPr="00000000" w14:paraId="00000035">
            <w:pPr>
              <w:spacing w:after="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Primera oferta (E1)</w:t>
            </w:r>
          </w:p>
        </w:tc>
        <w:tc>
          <w:tcPr>
            <w:tcBorders>
              <w:top w:color="000000" w:space="0" w:sz="5" w:val="single"/>
              <w:left w:color="000000" w:space="0" w:sz="5" w:val="single"/>
              <w:bottom w:color="000000" w:space="0" w:sz="5" w:val="single"/>
              <w:right w:color="000000" w:space="0" w:sz="5" w:val="single"/>
            </w:tcBorders>
            <w:shd w:fill="d9d9d9" w:val="clear"/>
            <w:tcMar>
              <w:top w:w="20.0" w:type="dxa"/>
              <w:left w:w="80.0" w:type="dxa"/>
              <w:bottom w:w="20.0" w:type="dxa"/>
              <w:right w:w="80.0" w:type="dxa"/>
            </w:tcMar>
            <w:vAlign w:val="bottom"/>
          </w:tcPr>
          <w:p w:rsidR="00000000" w:rsidDel="00000000" w:rsidP="00000000" w:rsidRDefault="00000000" w:rsidRPr="00000000" w14:paraId="00000036">
            <w:pPr>
              <w:spacing w:after="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Si acepta (E2a)</w:t>
            </w:r>
          </w:p>
        </w:tc>
        <w:tc>
          <w:tcPr>
            <w:tcBorders>
              <w:top w:color="000000" w:space="0" w:sz="5" w:val="single"/>
              <w:left w:color="000000" w:space="0" w:sz="5" w:val="single"/>
              <w:bottom w:color="000000" w:space="0" w:sz="5" w:val="single"/>
              <w:right w:color="000000" w:space="0" w:sz="5" w:val="single"/>
            </w:tcBorders>
            <w:shd w:fill="d9d9d9" w:val="clear"/>
            <w:tcMar>
              <w:top w:w="20.0" w:type="dxa"/>
              <w:left w:w="80.0" w:type="dxa"/>
              <w:bottom w:w="20.0" w:type="dxa"/>
              <w:right w:w="80.0" w:type="dxa"/>
            </w:tcMar>
            <w:vAlign w:val="bottom"/>
          </w:tcPr>
          <w:p w:rsidR="00000000" w:rsidDel="00000000" w:rsidP="00000000" w:rsidRDefault="00000000" w:rsidRPr="00000000" w14:paraId="00000037">
            <w:pPr>
              <w:spacing w:after="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Si rechaza (E2b)</w:t>
            </w:r>
          </w:p>
        </w:tc>
      </w:tr>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20.0" w:type="dxa"/>
              <w:left w:w="80.0" w:type="dxa"/>
              <w:bottom w:w="20.0" w:type="dxa"/>
              <w:right w:w="80.0" w:type="dxa"/>
            </w:tcMar>
            <w:vAlign w:val="top"/>
          </w:tcPr>
          <w:p w:rsidR="00000000" w:rsidDel="00000000" w:rsidP="00000000" w:rsidRDefault="00000000" w:rsidRPr="00000000" w14:paraId="00000038">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w:t>
            </w:r>
          </w:p>
        </w:tc>
        <w:tc>
          <w:tcPr>
            <w:tcBorders>
              <w:top w:color="000000" w:space="0" w:sz="5" w:val="single"/>
              <w:left w:color="000000" w:space="0" w:sz="5" w:val="single"/>
              <w:bottom w:color="000000" w:space="0" w:sz="5" w:val="single"/>
              <w:right w:color="000000" w:space="0" w:sz="5" w:val="single"/>
            </w:tcBorders>
            <w:tcMar>
              <w:top w:w="20.0" w:type="dxa"/>
              <w:left w:w="80.0" w:type="dxa"/>
              <w:bottom w:w="20.0" w:type="dxa"/>
              <w:right w:w="80.0" w:type="dxa"/>
            </w:tcMar>
            <w:vAlign w:val="top"/>
          </w:tcPr>
          <w:p w:rsidR="00000000" w:rsidDel="00000000" w:rsidP="00000000" w:rsidRDefault="00000000" w:rsidRPr="00000000" w14:paraId="00000039">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8.000</w:t>
            </w:r>
          </w:p>
        </w:tc>
        <w:tc>
          <w:tcPr>
            <w:tcBorders>
              <w:top w:color="000000" w:space="0" w:sz="5" w:val="single"/>
              <w:left w:color="000000" w:space="0" w:sz="5" w:val="single"/>
              <w:bottom w:color="000000" w:space="0" w:sz="5" w:val="single"/>
              <w:right w:color="000000" w:space="0" w:sz="5" w:val="single"/>
            </w:tcBorders>
            <w:tcMar>
              <w:top w:w="20.0" w:type="dxa"/>
              <w:left w:w="80.0" w:type="dxa"/>
              <w:bottom w:w="20.0" w:type="dxa"/>
              <w:right w:w="80.0" w:type="dxa"/>
            </w:tcMar>
            <w:vAlign w:val="top"/>
          </w:tcPr>
          <w:p w:rsidR="00000000" w:rsidDel="00000000" w:rsidP="00000000" w:rsidRDefault="00000000" w:rsidRPr="00000000" w14:paraId="0000003A">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10.000</w:t>
            </w:r>
          </w:p>
        </w:tc>
        <w:tc>
          <w:tcPr>
            <w:tcBorders>
              <w:top w:color="000000" w:space="0" w:sz="5" w:val="single"/>
              <w:left w:color="000000" w:space="0" w:sz="5" w:val="single"/>
              <w:bottom w:color="000000" w:space="0" w:sz="5" w:val="single"/>
              <w:right w:color="000000" w:space="0" w:sz="5" w:val="single"/>
            </w:tcBorders>
            <w:tcMar>
              <w:top w:w="20.0" w:type="dxa"/>
              <w:left w:w="80.0" w:type="dxa"/>
              <w:bottom w:w="20.0" w:type="dxa"/>
              <w:right w:w="80.0" w:type="dxa"/>
            </w:tcMar>
            <w:vAlign w:val="top"/>
          </w:tcPr>
          <w:p w:rsidR="00000000" w:rsidDel="00000000" w:rsidP="00000000" w:rsidRDefault="00000000" w:rsidRPr="00000000" w14:paraId="0000003B">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6.000</w:t>
            </w:r>
          </w:p>
        </w:tc>
      </w:tr>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20.0" w:type="dxa"/>
              <w:left w:w="80.0" w:type="dxa"/>
              <w:bottom w:w="20.0" w:type="dxa"/>
              <w:right w:w="80.0" w:type="dxa"/>
            </w:tcMar>
            <w:vAlign w:val="top"/>
          </w:tcPr>
          <w:p w:rsidR="00000000" w:rsidDel="00000000" w:rsidP="00000000" w:rsidRDefault="00000000" w:rsidRPr="00000000" w14:paraId="0000003C">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w:t>
            </w:r>
          </w:p>
        </w:tc>
        <w:tc>
          <w:tcPr>
            <w:tcBorders>
              <w:top w:color="000000" w:space="0" w:sz="5" w:val="single"/>
              <w:left w:color="000000" w:space="0" w:sz="5" w:val="single"/>
              <w:bottom w:color="000000" w:space="0" w:sz="5" w:val="single"/>
              <w:right w:color="000000" w:space="0" w:sz="5" w:val="single"/>
            </w:tcBorders>
            <w:tcMar>
              <w:top w:w="20.0" w:type="dxa"/>
              <w:left w:w="80.0" w:type="dxa"/>
              <w:bottom w:w="20.0" w:type="dxa"/>
              <w:right w:w="80.0" w:type="dxa"/>
            </w:tcMar>
            <w:vAlign w:val="top"/>
          </w:tcPr>
          <w:p w:rsidR="00000000" w:rsidDel="00000000" w:rsidP="00000000" w:rsidRDefault="00000000" w:rsidRPr="00000000" w14:paraId="0000003D">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10.000</w:t>
            </w:r>
          </w:p>
        </w:tc>
        <w:tc>
          <w:tcPr>
            <w:tcBorders>
              <w:top w:color="000000" w:space="0" w:sz="5" w:val="single"/>
              <w:left w:color="000000" w:space="0" w:sz="5" w:val="single"/>
              <w:bottom w:color="000000" w:space="0" w:sz="5" w:val="single"/>
              <w:right w:color="000000" w:space="0" w:sz="5" w:val="single"/>
            </w:tcBorders>
            <w:tcMar>
              <w:top w:w="20.0" w:type="dxa"/>
              <w:left w:w="80.0" w:type="dxa"/>
              <w:bottom w:w="20.0" w:type="dxa"/>
              <w:right w:w="80.0" w:type="dxa"/>
            </w:tcMar>
            <w:vAlign w:val="top"/>
          </w:tcPr>
          <w:p w:rsidR="00000000" w:rsidDel="00000000" w:rsidP="00000000" w:rsidRDefault="00000000" w:rsidRPr="00000000" w14:paraId="0000003E">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12.000</w:t>
            </w:r>
          </w:p>
        </w:tc>
        <w:tc>
          <w:tcPr>
            <w:tcBorders>
              <w:top w:color="000000" w:space="0" w:sz="5" w:val="single"/>
              <w:left w:color="000000" w:space="0" w:sz="5" w:val="single"/>
              <w:bottom w:color="000000" w:space="0" w:sz="5" w:val="single"/>
              <w:right w:color="000000" w:space="0" w:sz="5" w:val="single"/>
            </w:tcBorders>
            <w:tcMar>
              <w:top w:w="20.0" w:type="dxa"/>
              <w:left w:w="80.0" w:type="dxa"/>
              <w:bottom w:w="20.0" w:type="dxa"/>
              <w:right w:w="80.0" w:type="dxa"/>
            </w:tcMar>
            <w:vAlign w:val="top"/>
          </w:tcPr>
          <w:p w:rsidR="00000000" w:rsidDel="00000000" w:rsidP="00000000" w:rsidRDefault="00000000" w:rsidRPr="00000000" w14:paraId="0000003F">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8.000</w:t>
            </w:r>
          </w:p>
        </w:tc>
      </w:tr>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20.0" w:type="dxa"/>
              <w:left w:w="80.0" w:type="dxa"/>
              <w:bottom w:w="20.0" w:type="dxa"/>
              <w:right w:w="80.0" w:type="dxa"/>
            </w:tcMar>
            <w:vAlign w:val="top"/>
          </w:tcPr>
          <w:p w:rsidR="00000000" w:rsidDel="00000000" w:rsidP="00000000" w:rsidRDefault="00000000" w:rsidRPr="00000000" w14:paraId="00000040">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w:t>
            </w:r>
          </w:p>
        </w:tc>
        <w:tc>
          <w:tcPr>
            <w:tcBorders>
              <w:top w:color="000000" w:space="0" w:sz="5" w:val="single"/>
              <w:left w:color="000000" w:space="0" w:sz="5" w:val="single"/>
              <w:bottom w:color="000000" w:space="0" w:sz="5" w:val="single"/>
              <w:right w:color="000000" w:space="0" w:sz="5" w:val="single"/>
            </w:tcBorders>
            <w:tcMar>
              <w:top w:w="20.0" w:type="dxa"/>
              <w:left w:w="80.0" w:type="dxa"/>
              <w:bottom w:w="20.0" w:type="dxa"/>
              <w:right w:w="80.0" w:type="dxa"/>
            </w:tcMar>
            <w:vAlign w:val="top"/>
          </w:tcPr>
          <w:p w:rsidR="00000000" w:rsidDel="00000000" w:rsidP="00000000" w:rsidRDefault="00000000" w:rsidRPr="00000000" w14:paraId="00000041">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12.000</w:t>
            </w:r>
          </w:p>
        </w:tc>
        <w:tc>
          <w:tcPr>
            <w:tcBorders>
              <w:top w:color="000000" w:space="0" w:sz="5" w:val="single"/>
              <w:left w:color="000000" w:space="0" w:sz="5" w:val="single"/>
              <w:bottom w:color="000000" w:space="0" w:sz="5" w:val="single"/>
              <w:right w:color="000000" w:space="0" w:sz="5" w:val="single"/>
            </w:tcBorders>
            <w:tcMar>
              <w:top w:w="20.0" w:type="dxa"/>
              <w:left w:w="80.0" w:type="dxa"/>
              <w:bottom w:w="20.0" w:type="dxa"/>
              <w:right w:w="80.0" w:type="dxa"/>
            </w:tcMar>
            <w:vAlign w:val="top"/>
          </w:tcPr>
          <w:p w:rsidR="00000000" w:rsidDel="00000000" w:rsidP="00000000" w:rsidRDefault="00000000" w:rsidRPr="00000000" w14:paraId="00000042">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14.000</w:t>
            </w:r>
          </w:p>
        </w:tc>
        <w:tc>
          <w:tcPr>
            <w:tcBorders>
              <w:top w:color="000000" w:space="0" w:sz="5" w:val="single"/>
              <w:left w:color="000000" w:space="0" w:sz="5" w:val="single"/>
              <w:bottom w:color="000000" w:space="0" w:sz="5" w:val="single"/>
              <w:right w:color="000000" w:space="0" w:sz="5" w:val="single"/>
            </w:tcBorders>
            <w:tcMar>
              <w:top w:w="20.0" w:type="dxa"/>
              <w:left w:w="80.0" w:type="dxa"/>
              <w:bottom w:w="20.0" w:type="dxa"/>
              <w:right w:w="80.0" w:type="dxa"/>
            </w:tcMar>
            <w:vAlign w:val="top"/>
          </w:tcPr>
          <w:p w:rsidR="00000000" w:rsidDel="00000000" w:rsidP="00000000" w:rsidRDefault="00000000" w:rsidRPr="00000000" w14:paraId="00000043">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10.000</w:t>
            </w:r>
          </w:p>
        </w:tc>
      </w:tr>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20.0" w:type="dxa"/>
              <w:left w:w="80.0" w:type="dxa"/>
              <w:bottom w:w="20.0" w:type="dxa"/>
              <w:right w:w="80.0" w:type="dxa"/>
            </w:tcMar>
            <w:vAlign w:val="top"/>
          </w:tcPr>
          <w:p w:rsidR="00000000" w:rsidDel="00000000" w:rsidP="00000000" w:rsidRDefault="00000000" w:rsidRPr="00000000" w14:paraId="00000044">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w:t>
            </w:r>
          </w:p>
        </w:tc>
        <w:tc>
          <w:tcPr>
            <w:tcBorders>
              <w:top w:color="000000" w:space="0" w:sz="5" w:val="single"/>
              <w:left w:color="000000" w:space="0" w:sz="5" w:val="single"/>
              <w:bottom w:color="000000" w:space="0" w:sz="5" w:val="single"/>
              <w:right w:color="000000" w:space="0" w:sz="5" w:val="single"/>
            </w:tcBorders>
            <w:tcMar>
              <w:top w:w="20.0" w:type="dxa"/>
              <w:left w:w="80.0" w:type="dxa"/>
              <w:bottom w:w="20.0" w:type="dxa"/>
              <w:right w:w="80.0" w:type="dxa"/>
            </w:tcMar>
            <w:vAlign w:val="top"/>
          </w:tcPr>
          <w:p w:rsidR="00000000" w:rsidDel="00000000" w:rsidP="00000000" w:rsidRDefault="00000000" w:rsidRPr="00000000" w14:paraId="00000045">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14.000</w:t>
            </w:r>
          </w:p>
        </w:tc>
        <w:tc>
          <w:tcPr>
            <w:tcBorders>
              <w:top w:color="000000" w:space="0" w:sz="5" w:val="single"/>
              <w:left w:color="000000" w:space="0" w:sz="5" w:val="single"/>
              <w:bottom w:color="000000" w:space="0" w:sz="5" w:val="single"/>
              <w:right w:color="000000" w:space="0" w:sz="5" w:val="single"/>
            </w:tcBorders>
            <w:tcMar>
              <w:top w:w="20.0" w:type="dxa"/>
              <w:left w:w="80.0" w:type="dxa"/>
              <w:bottom w:w="20.0" w:type="dxa"/>
              <w:right w:w="80.0" w:type="dxa"/>
            </w:tcMar>
            <w:vAlign w:val="top"/>
          </w:tcPr>
          <w:p w:rsidR="00000000" w:rsidDel="00000000" w:rsidP="00000000" w:rsidRDefault="00000000" w:rsidRPr="00000000" w14:paraId="00000046">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16.000</w:t>
            </w:r>
          </w:p>
        </w:tc>
        <w:tc>
          <w:tcPr>
            <w:tcBorders>
              <w:top w:color="000000" w:space="0" w:sz="5" w:val="single"/>
              <w:left w:color="000000" w:space="0" w:sz="5" w:val="single"/>
              <w:bottom w:color="000000" w:space="0" w:sz="5" w:val="single"/>
              <w:right w:color="000000" w:space="0" w:sz="5" w:val="single"/>
            </w:tcBorders>
            <w:tcMar>
              <w:top w:w="20.0" w:type="dxa"/>
              <w:left w:w="80.0" w:type="dxa"/>
              <w:bottom w:w="20.0" w:type="dxa"/>
              <w:right w:w="80.0" w:type="dxa"/>
            </w:tcMar>
            <w:vAlign w:val="top"/>
          </w:tcPr>
          <w:p w:rsidR="00000000" w:rsidDel="00000000" w:rsidP="00000000" w:rsidRDefault="00000000" w:rsidRPr="00000000" w14:paraId="00000047">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12.000</w:t>
            </w:r>
          </w:p>
        </w:tc>
      </w:tr>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20.0" w:type="dxa"/>
              <w:left w:w="80.0" w:type="dxa"/>
              <w:bottom w:w="20.0" w:type="dxa"/>
              <w:right w:w="80.0" w:type="dxa"/>
            </w:tcMar>
            <w:vAlign w:val="top"/>
          </w:tcPr>
          <w:p w:rsidR="00000000" w:rsidDel="00000000" w:rsidP="00000000" w:rsidRDefault="00000000" w:rsidRPr="00000000" w14:paraId="00000048">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w:t>
            </w:r>
          </w:p>
        </w:tc>
        <w:tc>
          <w:tcPr>
            <w:tcBorders>
              <w:top w:color="000000" w:space="0" w:sz="5" w:val="single"/>
              <w:left w:color="000000" w:space="0" w:sz="5" w:val="single"/>
              <w:bottom w:color="000000" w:space="0" w:sz="5" w:val="single"/>
              <w:right w:color="000000" w:space="0" w:sz="5" w:val="single"/>
            </w:tcBorders>
            <w:tcMar>
              <w:top w:w="20.0" w:type="dxa"/>
              <w:left w:w="80.0" w:type="dxa"/>
              <w:bottom w:w="20.0" w:type="dxa"/>
              <w:right w:w="80.0" w:type="dxa"/>
            </w:tcMar>
            <w:vAlign w:val="top"/>
          </w:tcPr>
          <w:p w:rsidR="00000000" w:rsidDel="00000000" w:rsidP="00000000" w:rsidRDefault="00000000" w:rsidRPr="00000000" w14:paraId="00000049">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16.000</w:t>
            </w:r>
          </w:p>
        </w:tc>
        <w:tc>
          <w:tcPr>
            <w:tcBorders>
              <w:top w:color="000000" w:space="0" w:sz="5" w:val="single"/>
              <w:left w:color="000000" w:space="0" w:sz="5" w:val="single"/>
              <w:bottom w:color="000000" w:space="0" w:sz="5" w:val="single"/>
              <w:right w:color="000000" w:space="0" w:sz="5" w:val="single"/>
            </w:tcBorders>
            <w:tcMar>
              <w:top w:w="20.0" w:type="dxa"/>
              <w:left w:w="80.0" w:type="dxa"/>
              <w:bottom w:w="20.0" w:type="dxa"/>
              <w:right w:w="80.0" w:type="dxa"/>
            </w:tcMar>
            <w:vAlign w:val="top"/>
          </w:tcPr>
          <w:p w:rsidR="00000000" w:rsidDel="00000000" w:rsidP="00000000" w:rsidRDefault="00000000" w:rsidRPr="00000000" w14:paraId="0000004A">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18.000</w:t>
            </w:r>
          </w:p>
        </w:tc>
        <w:tc>
          <w:tcPr>
            <w:tcBorders>
              <w:top w:color="000000" w:space="0" w:sz="5" w:val="single"/>
              <w:left w:color="000000" w:space="0" w:sz="5" w:val="single"/>
              <w:bottom w:color="000000" w:space="0" w:sz="5" w:val="single"/>
              <w:right w:color="000000" w:space="0" w:sz="5" w:val="single"/>
            </w:tcBorders>
            <w:tcMar>
              <w:top w:w="20.0" w:type="dxa"/>
              <w:left w:w="80.0" w:type="dxa"/>
              <w:bottom w:w="20.0" w:type="dxa"/>
              <w:right w:w="80.0" w:type="dxa"/>
            </w:tcMar>
            <w:vAlign w:val="top"/>
          </w:tcPr>
          <w:p w:rsidR="00000000" w:rsidDel="00000000" w:rsidP="00000000" w:rsidRDefault="00000000" w:rsidRPr="00000000" w14:paraId="0000004B">
            <w:pPr>
              <w:spacing w:after="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14.000</w:t>
            </w:r>
          </w:p>
        </w:tc>
      </w:tr>
    </w:tbl>
    <w:p w:rsidR="00000000" w:rsidDel="00000000" w:rsidP="00000000" w:rsidRDefault="00000000" w:rsidRPr="00000000" w14:paraId="0000004C">
      <w:pPr>
        <w:spacing w:after="0" w:line="163.63636363636363"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 </w:t>
      </w:r>
    </w:p>
    <w:p w:rsidR="00000000" w:rsidDel="00000000" w:rsidP="00000000" w:rsidRDefault="00000000" w:rsidRPr="00000000" w14:paraId="0000004D">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Los montos solo se cambiarían si el piloto muestra una falla gruesa, por ejemplo que casi todos aceptan 16.000 o casi nadie acepta 8.000. Cualquier cambio se hace una sola vez, antes del campo, y se documenta.</w:t>
      </w:r>
    </w:p>
    <w:p w:rsidR="00000000" w:rsidDel="00000000" w:rsidP="00000000" w:rsidRDefault="00000000" w:rsidRPr="00000000" w14:paraId="0000004E">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Asignación de versiones. </w:t>
      </w:r>
      <w:r w:rsidDel="00000000" w:rsidR="00000000" w:rsidRPr="00000000">
        <w:rPr>
          <w:rFonts w:ascii="Times New Roman" w:cs="Times New Roman" w:eastAsia="Times New Roman" w:hAnsi="Times New Roman"/>
          <w:sz w:val="22"/>
          <w:szCs w:val="22"/>
          <w:rtl w:val="0"/>
        </w:rPr>
        <w:t xml:space="preserve">La versión sale de una hoja de asignación impresa y fija, que va al final de la encuesta. Cada franja tiene una columna de 20 filas en bloques de cinco; cada bloque contiene una vez cada versión, en un orden sorteado una sola vez: mañana BDCAE · BECDA · EDBAC · DACBE; mediodía CBDAE · BAECD · ECADB · CBDEA; tarde BDECA · EACDB · ECADB · ABEDC. El encuestador empieza en la fila 1 en cada tienda, día y franja, toma la siguiente fila solo cuando la persona ya aceptó y es elegible, escribe la letra en A5 y tacha la fila; nunca salta filas ni elige la letra. Así las versiones quedan equilibradas dentro de cada tienda y franja sin depender del orden de llegada. Si se pierde la hoja, se usa un sobre con cinco tarjetas (A a E) que se sacan sin mirar y no se devuelven hasta usar las cinco. En Google Forms, la letra de A5 lleva a la sección con los montos de esa versión.</w:t>
      </w:r>
    </w:p>
    <w:p w:rsidR="00000000" w:rsidDel="00000000" w:rsidP="00000000" w:rsidRDefault="00000000" w:rsidRPr="00000000" w14:paraId="00000050">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5. Cuestionario </w:t>
      </w:r>
    </w:p>
    <w:p w:rsidR="00000000" w:rsidDel="00000000" w:rsidP="00000000" w:rsidRDefault="00000000" w:rsidRPr="00000000" w14:paraId="00000051">
      <w:pPr>
        <w:rPr>
          <w:rFonts w:ascii="Times New Roman" w:cs="Times New Roman" w:eastAsia="Times New Roman" w:hAnsi="Times New Roman"/>
          <w:sz w:val="22"/>
          <w:szCs w:val="22"/>
        </w:rPr>
      </w:pPr>
      <w:r w:rsidDel="00000000" w:rsidR="00000000" w:rsidRPr="00000000">
        <w:rPr>
          <w:rFonts w:ascii="Cardo" w:cs="Cardo" w:eastAsia="Cardo" w:hAnsi="Cardo"/>
          <w:sz w:val="22"/>
          <w:szCs w:val="22"/>
          <w:rtl w:val="0"/>
        </w:rPr>
        <w:t xml:space="preserve">El cuestionario tiene como máximo 29 preguntas por participante (tres opcionales) con preguntas aplicadas en este orden: Z → A → B1 → C → E → B2–B5 → F → D → G → cierre. El árbol va antes del precio pagado, para no sumar un ancla, y antes del bloque de conocimiento, para que las preguntas técnicas no influyan en la DAP. Las preguntas opcionales se eliminan si el piloto supera siete minutos. El instrumento completo, con opciones de respuesta y saltos, es la «Encuesta a clientes, versión corregida para pilotaje (v0.3)».</w:t>
      </w:r>
    </w:p>
    <w:p w:rsidR="00000000" w:rsidDel="00000000" w:rsidP="00000000" w:rsidRDefault="00000000" w:rsidRPr="00000000" w14:paraId="00000052">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Escenario (E0, se lee): "Ahora piense en una taza de café filtrado, preparado a mano en V60 u otro método, con café colombiano de una finca o región identificada, de unos 240 mililitros, es decir, una taza de 8 onzas, para tomar aquí mismo. Le voy a decir un precio y usted me dice si la compraría hoy, con su propio dinero. Mucha gente responde que pagaría más de lo que de verdad paga, así que piense que lo que gaste en esa taza no lo podrá gastar en otras cosas. No hay respuestas correctas."</w:t>
      </w:r>
    </w:p>
    <w:p w:rsidR="00000000" w:rsidDel="00000000" w:rsidP="00000000" w:rsidRDefault="00000000" w:rsidRPr="00000000" w14:paraId="00000053">
      <w:pPr>
        <w:rPr>
          <w:rFonts w:ascii="Times New Roman" w:cs="Times New Roman" w:eastAsia="Times New Roman" w:hAnsi="Times New Roman"/>
          <w:sz w:val="22"/>
          <w:szCs w:val="22"/>
        </w:rPr>
      </w:pPr>
      <w:r w:rsidDel="00000000" w:rsidR="00000000" w:rsidRPr="00000000">
        <w:rPr>
          <w:rtl w:val="0"/>
        </w:rPr>
      </w:r>
    </w:p>
    <w:tbl>
      <w:tblPr>
        <w:tblStyle w:val="Table3"/>
        <w:tblW w:w="8726.0869565217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326.08695652174"/>
        <w:tblGridChange w:id="0">
          <w:tblGrid>
            <w:gridCol w:w="2400"/>
            <w:gridCol w:w="6326.08695652174"/>
          </w:tblGrid>
        </w:tblGridChange>
      </w:tblGrid>
      <w:tr>
        <w:trPr>
          <w:cantSplit w:val="1"/>
          <w:tblHeader w:val="1"/>
        </w:trPr>
        <w:tc>
          <w:tcPr>
            <w:shd w:fill="d9d9d9" w:val="clear"/>
            <w:tcMar>
              <w:top w:w="25.0" w:type="dxa"/>
              <w:left w:w="75.0" w:type="dxa"/>
              <w:bottom w:w="25.0" w:type="dxa"/>
              <w:right w:w="75.0" w:type="dxa"/>
            </w:tcMar>
            <w:vAlign w:val="bottom"/>
          </w:tcPr>
          <w:p w:rsidR="00000000" w:rsidDel="00000000" w:rsidP="00000000" w:rsidRDefault="00000000" w:rsidRPr="00000000" w14:paraId="0000005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Módulo</w:t>
            </w:r>
            <w:r w:rsidDel="00000000" w:rsidR="00000000" w:rsidRPr="00000000">
              <w:rPr>
                <w:rtl w:val="0"/>
              </w:rPr>
            </w:r>
          </w:p>
        </w:tc>
        <w:tc>
          <w:tcPr>
            <w:shd w:fill="d9d9d9" w:val="clear"/>
            <w:tcMar>
              <w:top w:w="25.0" w:type="dxa"/>
              <w:left w:w="75.0" w:type="dxa"/>
              <w:bottom w:w="25.0" w:type="dxa"/>
              <w:right w:w="75.0" w:type="dxa"/>
            </w:tcMar>
            <w:vAlign w:val="bottom"/>
          </w:tcPr>
          <w:p w:rsidR="00000000" w:rsidDel="00000000" w:rsidP="00000000" w:rsidRDefault="00000000" w:rsidRPr="00000000" w14:paraId="0000005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Preguntas</w:t>
            </w:r>
            <w:r w:rsidDel="00000000" w:rsidR="00000000" w:rsidRPr="00000000">
              <w:rPr>
                <w:rtl w:val="0"/>
              </w:rPr>
            </w:r>
          </w:p>
        </w:tc>
      </w:tr>
      <w:tr>
        <w:trPr>
          <w:cantSplit w:val="1"/>
          <w:tblHeader w:val="0"/>
        </w:trPr>
        <w:tc>
          <w:tcPr>
            <w:tcMar>
              <w:top w:w="25.0" w:type="dxa"/>
              <w:left w:w="75.0" w:type="dxa"/>
              <w:bottom w:w="25.0" w:type="dxa"/>
              <w:right w:w="75.0" w:type="dxa"/>
            </w:tcMar>
            <w:vAlign w:val="top"/>
          </w:tcPr>
          <w:p w:rsidR="00000000" w:rsidDel="00000000" w:rsidP="00000000" w:rsidRDefault="00000000" w:rsidRPr="00000000" w14:paraId="0000005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Z. Registro</w:t>
            </w:r>
          </w:p>
        </w:tc>
        <w:tc>
          <w:tcPr>
            <w:tcMar>
              <w:top w:w="25.0" w:type="dxa"/>
              <w:left w:w="75.0" w:type="dxa"/>
              <w:bottom w:w="25.0" w:type="dxa"/>
              <w:right w:w="75.0" w:type="dxa"/>
            </w:tcMar>
            <w:vAlign w:val="top"/>
          </w:tcPr>
          <w:p w:rsidR="00000000" w:rsidDel="00000000" w:rsidP="00000000" w:rsidRDefault="00000000" w:rsidRPr="00000000" w14:paraId="0000005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Z1 nombre de la tienda </w:t>
            </w:r>
          </w:p>
        </w:tc>
      </w:tr>
      <w:tr>
        <w:trPr>
          <w:cantSplit w:val="1"/>
          <w:tblHeader w:val="0"/>
        </w:trPr>
        <w:tc>
          <w:tcPr>
            <w:tcMar>
              <w:top w:w="25.0" w:type="dxa"/>
              <w:left w:w="75.0" w:type="dxa"/>
              <w:bottom w:w="25.0" w:type="dxa"/>
              <w:right w:w="75.0" w:type="dxa"/>
            </w:tcMar>
            <w:vAlign w:val="top"/>
          </w:tcPr>
          <w:p w:rsidR="00000000" w:rsidDel="00000000" w:rsidP="00000000" w:rsidRDefault="00000000" w:rsidRPr="00000000" w14:paraId="00000058">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 Consentimiento y elegibilidad</w:t>
            </w:r>
          </w:p>
        </w:tc>
        <w:tc>
          <w:tcPr>
            <w:tcMar>
              <w:top w:w="25.0" w:type="dxa"/>
              <w:left w:w="75.0" w:type="dxa"/>
              <w:bottom w:w="25.0" w:type="dxa"/>
              <w:right w:w="75.0" w:type="dxa"/>
            </w:tcMar>
            <w:vAlign w:val="top"/>
          </w:tcPr>
          <w:p w:rsidR="00000000" w:rsidDel="00000000" w:rsidP="00000000" w:rsidRDefault="00000000" w:rsidRPr="00000000" w14:paraId="00000059">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A1 acepta participar · A2 versión de precios (no se lee)</w:t>
            </w:r>
          </w:p>
        </w:tc>
      </w:tr>
      <w:tr>
        <w:trPr>
          <w:cantSplit w:val="1"/>
          <w:tblHeader w:val="0"/>
        </w:trPr>
        <w:tc>
          <w:tcPr>
            <w:tcMar>
              <w:top w:w="25.0" w:type="dxa"/>
              <w:left w:w="75.0" w:type="dxa"/>
              <w:bottom w:w="25.0" w:type="dxa"/>
              <w:right w:w="75.0" w:type="dxa"/>
            </w:tcMar>
            <w:vAlign w:val="top"/>
          </w:tcPr>
          <w:p w:rsidR="00000000" w:rsidDel="00000000" w:rsidP="00000000" w:rsidRDefault="00000000" w:rsidRPr="00000000" w14:paraId="0000005A">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B1. Compra actual</w:t>
            </w:r>
          </w:p>
        </w:tc>
        <w:tc>
          <w:tcPr>
            <w:tcMar>
              <w:top w:w="25.0" w:type="dxa"/>
              <w:left w:w="75.0" w:type="dxa"/>
              <w:bottom w:w="25.0" w:type="dxa"/>
              <w:right w:w="75.0" w:type="dxa"/>
            </w:tcMar>
            <w:vAlign w:val="top"/>
          </w:tcPr>
          <w:p w:rsidR="00000000" w:rsidDel="00000000" w:rsidP="00000000" w:rsidRDefault="00000000" w:rsidRPr="00000000" w14:paraId="0000005B">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Bebida comprada hoy</w:t>
            </w:r>
          </w:p>
        </w:tc>
      </w:tr>
      <w:tr>
        <w:trPr>
          <w:cantSplit w:val="1"/>
          <w:tblHeader w:val="0"/>
        </w:trPr>
        <w:tc>
          <w:tcPr>
            <w:tcMar>
              <w:top w:w="25.0" w:type="dxa"/>
              <w:left w:w="75.0" w:type="dxa"/>
              <w:bottom w:w="25.0" w:type="dxa"/>
              <w:right w:w="75.0" w:type="dxa"/>
            </w:tcMar>
            <w:vAlign w:val="top"/>
          </w:tcPr>
          <w:p w:rsidR="00000000" w:rsidDel="00000000" w:rsidP="00000000" w:rsidRDefault="00000000" w:rsidRPr="00000000" w14:paraId="0000005C">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 Hábitos</w:t>
            </w:r>
          </w:p>
        </w:tc>
        <w:tc>
          <w:tcPr>
            <w:tcMar>
              <w:top w:w="25.0" w:type="dxa"/>
              <w:left w:w="75.0" w:type="dxa"/>
              <w:bottom w:w="25.0" w:type="dxa"/>
              <w:right w:w="75.0" w:type="dxa"/>
            </w:tcMar>
            <w:vAlign w:val="top"/>
          </w:tcPr>
          <w:p w:rsidR="00000000" w:rsidDel="00000000" w:rsidP="00000000" w:rsidRDefault="00000000" w:rsidRPr="00000000" w14:paraId="0000005D">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C1 frecuencia en cafeterías de especialidad, C2 frecuencia en esta tienda, C3 lugar habitual de consumo, C4 motivo de la visita (opcional)</w:t>
            </w:r>
          </w:p>
        </w:tc>
      </w:tr>
      <w:tr>
        <w:trPr>
          <w:cantSplit w:val="1"/>
          <w:tblHeader w:val="0"/>
        </w:trPr>
        <w:tc>
          <w:tcPr>
            <w:tcMar>
              <w:top w:w="25.0" w:type="dxa"/>
              <w:left w:w="75.0" w:type="dxa"/>
              <w:bottom w:w="25.0" w:type="dxa"/>
              <w:right w:w="75.0" w:type="dxa"/>
            </w:tcMar>
            <w:vAlign w:val="top"/>
          </w:tcPr>
          <w:p w:rsidR="00000000" w:rsidDel="00000000" w:rsidP="00000000" w:rsidRDefault="00000000" w:rsidRPr="00000000" w14:paraId="0000005E">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 Árbol de DAP</w:t>
            </w:r>
          </w:p>
        </w:tc>
        <w:tc>
          <w:tcPr>
            <w:tcMar>
              <w:top w:w="25.0" w:type="dxa"/>
              <w:left w:w="75.0" w:type="dxa"/>
              <w:bottom w:w="25.0" w:type="dxa"/>
              <w:right w:w="75.0" w:type="dxa"/>
            </w:tcMar>
            <w:vAlign w:val="top"/>
          </w:tcPr>
          <w:p w:rsidR="00000000" w:rsidDel="00000000" w:rsidP="00000000" w:rsidRDefault="00000000" w:rsidRPr="00000000" w14:paraId="0000005F">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E1 "¿Compraría esa taza aquí hoy a $[B]?", E2a "¿Y si costara $[B_alta]?", E2b "¿Y si costara $[B_baja]?", E3 motivo del doble "no", incluida la protesta, E4 seguridad del último "sí" (1 a 5), E5 precio máximo abierto (opcional)</w:t>
            </w:r>
          </w:p>
        </w:tc>
      </w:tr>
      <w:tr>
        <w:trPr>
          <w:cantSplit w:val="1"/>
          <w:tblHeader w:val="0"/>
        </w:trPr>
        <w:tc>
          <w:tcPr>
            <w:tcMar>
              <w:top w:w="25.0" w:type="dxa"/>
              <w:left w:w="75.0" w:type="dxa"/>
              <w:bottom w:w="25.0" w:type="dxa"/>
              <w:right w:w="75.0" w:type="dxa"/>
            </w:tcMar>
            <w:vAlign w:val="top"/>
          </w:tcPr>
          <w:p w:rsidR="00000000" w:rsidDel="00000000" w:rsidP="00000000" w:rsidRDefault="00000000" w:rsidRPr="00000000" w14:paraId="00000060">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B2–B5. Precios y tinto</w:t>
            </w:r>
          </w:p>
        </w:tc>
        <w:tc>
          <w:tcPr>
            <w:tcMar>
              <w:top w:w="25.0" w:type="dxa"/>
              <w:left w:w="75.0" w:type="dxa"/>
              <w:bottom w:w="25.0" w:type="dxa"/>
              <w:right w:w="75.0" w:type="dxa"/>
            </w:tcMar>
            <w:vAlign w:val="top"/>
          </w:tcPr>
          <w:p w:rsidR="00000000" w:rsidDel="00000000" w:rsidP="00000000" w:rsidRDefault="00000000" w:rsidRPr="00000000" w14:paraId="00000061">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B2 precio pagado, B3 gasto total de la visita, B4 si el total incluye a otros (opcional), B5 precio habitual del tinto</w:t>
            </w:r>
          </w:p>
        </w:tc>
      </w:tr>
      <w:tr>
        <w:trPr>
          <w:cantSplit w:val="1"/>
          <w:tblHeader w:val="0"/>
        </w:trPr>
        <w:tc>
          <w:tcPr>
            <w:tcMar>
              <w:top w:w="25.0" w:type="dxa"/>
              <w:left w:w="75.0" w:type="dxa"/>
              <w:bottom w:w="25.0" w:type="dxa"/>
              <w:right w:w="75.0" w:type="dxa"/>
            </w:tcMar>
            <w:vAlign w:val="top"/>
          </w:tcPr>
          <w:p w:rsidR="00000000" w:rsidDel="00000000" w:rsidP="00000000" w:rsidRDefault="00000000" w:rsidRPr="00000000" w14:paraId="00000062">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 Atributos</w:t>
            </w:r>
          </w:p>
        </w:tc>
        <w:tc>
          <w:tcPr>
            <w:tcMar>
              <w:top w:w="25.0" w:type="dxa"/>
              <w:left w:w="75.0" w:type="dxa"/>
              <w:bottom w:w="25.0" w:type="dxa"/>
              <w:right w:w="75.0" w:type="dxa"/>
            </w:tcMar>
            <w:vAlign w:val="top"/>
          </w:tcPr>
          <w:p w:rsidR="00000000" w:rsidDel="00000000" w:rsidP="00000000" w:rsidRDefault="00000000" w:rsidRPr="00000000" w14:paraId="00000063">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F1 atributo más importante y F2 segundo: sabor, aroma, origen, método, precio, ambiente o servicio </w:t>
            </w:r>
          </w:p>
        </w:tc>
      </w:tr>
      <w:tr>
        <w:trPr>
          <w:cantSplit w:val="1"/>
          <w:tblHeader w:val="0"/>
        </w:trPr>
        <w:tc>
          <w:tcPr>
            <w:tcMar>
              <w:top w:w="25.0" w:type="dxa"/>
              <w:left w:w="75.0" w:type="dxa"/>
              <w:bottom w:w="25.0" w:type="dxa"/>
              <w:right w:w="75.0" w:type="dxa"/>
            </w:tcMar>
            <w:vAlign w:val="top"/>
          </w:tcPr>
          <w:p w:rsidR="00000000" w:rsidDel="00000000" w:rsidP="00000000" w:rsidRDefault="00000000" w:rsidRPr="00000000" w14:paraId="00000064">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 Conocimiento</w:t>
            </w:r>
          </w:p>
        </w:tc>
        <w:tc>
          <w:tcPr>
            <w:tcMar>
              <w:top w:w="25.0" w:type="dxa"/>
              <w:left w:w="75.0" w:type="dxa"/>
              <w:bottom w:w="25.0" w:type="dxa"/>
              <w:right w:w="75.0" w:type="dxa"/>
            </w:tcMar>
            <w:vAlign w:val="top"/>
          </w:tcPr>
          <w:p w:rsidR="00000000" w:rsidDel="00000000" w:rsidP="00000000" w:rsidRDefault="00000000" w:rsidRPr="00000000" w14:paraId="00000065">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D1 autoevaluación de 1 a 5 · D2 café "de origen" · D3 V60 · D4 "lavado" o "natural" · D5 café de 85 puntos ("no sé" cuenta como no acierto)</w:t>
            </w:r>
          </w:p>
        </w:tc>
      </w:tr>
      <w:tr>
        <w:trPr>
          <w:cantSplit w:val="1"/>
          <w:tblHeader w:val="0"/>
        </w:trPr>
        <w:tc>
          <w:tcPr>
            <w:tcMar>
              <w:top w:w="25.0" w:type="dxa"/>
              <w:left w:w="75.0" w:type="dxa"/>
              <w:bottom w:w="25.0" w:type="dxa"/>
              <w:right w:w="75.0" w:type="dxa"/>
            </w:tcMar>
            <w:vAlign w:val="top"/>
          </w:tcPr>
          <w:p w:rsidR="00000000" w:rsidDel="00000000" w:rsidP="00000000" w:rsidRDefault="00000000" w:rsidRPr="00000000" w14:paraId="00000066">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 Sociodemográficas</w:t>
            </w:r>
          </w:p>
        </w:tc>
        <w:tc>
          <w:tcPr>
            <w:tcMar>
              <w:top w:w="25.0" w:type="dxa"/>
              <w:left w:w="75.0" w:type="dxa"/>
              <w:bottom w:w="25.0" w:type="dxa"/>
              <w:right w:w="75.0" w:type="dxa"/>
            </w:tcMar>
            <w:vAlign w:val="top"/>
          </w:tcPr>
          <w:p w:rsidR="00000000" w:rsidDel="00000000" w:rsidP="00000000" w:rsidRDefault="00000000" w:rsidRPr="00000000" w14:paraId="00000067">
            <w:pPr>
              <w:spacing w:after="0" w:lin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G1 edad · G2 educación · G3 ocupación · G4 ingreso del hogar en rangos · G5 estrato</w:t>
            </w:r>
          </w:p>
        </w:tc>
      </w:tr>
    </w:tbl>
    <w:p w:rsidR="00000000" w:rsidDel="00000000" w:rsidP="00000000" w:rsidRDefault="00000000" w:rsidRPr="00000000" w14:paraId="00000068">
      <w:pPr>
        <w:spacing w:after="0" w:line="150"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69">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Los rangos de ingreso tienen cortes en 1, 2, 4, 6 y 10 salarios mínimos de 2026, COP 1.750.905 (Decreto 1469 de 2025). El Consejo de Estado levantó en julio de 2026 la suspensión provisional del decreto (Murillo Herrera, 2026), y en octubre las demandas de nulidad seguían en trámite (Silva Hernández, 2026).</w:t>
      </w:r>
      <w:r w:rsidDel="00000000" w:rsidR="00000000" w:rsidRPr="00000000">
        <w:rPr>
          <w:rtl w:val="0"/>
        </w:rPr>
      </w:r>
    </w:p>
    <w:p w:rsidR="00000000" w:rsidDel="00000000" w:rsidP="00000000" w:rsidRDefault="00000000" w:rsidRPr="00000000" w14:paraId="0000006A">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6</w:t>
      </w:r>
      <w:r w:rsidDel="00000000" w:rsidR="00000000" w:rsidRPr="00000000">
        <w:rPr>
          <w:rFonts w:ascii="Times New Roman" w:cs="Times New Roman" w:eastAsia="Times New Roman" w:hAnsi="Times New Roman"/>
          <w:b w:val="1"/>
          <w:bCs w:val="1"/>
          <w:sz w:val="22"/>
          <w:szCs w:val="22"/>
          <w:rtl w:val="0"/>
        </w:rPr>
        <w:t xml:space="preserve">. Logística de campo</w:t>
      </w:r>
    </w:p>
    <w:p w:rsidR="00000000" w:rsidDel="00000000" w:rsidP="00000000" w:rsidRDefault="00000000" w:rsidRPr="00000000" w14:paraId="000000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0" w:line="252.00000000000003" w:lineRule="auto"/>
        <w:ind w:left="360" w:right="0" w:hanging="260"/>
        <w:jc w:val="left"/>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Roles.</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Los cuatro integrantes encuestan con el mismo guion, la misma regla de abordaje y la misma lista de versiones. Además, uno coordina el campo (tiendas, autorizaciones y calendario), uno gestiona los datos (formulario, lista de asignación y respaldo diario), uno controla la calidad y uno observa precios</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0" w:line="252.00000000000003" w:lineRule="auto"/>
        <w:ind w:left="360" w:right="0" w:hanging="260"/>
        <w:jc w:val="left"/>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Autorización.</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Se pide permiso al administrador para encuestar unas dos horas por franja. Se registran la fecha, el cargo de quien autoriza y sus condiciones. Nunca se encuesta sin permiso.</w:t>
      </w:r>
    </w:p>
    <w:p w:rsidR="00000000" w:rsidDel="00000000" w:rsidP="00000000" w:rsidRDefault="00000000" w:rsidRPr="00000000" w14:paraId="000000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0" w:line="252.00000000000003" w:lineRule="auto"/>
        <w:ind w:left="360" w:right="0" w:hanging="260"/>
        <w:jc w:val="left"/>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Abordaje.</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Se aborda a la tercera persona que termina de pagar, contando desde el final de la encuesta anterior (regla por confirmar con el flujo del piloto), cuando ya recibió su bebida y solo a una persona por grupo. El encuestador no elige a quien "parece más dispuesto".</w:t>
      </w:r>
    </w:p>
    <w:p w:rsidR="00000000" w:rsidDel="00000000" w:rsidP="00000000" w:rsidRDefault="00000000" w:rsidRPr="00000000" w14:paraId="000000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0" w:line="252.00000000000003" w:lineRule="auto"/>
        <w:ind w:left="360" w:right="0" w:hanging="260"/>
        <w:jc w:val="left"/>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Registro de contactos.</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Cada abordaje queda en una hoja con su resultado</w:t>
      </w:r>
      <w:r w:rsidDel="00000000" w:rsidR="00000000" w:rsidRPr="00000000">
        <w:rPr>
          <w:rFonts w:ascii="Times New Roman" w:cs="Times New Roman" w:eastAsia="Times New Roman" w:hAnsi="Times New Roman"/>
          <w:sz w:val="22"/>
          <w:szCs w:val="22"/>
          <w:rtl w:val="0"/>
        </w:rPr>
        <w:t xml:space="preserve"> como</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completa, rechazo, no elegible (con motivo) o interrumpida. Una encuesta es completa si llega a </w:t>
      </w:r>
      <w:r w:rsidDel="00000000" w:rsidR="00000000" w:rsidRPr="00000000">
        <w:rPr>
          <w:rFonts w:ascii="Times New Roman" w:cs="Times New Roman" w:eastAsia="Times New Roman" w:hAnsi="Times New Roman"/>
          <w:sz w:val="22"/>
          <w:szCs w:val="22"/>
          <w:rtl w:val="0"/>
        </w:rPr>
        <w:t xml:space="preserve">las preguntas sociodemográficas</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incompleta pero útil si pasa de </w:t>
      </w:r>
      <w:r w:rsidDel="00000000" w:rsidR="00000000" w:rsidRPr="00000000">
        <w:rPr>
          <w:rFonts w:ascii="Times New Roman" w:cs="Times New Roman" w:eastAsia="Times New Roman" w:hAnsi="Times New Roman"/>
          <w:sz w:val="22"/>
          <w:szCs w:val="22"/>
          <w:rtl w:val="0"/>
        </w:rPr>
        <w:t xml:space="preserve">la primera oferta</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y no usable si se interrumpe antes.</w:t>
      </w:r>
    </w:p>
    <w:p w:rsidR="00000000" w:rsidDel="00000000" w:rsidP="00000000" w:rsidRDefault="00000000" w:rsidRPr="00000000" w14:paraId="000000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0" w:line="252.00000000000003" w:lineRule="auto"/>
        <w:ind w:left="360" w:right="0" w:hanging="260"/>
        <w:jc w:val="left"/>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Duplicados e incidencias.</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sz w:val="22"/>
          <w:szCs w:val="22"/>
          <w:rtl w:val="0"/>
        </w:rPr>
        <w:t xml:space="preserve">C</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ada </w:t>
      </w: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 xml:space="preserve">id_encuesta</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es único. El encuestador no corrige respuesta</w:t>
      </w:r>
      <w:r w:rsidDel="00000000" w:rsidR="00000000" w:rsidRPr="00000000">
        <w:rPr>
          <w:rFonts w:ascii="Times New Roman" w:cs="Times New Roman" w:eastAsia="Times New Roman" w:hAnsi="Times New Roman"/>
          <w:sz w:val="22"/>
          <w:szCs w:val="22"/>
          <w:rtl w:val="0"/>
        </w:rPr>
        <w:t xml:space="preserve">, solo se</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anota las inconsistencias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y se tratan en la limpieza con reglas escritas. Un </w:t>
      </w:r>
      <w:r w:rsidDel="00000000" w:rsidR="00000000" w:rsidRPr="00000000">
        <w:rPr>
          <w:rFonts w:ascii="Times New Roman" w:cs="Times New Roman" w:eastAsia="Times New Roman" w:hAnsi="Times New Roman"/>
          <w:sz w:val="22"/>
          <w:szCs w:val="22"/>
          <w:rtl w:val="0"/>
        </w:rPr>
        <w:t xml:space="preserve">documento</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de incidencias registra permisos retirados y fallas del formulario.</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252.00000000000003" w:lineRule="auto"/>
        <w:ind w:left="360" w:right="0" w:firstLine="0"/>
        <w:jc w:val="left"/>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71">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7. Consentimiento informado y tratamiento de datos</w:t>
      </w:r>
    </w:p>
    <w:p w:rsidR="00000000" w:rsidDel="00000000" w:rsidP="00000000" w:rsidRDefault="00000000" w:rsidRPr="00000000" w14:paraId="00000072">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El consentimiento es oral y queda registrado en la primera parte de la encuesta, para no recoger nombres ni firmas.</w:t>
      </w:r>
    </w:p>
    <w:p w:rsidR="00000000" w:rsidDel="00000000" w:rsidP="00000000" w:rsidRDefault="00000000" w:rsidRPr="00000000" w14:paraId="00000073">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74">
      <w:pPr>
        <w:rPr>
          <w:rFonts w:ascii="Times New Roman" w:cs="Times New Roman" w:eastAsia="Times New Roman" w:hAnsi="Times New Roman"/>
          <w:i w:val="1"/>
          <w:iCs w:val="1"/>
          <w:color w:val="1f1f1f"/>
          <w:sz w:val="22"/>
          <w:szCs w:val="22"/>
        </w:rPr>
      </w:pPr>
      <w:r w:rsidDel="00000000" w:rsidR="00000000" w:rsidRPr="00000000">
        <w:rPr>
          <w:rFonts w:ascii="Times New Roman" w:cs="Times New Roman" w:eastAsia="Times New Roman" w:hAnsi="Times New Roman"/>
          <w:i w:val="1"/>
          <w:iCs w:val="1"/>
          <w:sz w:val="22"/>
          <w:szCs w:val="22"/>
          <w:rtl w:val="0"/>
        </w:rPr>
        <w:t xml:space="preserve">"</w:t>
      </w:r>
      <w:r w:rsidDel="00000000" w:rsidR="00000000" w:rsidRPr="00000000">
        <w:rPr>
          <w:rFonts w:ascii="Times New Roman" w:cs="Times New Roman" w:eastAsia="Times New Roman" w:hAnsi="Times New Roman"/>
          <w:i w:val="1"/>
          <w:iCs w:val="1"/>
          <w:color w:val="1f1f1f"/>
          <w:sz w:val="22"/>
          <w:szCs w:val="22"/>
          <w:rtl w:val="0"/>
        </w:rPr>
        <w:t xml:space="preserve">Buenos días. Somos estudiantes de Economía de la Universidad del Rosario, del curso Haciendo Economía, a cargo del profesor Paul Rodríguez L </w:t>
      </w:r>
      <w:r w:rsidDel="00000000" w:rsidR="00000000" w:rsidRPr="00000000">
        <w:rPr>
          <w:rFonts w:ascii="Times New Roman" w:cs="Times New Roman" w:eastAsia="Times New Roman" w:hAnsi="Times New Roman"/>
          <w:color w:val="1f1f1f"/>
          <w:sz w:val="22"/>
          <w:szCs w:val="22"/>
          <w:rtl w:val="0"/>
        </w:rPr>
        <w:t xml:space="preserve"> </w:t>
      </w:r>
      <w:r w:rsidDel="00000000" w:rsidR="00000000" w:rsidRPr="00000000">
        <w:rPr>
          <w:rFonts w:ascii="Times New Roman" w:cs="Times New Roman" w:eastAsia="Times New Roman" w:hAnsi="Times New Roman"/>
          <w:i w:val="1"/>
          <w:iCs w:val="1"/>
          <w:color w:val="1f1f1f"/>
          <w:sz w:val="22"/>
          <w:szCs w:val="22"/>
          <w:rtl w:val="0"/>
        </w:rPr>
        <w:t xml:space="preserve">[ paul.rodriguez@urosario.edu.co ]. Hacemos un estudio académico sobre cuánto están dispuestas a pagar las personas por el café de especialidad en Chapinero. Si acepta, le haremos preguntas sobre el café que compró hoy, sus hábitos, cuánto pagaría por una taza y algunos datos generales, como su rango de edad y de ingreso, que sirven para comparar grupos. La encuesta es anónima pues no le pediremos nombre, teléfono, correo ni documento. Participar es voluntario; puede no responder cualquier pregunta y retirarse cuando quiera, sin ninguna consecuencia. No hay riesgos previsibles más allá de su tiempo, ni pagos ni beneficios directos. Los resultados se usarán solo con fines académicos y de forma agregada, conforme a la Ley 1581 de 2012. Si tiene preguntas, en esta tarjeta están nuestros datos de contacto. ¿Acepta participar?"</w:t>
      </w:r>
    </w:p>
    <w:p w:rsidR="00000000" w:rsidDel="00000000" w:rsidP="00000000" w:rsidRDefault="00000000" w:rsidRPr="00000000" w14:paraId="00000075">
      <w:pPr>
        <w:rPr>
          <w:rFonts w:ascii="Times New Roman" w:cs="Times New Roman" w:eastAsia="Times New Roman" w:hAnsi="Times New Roman"/>
          <w:i w:val="1"/>
          <w:iCs w:val="1"/>
          <w:color w:val="1f1f1f"/>
          <w:sz w:val="22"/>
          <w:szCs w:val="22"/>
        </w:rPr>
      </w:pPr>
      <w:r w:rsidDel="00000000" w:rsidR="00000000" w:rsidRPr="00000000">
        <w:rPr>
          <w:rtl w:val="0"/>
        </w:rPr>
      </w:r>
    </w:p>
    <w:p w:rsidR="00000000" w:rsidDel="00000000" w:rsidP="00000000" w:rsidRDefault="00000000" w:rsidRPr="00000000" w14:paraId="00000076">
      <w:pPr>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color w:val="1f1f1f"/>
          <w:sz w:val="22"/>
          <w:szCs w:val="22"/>
          <w:rtl w:val="0"/>
        </w:rPr>
        <w:t xml:space="preserve">Responsables: Santiago Gómez, Camilo Ospina, David Pascagaza y Emily Rodríguez .</w:t>
      </w:r>
      <w:r w:rsidDel="00000000" w:rsidR="00000000" w:rsidRPr="00000000">
        <w:rPr>
          <w:rFonts w:ascii="Times New Roman" w:cs="Times New Roman" w:eastAsia="Times New Roman" w:hAnsi="Times New Roman"/>
          <w:i w:val="1"/>
          <w:iCs w:val="1"/>
          <w:sz w:val="22"/>
          <w:szCs w:val="22"/>
          <w:rtl w:val="0"/>
        </w:rPr>
        <w:t xml:space="preserve"> "</w:t>
      </w:r>
    </w:p>
    <w:p w:rsidR="00000000" w:rsidDel="00000000" w:rsidP="00000000" w:rsidRDefault="00000000" w:rsidRPr="00000000" w14:paraId="00000077">
      <w:pPr>
        <w:rPr>
          <w:rFonts w:ascii="Times New Roman" w:cs="Times New Roman" w:eastAsia="Times New Roman" w:hAnsi="Times New Roman"/>
          <w:i w:val="1"/>
          <w:iCs w:val="1"/>
          <w:sz w:val="22"/>
          <w:szCs w:val="22"/>
        </w:rPr>
      </w:pPr>
      <w:r w:rsidDel="00000000" w:rsidR="00000000" w:rsidRPr="00000000">
        <w:rPr>
          <w:rtl w:val="0"/>
        </w:rPr>
      </w:r>
    </w:p>
    <w:p w:rsidR="00000000" w:rsidDel="00000000" w:rsidP="00000000" w:rsidRDefault="00000000" w:rsidRPr="00000000" w14:paraId="00000078">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 tarjeta lleva los correos del grupo y del profesor. La edad, ingreso y estrato van en rangos con opción de no responder, y no se pregunta género, salud, religión ni posición política. Las respuestas se guardan en una cuenta del grupo, los datos crudos en una carpeta de solo lectura y los scripts en el repositorio; por otro lado, el listado de tiendas con nombres va aparte. Solo se publican resultados agregados.</w:t>
      </w:r>
    </w:p>
    <w:p w:rsidR="00000000" w:rsidDel="00000000" w:rsidP="00000000" w:rsidRDefault="00000000" w:rsidRPr="00000000" w14:paraId="00000079">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8. Plan de análisis estadístico</w:t>
      </w:r>
    </w:p>
    <w:p w:rsidR="00000000" w:rsidDel="00000000" w:rsidP="00000000" w:rsidRDefault="00000000" w:rsidRPr="00000000" w14:paraId="0000007A">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Este plan funciona como plan de pre-análisis de cómo se planea utilizar los resultados para calcular la DAP. Precios y gastos se resumen con mediana y rango intercuartílico. La DAP y la prima, por intervalos. Las variables categóricas, con frecuencias y su </w:t>
      </w:r>
      <w:r w:rsidDel="00000000" w:rsidR="00000000" w:rsidRPr="00000000">
        <w:rPr>
          <w:rFonts w:ascii="Times New Roman" w:cs="Times New Roman" w:eastAsia="Times New Roman" w:hAnsi="Times New Roman"/>
          <w:i w:val="1"/>
          <w:iCs w:val="1"/>
          <w:sz w:val="22"/>
          <w:szCs w:val="22"/>
          <w:rtl w:val="0"/>
        </w:rPr>
        <w:t xml:space="preserve">n</w:t>
      </w:r>
      <w:r w:rsidDel="00000000" w:rsidR="00000000" w:rsidRPr="00000000">
        <w:rPr>
          <w:rFonts w:ascii="Times New Roman" w:cs="Times New Roman" w:eastAsia="Times New Roman" w:hAnsi="Times New Roman"/>
          <w:sz w:val="22"/>
          <w:szCs w:val="22"/>
          <w:rtl w:val="0"/>
        </w:rPr>
        <w:t xml:space="preserve">. Se reporta el flujo de casos abordados, rechazos, no elegibles, completas, protestas y encuestas usadas en cada análisis.</w:t>
      </w:r>
    </w:p>
    <w:p w:rsidR="00000000" w:rsidDel="00000000" w:rsidP="00000000" w:rsidRDefault="00000000" w:rsidRPr="00000000" w14:paraId="0000007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0" w:line="252.00000000000003" w:lineRule="auto"/>
        <w:ind w:left="360" w:right="0" w:hanging="260"/>
        <w:jc w:val="left"/>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Aceptación .</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Proporción que acepta cada primera oferta, con intervalo de confianza de Wilson al 95 %, adecuado para muestras pequeñas.</w:t>
      </w:r>
    </w:p>
    <w:p w:rsidR="00000000" w:rsidDel="00000000" w:rsidP="00000000" w:rsidRDefault="00000000" w:rsidRPr="00000000" w14:paraId="0000007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0" w:line="252.00000000000003" w:lineRule="auto"/>
        <w:ind w:left="360" w:right="0" w:hanging="260"/>
        <w:jc w:val="left"/>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Distribución de la DAP.</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El estimador no paramétrico de Turnbull estima la proporción con DAP mayor o igual a cada peldaño sin suponer dónde cae la DAP dentro del intervalo (Haab y McConnell, 2002). La mediana se reporta como el par de peldaños entre los que la aceptación cruza 50 %. Si se necesita un solo número, se usa la cota inferior de la DAP media, conservadora por construcción, donde Ŝ(b) es la proporción estimada con DAP ≥ b:</w:t>
      </w:r>
    </w:p>
    <w:p w:rsidR="00000000" w:rsidDel="00000000" w:rsidP="00000000" w:rsidRDefault="00000000" w:rsidRPr="00000000" w14:paraId="0000007D">
      <w:pPr>
        <w:spacing w:after="60" w:before="20" w:lineRule="auto"/>
        <w:jc w:val="center"/>
        <w:rPr>
          <w:rFonts w:ascii="Times New Roman" w:cs="Times New Roman" w:eastAsia="Times New Roman" w:hAnsi="Times New Roman"/>
          <w:sz w:val="22"/>
          <w:szCs w:val="22"/>
        </w:rPr>
      </w:pPr>
      <m:oMath>
        <m:sSub>
          <m:sSubPr>
            <m:ctrlPr>
              <w:rPr>
                <w:rFonts w:ascii="Times New Roman" w:cs="Times New Roman" w:eastAsia="Times New Roman" w:hAnsi="Times New Roman"/>
                <w:sz w:val="22"/>
                <w:szCs w:val="22"/>
              </w:rPr>
            </m:ctrlPr>
          </m:sSubPr>
          <m:e>
            <m:r>
              <w:rPr>
                <w:rFonts w:ascii="Times New Roman" w:cs="Times New Roman" w:eastAsia="Times New Roman" w:hAnsi="Times New Roman"/>
                <w:sz w:val="22"/>
                <w:szCs w:val="22"/>
              </w:rPr>
              <m:t xml:space="preserve">DAP</m:t>
            </m:r>
          </m:e>
          <m:sub>
            <m:r>
              <w:rPr>
                <w:rFonts w:ascii="Times New Roman" w:cs="Times New Roman" w:eastAsia="Times New Roman" w:hAnsi="Times New Roman"/>
                <w:sz w:val="22"/>
                <w:szCs w:val="22"/>
              </w:rPr>
              <m:t xml:space="preserve">inferior</m:t>
            </m:r>
          </m:sub>
        </m:sSub>
        <m:r>
          <w:rPr>
            <w:rFonts w:ascii="Times New Roman" w:cs="Times New Roman" w:eastAsia="Times New Roman" w:hAnsi="Times New Roman"/>
            <w:sz w:val="22"/>
            <w:szCs w:val="22"/>
          </w:rPr>
          <m:t xml:space="preserve">=</m:t>
        </m:r>
        <m:nary>
          <m:naryPr>
            <m:chr m:val="∑"/>
            <m:ctrlPr>
              <w:rPr>
                <w:rFonts w:ascii="Times New Roman" w:cs="Times New Roman" w:eastAsia="Times New Roman" w:hAnsi="Times New Roman"/>
                <w:sz w:val="22"/>
                <w:szCs w:val="22"/>
              </w:rPr>
            </m:ctrlPr>
          </m:naryPr>
          <m:sub>
            <m:r>
              <w:rPr>
                <w:rFonts w:ascii="Times New Roman" w:cs="Times New Roman" w:eastAsia="Times New Roman" w:hAnsi="Times New Roman"/>
                <w:sz w:val="22"/>
                <w:szCs w:val="22"/>
              </w:rPr>
              <m:t xml:space="preserve">j</m:t>
            </m:r>
          </m:sub>
          <m:sup/>
        </m:nary>
        <m:sSub>
          <m:sSubPr>
            <m:ctrlPr>
              <w:rPr>
                <w:rFonts w:ascii="Times New Roman" w:cs="Times New Roman" w:eastAsia="Times New Roman" w:hAnsi="Times New Roman"/>
                <w:sz w:val="22"/>
                <w:szCs w:val="22"/>
              </w:rPr>
            </m:ctrlPr>
          </m:sSubPr>
          <m:e>
            <m:r>
              <w:rPr>
                <w:rFonts w:ascii="Times New Roman" w:cs="Times New Roman" w:eastAsia="Times New Roman" w:hAnsi="Times New Roman"/>
                <w:sz w:val="22"/>
                <w:szCs w:val="22"/>
              </w:rPr>
              <m:t xml:space="preserve">b</m:t>
            </m:r>
          </m:e>
          <m:sub>
            <m:r>
              <w:rPr>
                <w:rFonts w:ascii="Times New Roman" w:cs="Times New Roman" w:eastAsia="Times New Roman" w:hAnsi="Times New Roman"/>
                <w:sz w:val="22"/>
                <w:szCs w:val="22"/>
              </w:rPr>
              <m:t xml:space="preserve">j</m:t>
            </m:r>
          </m:sub>
        </m:sSub>
        <m:r>
          <w:rPr>
            <w:rFonts w:ascii="Times New Roman" w:cs="Times New Roman" w:eastAsia="Times New Roman" w:hAnsi="Times New Roman"/>
            <w:sz w:val="22"/>
            <w:szCs w:val="22"/>
          </w:rPr>
          <m:t xml:space="preserve">[Ŝ(</m:t>
        </m:r>
        <m:sSub>
          <m:sSubPr>
            <m:ctrlPr>
              <w:rPr>
                <w:rFonts w:ascii="Times New Roman" w:cs="Times New Roman" w:eastAsia="Times New Roman" w:hAnsi="Times New Roman"/>
                <w:sz w:val="22"/>
                <w:szCs w:val="22"/>
              </w:rPr>
            </m:ctrlPr>
          </m:sSubPr>
          <m:e>
            <m:r>
              <w:rPr>
                <w:rFonts w:ascii="Times New Roman" w:cs="Times New Roman" w:eastAsia="Times New Roman" w:hAnsi="Times New Roman"/>
                <w:sz w:val="22"/>
                <w:szCs w:val="22"/>
              </w:rPr>
              <m:t xml:space="preserve">b</m:t>
            </m:r>
          </m:e>
          <m:sub>
            <m:r>
              <w:rPr>
                <w:rFonts w:ascii="Times New Roman" w:cs="Times New Roman" w:eastAsia="Times New Roman" w:hAnsi="Times New Roman"/>
                <w:sz w:val="22"/>
                <w:szCs w:val="22"/>
              </w:rPr>
              <m:t xml:space="preserve">j</m:t>
            </m:r>
          </m:sub>
        </m:sSub>
        <m:r>
          <w:rPr>
            <w:rFonts w:ascii="Times New Roman" w:cs="Times New Roman" w:eastAsia="Times New Roman" w:hAnsi="Times New Roman"/>
            <w:sz w:val="22"/>
            <w:szCs w:val="22"/>
          </w:rPr>
          <m:t xml:space="preserve">)−Ŝ(</m:t>
        </m:r>
        <m:sSub>
          <m:sSubPr>
            <m:ctrlPr>
              <w:rPr>
                <w:rFonts w:ascii="Times New Roman" w:cs="Times New Roman" w:eastAsia="Times New Roman" w:hAnsi="Times New Roman"/>
                <w:sz w:val="22"/>
                <w:szCs w:val="22"/>
              </w:rPr>
            </m:ctrlPr>
          </m:sSubPr>
          <m:e>
            <m:r>
              <w:rPr>
                <w:rFonts w:ascii="Times New Roman" w:cs="Times New Roman" w:eastAsia="Times New Roman" w:hAnsi="Times New Roman"/>
                <w:sz w:val="22"/>
                <w:szCs w:val="22"/>
              </w:rPr>
              <m:t xml:space="preserve">b</m:t>
            </m:r>
          </m:e>
          <m:sub>
            <m:r>
              <w:rPr>
                <w:rFonts w:ascii="Times New Roman" w:cs="Times New Roman" w:eastAsia="Times New Roman" w:hAnsi="Times New Roman"/>
                <w:sz w:val="22"/>
                <w:szCs w:val="22"/>
              </w:rPr>
              <m:t xml:space="preserve">j+1</m:t>
            </m:r>
          </m:sub>
        </m:sSub>
        <m:r>
          <w:rPr>
            <w:rFonts w:ascii="Times New Roman" w:cs="Times New Roman" w:eastAsia="Times New Roman" w:hAnsi="Times New Roman"/>
            <w:sz w:val="22"/>
            <w:szCs w:val="22"/>
          </w:rPr>
          <m:t xml:space="preserve">)]</m:t>
        </m:r>
      </m:oMath>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0" w:line="252.00000000000003" w:lineRule="auto"/>
        <w:ind w:left="360" w:right="0" w:hanging="260"/>
        <w:jc w:val="left"/>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Prima y carta.</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Distribución del límite inferior relativo L/P_T ("al menos X veces el precio del tinto") y proporción con DAP por encima, por debajo o indeterminada frente a la carta. Para quienes compraron un filtrado, se compara el precio pagado con su intervalo.</w:t>
      </w:r>
    </w:p>
    <w:p w:rsidR="00000000" w:rsidDel="00000000" w:rsidP="00000000" w:rsidRDefault="00000000" w:rsidRPr="00000000" w14:paraId="0000007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0" w:line="252.00000000000003" w:lineRule="auto"/>
        <w:ind w:left="360" w:right="0" w:hanging="260"/>
        <w:jc w:val="left"/>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Grupos, definidos antes del campo.</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Estrato (3 o menos, 4, 5 o más); ingreso (hasta 4 salarios mínimos, más de 4); educación (sin pregrado completo, pregrado, posgrado); conocimiento (0–1, 2–3, 4 aciertos); frecuencia (menos de una vez por semana, semanal o más). Se comparan curvas de aceptación con intervalos de Wilson, distribuciones de Turnbull y diferencias de proporciones con intervalos de confianza (CORE Project, 2019, proyecto 8). Solo con 150 o más respuestas se añade una regresión logística de la primera respuesta sobre el logaritmo de la oferta y el grupo, leída como asociación (Field, 2013).</w:t>
      </w:r>
    </w:p>
    <w:p w:rsidR="00000000" w:rsidDel="00000000" w:rsidP="00000000" w:rsidRDefault="00000000" w:rsidRPr="00000000" w14:paraId="0000008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0" w:line="252.00000000000003" w:lineRule="auto"/>
        <w:ind w:left="360" w:right="0" w:hanging="260"/>
        <w:jc w:val="left"/>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Atributos (OE5).</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Porcentaje que menciona cada atributo en primer o segundo lugar, según la DAP sea alta, baja o indeterminada respecto al peldaño central b4.</w:t>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0" w:line="252.00000000000003" w:lineRule="auto"/>
        <w:ind w:left="360" w:right="0" w:hanging="260"/>
        <w:jc w:val="left"/>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Faltantes y sensibilidad.</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No se imputa; cada análisis reporta su </w:t>
      </w:r>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n</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Se prueba excluir o no las protestas, recodificar los "sí" inseguros, ponderar por el inverso de la frecuencia de visita y comparar un mismo monto como primera y segunda oferta.</w:t>
      </w:r>
    </w:p>
    <w:p w:rsidR="00000000" w:rsidDel="00000000" w:rsidP="00000000" w:rsidRDefault="00000000" w:rsidRPr="00000000" w14:paraId="0000008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0" w:line="252.00000000000003" w:lineRule="auto"/>
        <w:ind w:left="360" w:right="0" w:hanging="260"/>
        <w:jc w:val="left"/>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Visualizaciones.</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Curva de aceptación con barras de intervalo y el precio mediano de carta como referencia; función escalonada de Turnbull; paneles pequeños por grupo con la misma escala; barras horizontales para atributos; títulos que dicen el hallazgo y ejes con unidades (Schwabish, 2021).</w:t>
      </w:r>
    </w:p>
    <w:p w:rsidR="00000000" w:rsidDel="00000000" w:rsidP="00000000" w:rsidRDefault="00000000" w:rsidRPr="00000000" w14:paraId="00000083">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Límites de inferencia.</w:t>
      </w:r>
      <w:r w:rsidDel="00000000" w:rsidR="00000000" w:rsidRPr="00000000">
        <w:rPr>
          <w:rFonts w:ascii="Times New Roman" w:cs="Times New Roman" w:eastAsia="Times New Roman" w:hAnsi="Times New Roman"/>
          <w:sz w:val="22"/>
          <w:szCs w:val="22"/>
          <w:rtl w:val="0"/>
        </w:rPr>
        <w:t xml:space="preserve"> La muestra no es probabilística: los intervalos de confianza describen la incertidumbre por tamaño de muestra bajo el supuesto de independencia, pero no corrigen la forma de selección, y los resultados describen solo a los clientes encuestados en las tiendas y franjas visitadas. Las respuestas de una misma tienda se parecen entre sí, la DAP declarada probablemente sobrestima lo que se pagaría en una compra real y ninguna diferencia entre grupos se interpreta como efecto causal.</w:t>
      </w:r>
    </w:p>
    <w:p w:rsidR="00000000" w:rsidDel="00000000" w:rsidP="00000000" w:rsidRDefault="00000000" w:rsidRPr="00000000" w14:paraId="00000084">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11. Calendario y pendientes</w:t>
      </w:r>
    </w:p>
    <w:p w:rsidR="00000000" w:rsidDel="00000000" w:rsidP="00000000" w:rsidRDefault="00000000" w:rsidRPr="00000000" w14:paraId="00000085">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Calendario propuesto,</w:t>
      </w:r>
      <w:r w:rsidDel="00000000" w:rsidR="00000000" w:rsidRPr="00000000">
        <w:rPr>
          <w:rFonts w:ascii="Times New Roman" w:cs="Times New Roman" w:eastAsia="Times New Roman" w:hAnsi="Times New Roman"/>
          <w:sz w:val="22"/>
          <w:szCs w:val="22"/>
          <w:rtl w:val="0"/>
        </w:rPr>
        <w:t xml:space="preserve"> sujeto a las fechas de entrega del curso, que no están en los materiales disponibles: confirmaciones con el profesor del 28 al 30 de octubre; listado de tiendas y fichas de precios del 28 de octubre al 1 de noviembre; autorizaciones del 29 de octubre al 6 de noviembre; formulario y lista aleatoria el 3 y 4 de noviembre; capacitación el 4; pre-piloto el 5 y 6; piloto de datos el 7 y 8; ajustes y congelamiento del plan el 9 y 10; </w:t>
      </w:r>
      <w:r w:rsidDel="00000000" w:rsidR="00000000" w:rsidRPr="00000000">
        <w:rPr>
          <w:rFonts w:ascii="Times New Roman" w:cs="Times New Roman" w:eastAsia="Times New Roman" w:hAnsi="Times New Roman"/>
          <w:b w:val="1"/>
          <w:bCs w:val="1"/>
          <w:sz w:val="22"/>
          <w:szCs w:val="22"/>
          <w:rtl w:val="0"/>
        </w:rPr>
        <w:t xml:space="preserve">trabajo de campo del 11 al 22 de noviembre</w:t>
      </w:r>
      <w:r w:rsidDel="00000000" w:rsidR="00000000" w:rsidRPr="00000000">
        <w:rPr>
          <w:rFonts w:ascii="Times New Roman" w:cs="Times New Roman" w:eastAsia="Times New Roman" w:hAnsi="Times New Roman"/>
          <w:sz w:val="22"/>
          <w:szCs w:val="22"/>
          <w:rtl w:val="0"/>
        </w:rPr>
        <w:t xml:space="preserve">; cierre del 23 al 26, y análisis del 27 de noviembre al 4 de diciembre. Los lunes 2 y 16 de noviembre son festivos (Ley 51 de 1983). Durante el campo hay una reunión diaria de 15 minutos, y una franja perdida se repone en la misma tienda esa semana o en la tienda sustituta.</w:t>
      </w:r>
    </w:p>
    <w:p w:rsidR="00000000" w:rsidDel="00000000" w:rsidP="00000000" w:rsidRDefault="00000000" w:rsidRPr="00000000" w14:paraId="00000086">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Información por completar antes del campo.</w:t>
      </w:r>
      <w:r w:rsidDel="00000000" w:rsidR="00000000" w:rsidRPr="00000000">
        <w:rPr>
          <w:rFonts w:ascii="Times New Roman" w:cs="Times New Roman" w:eastAsia="Times New Roman" w:hAnsi="Times New Roman"/>
          <w:sz w:val="22"/>
          <w:szCs w:val="22"/>
          <w:rtl w:val="0"/>
        </w:rPr>
        <w:t xml:space="preserve"> Confirmación de la plantilla del árbol, del requisito ético y de la forma del consentimiento; fechas de las entregas; lista de tiendas elegibles; precio y tamaño del filtrado y precio del tinto cerca de cada tienda; autorizaciones; correos de contacto; encuestas por hora, tasa de rechazo y horas de las franjas, que saldrán del piloto; cuenta y visibilidad del repositorio. Ninguna cifra de tiendas, precios o autorizaciones aparece en este protocolo como si ya se conociera.</w:t>
      </w:r>
    </w:p>
    <w:p w:rsidR="00000000" w:rsidDel="00000000" w:rsidP="00000000" w:rsidRDefault="00000000" w:rsidRPr="00000000" w14:paraId="00000087">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Referencias</w:t>
      </w:r>
    </w:p>
    <w:p w:rsidR="00000000" w:rsidDel="00000000" w:rsidP="00000000" w:rsidRDefault="00000000" w:rsidRPr="00000000" w14:paraId="00000088">
      <w:pPr>
        <w:spacing w:after="50" w:line="240" w:lineRule="auto"/>
        <w:ind w:left="567" w:hanging="567"/>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Bjärkefur, K., Cardoso de Andrade, L., Daniels, B., y Jones, M. R. (2021). </w:t>
      </w:r>
      <w:r w:rsidDel="00000000" w:rsidR="00000000" w:rsidRPr="00000000">
        <w:rPr>
          <w:rFonts w:ascii="Times New Roman" w:cs="Times New Roman" w:eastAsia="Times New Roman" w:hAnsi="Times New Roman"/>
          <w:i w:val="1"/>
          <w:iCs w:val="1"/>
          <w:sz w:val="22"/>
          <w:szCs w:val="22"/>
          <w:rtl w:val="0"/>
        </w:rPr>
        <w:t xml:space="preserve">Development research in practice: The DIME Analytics data handbook</w:t>
      </w:r>
      <w:r w:rsidDel="00000000" w:rsidR="00000000" w:rsidRPr="00000000">
        <w:rPr>
          <w:rFonts w:ascii="Times New Roman" w:cs="Times New Roman" w:eastAsia="Times New Roman" w:hAnsi="Times New Roman"/>
          <w:sz w:val="22"/>
          <w:szCs w:val="22"/>
          <w:rtl w:val="0"/>
        </w:rPr>
        <w:t xml:space="preserve">. World Bank. </w:t>
      </w:r>
      <w:hyperlink r:id="rId7">
        <w:r w:rsidDel="00000000" w:rsidR="00000000" w:rsidRPr="00000000">
          <w:rPr>
            <w:rFonts w:ascii="Times New Roman" w:cs="Times New Roman" w:eastAsia="Times New Roman" w:hAnsi="Times New Roman"/>
            <w:color w:val="1f5c99"/>
            <w:sz w:val="22"/>
            <w:szCs w:val="22"/>
            <w:u w:val="single"/>
            <w:rtl w:val="0"/>
          </w:rPr>
          <w:t xml:space="preserve">http://hdl.handle.net/10986/35594</w:t>
        </w:r>
      </w:hyperlink>
      <w:r w:rsidDel="00000000" w:rsidR="00000000" w:rsidRPr="00000000">
        <w:rPr>
          <w:rtl w:val="0"/>
        </w:rPr>
      </w:r>
    </w:p>
    <w:p w:rsidR="00000000" w:rsidDel="00000000" w:rsidP="00000000" w:rsidRDefault="00000000" w:rsidRPr="00000000" w14:paraId="00000089">
      <w:pPr>
        <w:spacing w:after="50" w:line="240" w:lineRule="auto"/>
        <w:ind w:left="567" w:hanging="567"/>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Congreso de la República de Colombia. (1983). </w:t>
      </w:r>
      <w:r w:rsidDel="00000000" w:rsidR="00000000" w:rsidRPr="00000000">
        <w:rPr>
          <w:rFonts w:ascii="Times New Roman" w:cs="Times New Roman" w:eastAsia="Times New Roman" w:hAnsi="Times New Roman"/>
          <w:i w:val="1"/>
          <w:iCs w:val="1"/>
          <w:sz w:val="22"/>
          <w:szCs w:val="22"/>
          <w:rtl w:val="0"/>
        </w:rPr>
        <w:t xml:space="preserve">Ley 51 de 1983, por la cual se traslada el descanso remunerado de algunos días festivos</w:t>
      </w:r>
      <w:r w:rsidDel="00000000" w:rsidR="00000000" w:rsidRPr="00000000">
        <w:rPr>
          <w:rFonts w:ascii="Times New Roman" w:cs="Times New Roman" w:eastAsia="Times New Roman" w:hAnsi="Times New Roman"/>
          <w:sz w:val="22"/>
          <w:szCs w:val="22"/>
          <w:rtl w:val="0"/>
        </w:rPr>
        <w:t xml:space="preserve">. Diario Oficial No. 36.428. </w:t>
      </w:r>
      <w:hyperlink r:id="rId8">
        <w:r w:rsidDel="00000000" w:rsidR="00000000" w:rsidRPr="00000000">
          <w:rPr>
            <w:rFonts w:ascii="Times New Roman" w:cs="Times New Roman" w:eastAsia="Times New Roman" w:hAnsi="Times New Roman"/>
            <w:color w:val="1f5c99"/>
            <w:sz w:val="22"/>
            <w:szCs w:val="22"/>
            <w:u w:val="single"/>
            <w:rtl w:val="0"/>
          </w:rPr>
          <w:t xml:space="preserve">https://normativa.colpensiones.gov.co/colpens/docs/ley_0051_1983.htm</w:t>
        </w:r>
      </w:hyperlink>
      <w:r w:rsidDel="00000000" w:rsidR="00000000" w:rsidRPr="00000000">
        <w:rPr>
          <w:rtl w:val="0"/>
        </w:rPr>
      </w:r>
    </w:p>
    <w:p w:rsidR="00000000" w:rsidDel="00000000" w:rsidP="00000000" w:rsidRDefault="00000000" w:rsidRPr="00000000" w14:paraId="0000008A">
      <w:pPr>
        <w:spacing w:after="50" w:line="240" w:lineRule="auto"/>
        <w:ind w:left="567" w:hanging="567"/>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Congreso de la República de Colombia. (2012, 17 de octubre). </w:t>
      </w:r>
      <w:r w:rsidDel="00000000" w:rsidR="00000000" w:rsidRPr="00000000">
        <w:rPr>
          <w:rFonts w:ascii="Times New Roman" w:cs="Times New Roman" w:eastAsia="Times New Roman" w:hAnsi="Times New Roman"/>
          <w:i w:val="1"/>
          <w:iCs w:val="1"/>
          <w:sz w:val="22"/>
          <w:szCs w:val="22"/>
          <w:rtl w:val="0"/>
        </w:rPr>
        <w:t xml:space="preserve">Ley Estatutaria 1581 de 2012, por la cual se dictan disposiciones generales para la protección de datos personales</w:t>
      </w:r>
      <w:r w:rsidDel="00000000" w:rsidR="00000000" w:rsidRPr="00000000">
        <w:rPr>
          <w:rFonts w:ascii="Times New Roman" w:cs="Times New Roman" w:eastAsia="Times New Roman" w:hAnsi="Times New Roman"/>
          <w:sz w:val="22"/>
          <w:szCs w:val="22"/>
          <w:rtl w:val="0"/>
        </w:rPr>
        <w:t xml:space="preserve">. </w:t>
      </w:r>
      <w:hyperlink r:id="rId9">
        <w:r w:rsidDel="00000000" w:rsidR="00000000" w:rsidRPr="00000000">
          <w:rPr>
            <w:rFonts w:ascii="Times New Roman" w:cs="Times New Roman" w:eastAsia="Times New Roman" w:hAnsi="Times New Roman"/>
            <w:color w:val="1f5c99"/>
            <w:sz w:val="22"/>
            <w:szCs w:val="22"/>
            <w:u w:val="single"/>
            <w:rtl w:val="0"/>
          </w:rPr>
          <w:t xml:space="preserve">https://www.funcionpublica.gov.co/eva/gestornormativo/norma.php?i=49981</w:t>
        </w:r>
      </w:hyperlink>
      <w:r w:rsidDel="00000000" w:rsidR="00000000" w:rsidRPr="00000000">
        <w:rPr>
          <w:rtl w:val="0"/>
        </w:rPr>
      </w:r>
    </w:p>
    <w:p w:rsidR="00000000" w:rsidDel="00000000" w:rsidP="00000000" w:rsidRDefault="00000000" w:rsidRPr="00000000" w14:paraId="0000008B">
      <w:pPr>
        <w:spacing w:after="50" w:line="240" w:lineRule="auto"/>
        <w:ind w:left="567" w:hanging="567"/>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CORE Project. (2019). </w:t>
      </w:r>
      <w:r w:rsidDel="00000000" w:rsidR="00000000" w:rsidRPr="00000000">
        <w:rPr>
          <w:rFonts w:ascii="Times New Roman" w:cs="Times New Roman" w:eastAsia="Times New Roman" w:hAnsi="Times New Roman"/>
          <w:i w:val="1"/>
          <w:iCs w:val="1"/>
          <w:sz w:val="22"/>
          <w:szCs w:val="22"/>
          <w:rtl w:val="0"/>
        </w:rPr>
        <w:t xml:space="preserve">Doing Economics: Empirical projects</w:t>
      </w:r>
      <w:r w:rsidDel="00000000" w:rsidR="00000000" w:rsidRPr="00000000">
        <w:rPr>
          <w:rFonts w:ascii="Times New Roman" w:cs="Times New Roman" w:eastAsia="Times New Roman" w:hAnsi="Times New Roman"/>
          <w:sz w:val="22"/>
          <w:szCs w:val="22"/>
          <w:rtl w:val="0"/>
        </w:rPr>
        <w:t xml:space="preserve"> (E. Tipoe y R. Becker; versión 1.4.0 consultada). </w:t>
      </w:r>
      <w:hyperlink r:id="rId10">
        <w:r w:rsidDel="00000000" w:rsidR="00000000" w:rsidRPr="00000000">
          <w:rPr>
            <w:rFonts w:ascii="Times New Roman" w:cs="Times New Roman" w:eastAsia="Times New Roman" w:hAnsi="Times New Roman"/>
            <w:color w:val="1f5c99"/>
            <w:sz w:val="22"/>
            <w:szCs w:val="22"/>
            <w:u w:val="single"/>
            <w:rtl w:val="0"/>
          </w:rPr>
          <w:t xml:space="preserve">https://www.core-econ.org/doing-economics/</w:t>
        </w:r>
      </w:hyperlink>
      <w:r w:rsidDel="00000000" w:rsidR="00000000" w:rsidRPr="00000000">
        <w:rPr>
          <w:rtl w:val="0"/>
        </w:rPr>
      </w:r>
    </w:p>
    <w:p w:rsidR="00000000" w:rsidDel="00000000" w:rsidP="00000000" w:rsidRDefault="00000000" w:rsidRPr="00000000" w14:paraId="0000008C">
      <w:pPr>
        <w:spacing w:after="50" w:line="240" w:lineRule="auto"/>
        <w:ind w:left="567" w:hanging="567"/>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Cummings, R. G., y Taylor, L. O. (1999). Unbiased value estimates for environmental goods: A cheap talk design for the contingent valuation method. </w:t>
      </w:r>
      <w:r w:rsidDel="00000000" w:rsidR="00000000" w:rsidRPr="00000000">
        <w:rPr>
          <w:rFonts w:ascii="Times New Roman" w:cs="Times New Roman" w:eastAsia="Times New Roman" w:hAnsi="Times New Roman"/>
          <w:i w:val="1"/>
          <w:iCs w:val="1"/>
          <w:sz w:val="22"/>
          <w:szCs w:val="22"/>
          <w:rtl w:val="0"/>
        </w:rPr>
        <w:t xml:space="preserve">American Economic Review, 89</w:t>
      </w:r>
      <w:r w:rsidDel="00000000" w:rsidR="00000000" w:rsidRPr="00000000">
        <w:rPr>
          <w:rFonts w:ascii="Times New Roman" w:cs="Times New Roman" w:eastAsia="Times New Roman" w:hAnsi="Times New Roman"/>
          <w:sz w:val="22"/>
          <w:szCs w:val="22"/>
          <w:rtl w:val="0"/>
        </w:rPr>
        <w:t xml:space="preserve">(3), 649–665. </w:t>
      </w:r>
      <w:hyperlink r:id="rId11">
        <w:r w:rsidDel="00000000" w:rsidR="00000000" w:rsidRPr="00000000">
          <w:rPr>
            <w:rFonts w:ascii="Times New Roman" w:cs="Times New Roman" w:eastAsia="Times New Roman" w:hAnsi="Times New Roman"/>
            <w:color w:val="1f5c99"/>
            <w:sz w:val="22"/>
            <w:szCs w:val="22"/>
            <w:u w:val="single"/>
            <w:rtl w:val="0"/>
          </w:rPr>
          <w:t xml:space="preserve">https://doi.org/10.1257/aer.89.3.649</w:t>
        </w:r>
      </w:hyperlink>
      <w:r w:rsidDel="00000000" w:rsidR="00000000" w:rsidRPr="00000000">
        <w:rPr>
          <w:rtl w:val="0"/>
        </w:rPr>
      </w:r>
    </w:p>
    <w:p w:rsidR="00000000" w:rsidDel="00000000" w:rsidP="00000000" w:rsidRDefault="00000000" w:rsidRPr="00000000" w14:paraId="0000008D">
      <w:pPr>
        <w:spacing w:after="50" w:line="240" w:lineRule="auto"/>
        <w:ind w:left="567" w:hanging="567"/>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Decreto 1469 de 2025. (2025, 29 de diciembre). </w:t>
      </w:r>
      <w:r w:rsidDel="00000000" w:rsidR="00000000" w:rsidRPr="00000000">
        <w:rPr>
          <w:rFonts w:ascii="Times New Roman" w:cs="Times New Roman" w:eastAsia="Times New Roman" w:hAnsi="Times New Roman"/>
          <w:i w:val="1"/>
          <w:iCs w:val="1"/>
          <w:sz w:val="22"/>
          <w:szCs w:val="22"/>
          <w:rtl w:val="0"/>
        </w:rPr>
        <w:t xml:space="preserve">Por el cual se fija el salario mínimo mensual legal</w:t>
      </w:r>
      <w:r w:rsidDel="00000000" w:rsidR="00000000" w:rsidRPr="00000000">
        <w:rPr>
          <w:rFonts w:ascii="Times New Roman" w:cs="Times New Roman" w:eastAsia="Times New Roman" w:hAnsi="Times New Roman"/>
          <w:sz w:val="22"/>
          <w:szCs w:val="22"/>
          <w:rtl w:val="0"/>
        </w:rPr>
        <w:t xml:space="preserve">. Presidencia de la República de Colombia y Ministerio del Trabajo. </w:t>
      </w:r>
      <w:hyperlink r:id="rId12">
        <w:r w:rsidDel="00000000" w:rsidR="00000000" w:rsidRPr="00000000">
          <w:rPr>
            <w:rFonts w:ascii="Times New Roman" w:cs="Times New Roman" w:eastAsia="Times New Roman" w:hAnsi="Times New Roman"/>
            <w:color w:val="1f5c99"/>
            <w:sz w:val="22"/>
            <w:szCs w:val="22"/>
            <w:u w:val="single"/>
            <w:rtl w:val="0"/>
          </w:rPr>
          <w:t xml:space="preserve">https://normativa.colpensiones.gov.co/compilacion/docs/decreto_1469_2025.htm</w:t>
        </w:r>
      </w:hyperlink>
      <w:r w:rsidDel="00000000" w:rsidR="00000000" w:rsidRPr="00000000">
        <w:rPr>
          <w:rtl w:val="0"/>
        </w:rPr>
      </w:r>
    </w:p>
    <w:p w:rsidR="00000000" w:rsidDel="00000000" w:rsidP="00000000" w:rsidRDefault="00000000" w:rsidRPr="00000000" w14:paraId="0000008E">
      <w:pPr>
        <w:spacing w:after="50" w:line="240" w:lineRule="auto"/>
        <w:ind w:left="567" w:hanging="567"/>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Field, A. (2013). </w:t>
      </w:r>
      <w:r w:rsidDel="00000000" w:rsidR="00000000" w:rsidRPr="00000000">
        <w:rPr>
          <w:rFonts w:ascii="Times New Roman" w:cs="Times New Roman" w:eastAsia="Times New Roman" w:hAnsi="Times New Roman"/>
          <w:i w:val="1"/>
          <w:iCs w:val="1"/>
          <w:sz w:val="22"/>
          <w:szCs w:val="22"/>
          <w:rtl w:val="0"/>
        </w:rPr>
        <w:t xml:space="preserve">Discovering statistics using IBM SPSS Statistics</w:t>
      </w:r>
      <w:r w:rsidDel="00000000" w:rsidR="00000000" w:rsidRPr="00000000">
        <w:rPr>
          <w:rFonts w:ascii="Times New Roman" w:cs="Times New Roman" w:eastAsia="Times New Roman" w:hAnsi="Times New Roman"/>
          <w:sz w:val="22"/>
          <w:szCs w:val="22"/>
          <w:rtl w:val="0"/>
        </w:rPr>
        <w:t xml:space="preserve"> (4.ª ed.). SAGE.</w:t>
      </w:r>
    </w:p>
    <w:p w:rsidR="00000000" w:rsidDel="00000000" w:rsidP="00000000" w:rsidRDefault="00000000" w:rsidRPr="00000000" w14:paraId="0000008F">
      <w:pPr>
        <w:spacing w:after="50" w:line="240" w:lineRule="auto"/>
        <w:ind w:left="567" w:hanging="567"/>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Groothuis, P. A., y Whitehead, J. C. (2002). Does don't know mean no? Analysis of "don't know" responses in dichotomous choice contingent valuation questions. </w:t>
      </w:r>
      <w:r w:rsidDel="00000000" w:rsidR="00000000" w:rsidRPr="00000000">
        <w:rPr>
          <w:rFonts w:ascii="Times New Roman" w:cs="Times New Roman" w:eastAsia="Times New Roman" w:hAnsi="Times New Roman"/>
          <w:i w:val="1"/>
          <w:iCs w:val="1"/>
          <w:sz w:val="22"/>
          <w:szCs w:val="22"/>
          <w:rtl w:val="0"/>
        </w:rPr>
        <w:t xml:space="preserve">Applied Economics, 34</w:t>
      </w:r>
      <w:r w:rsidDel="00000000" w:rsidR="00000000" w:rsidRPr="00000000">
        <w:rPr>
          <w:rFonts w:ascii="Times New Roman" w:cs="Times New Roman" w:eastAsia="Times New Roman" w:hAnsi="Times New Roman"/>
          <w:sz w:val="22"/>
          <w:szCs w:val="22"/>
          <w:rtl w:val="0"/>
        </w:rPr>
        <w:t xml:space="preserve">(15), 1935–1940. </w:t>
      </w:r>
      <w:hyperlink r:id="rId13">
        <w:r w:rsidDel="00000000" w:rsidR="00000000" w:rsidRPr="00000000">
          <w:rPr>
            <w:rFonts w:ascii="Times New Roman" w:cs="Times New Roman" w:eastAsia="Times New Roman" w:hAnsi="Times New Roman"/>
            <w:color w:val="1f5c99"/>
            <w:sz w:val="22"/>
            <w:szCs w:val="22"/>
            <w:u w:val="single"/>
            <w:rtl w:val="0"/>
          </w:rPr>
          <w:t xml:space="preserve">https://doi.org/10.1080/00036840210128717</w:t>
        </w:r>
      </w:hyperlink>
      <w:r w:rsidDel="00000000" w:rsidR="00000000" w:rsidRPr="00000000">
        <w:rPr>
          <w:rtl w:val="0"/>
        </w:rPr>
      </w:r>
    </w:p>
    <w:p w:rsidR="00000000" w:rsidDel="00000000" w:rsidP="00000000" w:rsidRDefault="00000000" w:rsidRPr="00000000" w14:paraId="00000090">
      <w:pPr>
        <w:spacing w:after="50" w:line="240" w:lineRule="auto"/>
        <w:ind w:left="567" w:hanging="567"/>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Gunatilake, H., Yang, J.-C., Pattanayak, S., y Choe, K. A. (2007). </w:t>
      </w:r>
      <w:r w:rsidDel="00000000" w:rsidR="00000000" w:rsidRPr="00000000">
        <w:rPr>
          <w:rFonts w:ascii="Times New Roman" w:cs="Times New Roman" w:eastAsia="Times New Roman" w:hAnsi="Times New Roman"/>
          <w:i w:val="1"/>
          <w:iCs w:val="1"/>
          <w:sz w:val="22"/>
          <w:szCs w:val="22"/>
          <w:rtl w:val="0"/>
        </w:rPr>
        <w:t xml:space="preserve">Good practices for estimating reliable willingness-to-pay values in the water supply and sanitation sector</w:t>
      </w:r>
      <w:r w:rsidDel="00000000" w:rsidR="00000000" w:rsidRPr="00000000">
        <w:rPr>
          <w:rFonts w:ascii="Times New Roman" w:cs="Times New Roman" w:eastAsia="Times New Roman" w:hAnsi="Times New Roman"/>
          <w:sz w:val="22"/>
          <w:szCs w:val="22"/>
          <w:rtl w:val="0"/>
        </w:rPr>
        <w:t xml:space="preserve"> (ERD Technical Note Series No. 23). Asian Development Bank. </w:t>
      </w:r>
      <w:hyperlink r:id="rId14">
        <w:r w:rsidDel="00000000" w:rsidR="00000000" w:rsidRPr="00000000">
          <w:rPr>
            <w:rFonts w:ascii="Times New Roman" w:cs="Times New Roman" w:eastAsia="Times New Roman" w:hAnsi="Times New Roman"/>
            <w:color w:val="1f5c99"/>
            <w:sz w:val="22"/>
            <w:szCs w:val="22"/>
            <w:u w:val="single"/>
            <w:rtl w:val="0"/>
          </w:rPr>
          <w:t xml:space="preserve">https://www.adb.org/sites/default/files/publication/29866/tn-23-good-practices-willingness-pay-values.pdf</w:t>
        </w:r>
      </w:hyperlink>
      <w:r w:rsidDel="00000000" w:rsidR="00000000" w:rsidRPr="00000000">
        <w:rPr>
          <w:rtl w:val="0"/>
        </w:rPr>
      </w:r>
    </w:p>
    <w:p w:rsidR="00000000" w:rsidDel="00000000" w:rsidP="00000000" w:rsidRDefault="00000000" w:rsidRPr="00000000" w14:paraId="00000091">
      <w:pPr>
        <w:spacing w:after="50" w:line="240" w:lineRule="auto"/>
        <w:ind w:left="567" w:hanging="567"/>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Haab, T. C., y McConnell, K. E. (2002). </w:t>
      </w:r>
      <w:r w:rsidDel="00000000" w:rsidR="00000000" w:rsidRPr="00000000">
        <w:rPr>
          <w:rFonts w:ascii="Times New Roman" w:cs="Times New Roman" w:eastAsia="Times New Roman" w:hAnsi="Times New Roman"/>
          <w:i w:val="1"/>
          <w:iCs w:val="1"/>
          <w:sz w:val="22"/>
          <w:szCs w:val="22"/>
          <w:rtl w:val="0"/>
        </w:rPr>
        <w:t xml:space="preserve">Valuing environmental and natural resources: The econometrics of non-market valuation</w:t>
      </w:r>
      <w:r w:rsidDel="00000000" w:rsidR="00000000" w:rsidRPr="00000000">
        <w:rPr>
          <w:rFonts w:ascii="Times New Roman" w:cs="Times New Roman" w:eastAsia="Times New Roman" w:hAnsi="Times New Roman"/>
          <w:sz w:val="22"/>
          <w:szCs w:val="22"/>
          <w:rtl w:val="0"/>
        </w:rPr>
        <w:t xml:space="preserve">. Edward Elgar.</w:t>
      </w:r>
    </w:p>
    <w:p w:rsidR="00000000" w:rsidDel="00000000" w:rsidP="00000000" w:rsidRDefault="00000000" w:rsidRPr="00000000" w14:paraId="00000092">
      <w:pPr>
        <w:spacing w:after="50" w:line="240" w:lineRule="auto"/>
        <w:ind w:left="567" w:hanging="567"/>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Hanemann, M., Loomis, J., y Kanninen, B. (1991). Statistical efficiency of double-bounded dichotomous choice contingent valuation. </w:t>
      </w:r>
      <w:r w:rsidDel="00000000" w:rsidR="00000000" w:rsidRPr="00000000">
        <w:rPr>
          <w:rFonts w:ascii="Times New Roman" w:cs="Times New Roman" w:eastAsia="Times New Roman" w:hAnsi="Times New Roman"/>
          <w:i w:val="1"/>
          <w:iCs w:val="1"/>
          <w:sz w:val="22"/>
          <w:szCs w:val="22"/>
          <w:rtl w:val="0"/>
        </w:rPr>
        <w:t xml:space="preserve">American Journal of Agricultural Economics, 73</w:t>
      </w:r>
      <w:r w:rsidDel="00000000" w:rsidR="00000000" w:rsidRPr="00000000">
        <w:rPr>
          <w:rFonts w:ascii="Times New Roman" w:cs="Times New Roman" w:eastAsia="Times New Roman" w:hAnsi="Times New Roman"/>
          <w:sz w:val="22"/>
          <w:szCs w:val="22"/>
          <w:rtl w:val="0"/>
        </w:rPr>
        <w:t xml:space="preserve">(4), 1255–1263. </w:t>
      </w:r>
      <w:hyperlink r:id="rId15">
        <w:r w:rsidDel="00000000" w:rsidR="00000000" w:rsidRPr="00000000">
          <w:rPr>
            <w:rFonts w:ascii="Times New Roman" w:cs="Times New Roman" w:eastAsia="Times New Roman" w:hAnsi="Times New Roman"/>
            <w:color w:val="1f5c99"/>
            <w:sz w:val="22"/>
            <w:szCs w:val="22"/>
            <w:u w:val="single"/>
            <w:rtl w:val="0"/>
          </w:rPr>
          <w:t xml:space="preserve">https://doi.org/10.2307/1242453</w:t>
        </w:r>
      </w:hyperlink>
      <w:r w:rsidDel="00000000" w:rsidR="00000000" w:rsidRPr="00000000">
        <w:rPr>
          <w:rtl w:val="0"/>
        </w:rPr>
      </w:r>
    </w:p>
    <w:p w:rsidR="00000000" w:rsidDel="00000000" w:rsidP="00000000" w:rsidRDefault="00000000" w:rsidRPr="00000000" w14:paraId="00000093">
      <w:pPr>
        <w:spacing w:after="50" w:line="240" w:lineRule="auto"/>
        <w:ind w:left="567" w:hanging="567"/>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Herriges, J. A., y Shogren, J. F. (1996). Starting point bias in dichotomous choice valuation with follow-up questioning. </w:t>
      </w:r>
      <w:r w:rsidDel="00000000" w:rsidR="00000000" w:rsidRPr="00000000">
        <w:rPr>
          <w:rFonts w:ascii="Times New Roman" w:cs="Times New Roman" w:eastAsia="Times New Roman" w:hAnsi="Times New Roman"/>
          <w:i w:val="1"/>
          <w:iCs w:val="1"/>
          <w:sz w:val="22"/>
          <w:szCs w:val="22"/>
          <w:rtl w:val="0"/>
        </w:rPr>
        <w:t xml:space="preserve">Journal of Environmental Economics and Management, 30</w:t>
      </w:r>
      <w:r w:rsidDel="00000000" w:rsidR="00000000" w:rsidRPr="00000000">
        <w:rPr>
          <w:rFonts w:ascii="Times New Roman" w:cs="Times New Roman" w:eastAsia="Times New Roman" w:hAnsi="Times New Roman"/>
          <w:sz w:val="22"/>
          <w:szCs w:val="22"/>
          <w:rtl w:val="0"/>
        </w:rPr>
        <w:t xml:space="preserve">(1), 112–131. </w:t>
      </w:r>
      <w:hyperlink r:id="rId16">
        <w:r w:rsidDel="00000000" w:rsidR="00000000" w:rsidRPr="00000000">
          <w:rPr>
            <w:rFonts w:ascii="Times New Roman" w:cs="Times New Roman" w:eastAsia="Times New Roman" w:hAnsi="Times New Roman"/>
            <w:color w:val="1f5c99"/>
            <w:sz w:val="22"/>
            <w:szCs w:val="22"/>
            <w:u w:val="single"/>
            <w:rtl w:val="0"/>
          </w:rPr>
          <w:t xml:space="preserve">https://ideas.repec.org/a/eee/jeeman/v30y1996i1p112-131.html</w:t>
        </w:r>
      </w:hyperlink>
      <w:r w:rsidDel="00000000" w:rsidR="00000000" w:rsidRPr="00000000">
        <w:rPr>
          <w:rtl w:val="0"/>
        </w:rPr>
      </w:r>
    </w:p>
    <w:p w:rsidR="00000000" w:rsidDel="00000000" w:rsidP="00000000" w:rsidRDefault="00000000" w:rsidRPr="00000000" w14:paraId="00000094">
      <w:pPr>
        <w:spacing w:after="50" w:line="240" w:lineRule="auto"/>
        <w:ind w:left="567" w:hanging="567"/>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Johnston, R. J., Boyle, K. J., Adamowicz, W., Bennett, J., Brouwer, R., Cameron, T. A., Hanemann, W. M., Hanley, N., Ryan, M., Scarpa, R., Tourangeau, R., y Vossler, C. A. (2017). Contemporary guidance for stated preference studies. </w:t>
      </w:r>
      <w:r w:rsidDel="00000000" w:rsidR="00000000" w:rsidRPr="00000000">
        <w:rPr>
          <w:rFonts w:ascii="Times New Roman" w:cs="Times New Roman" w:eastAsia="Times New Roman" w:hAnsi="Times New Roman"/>
          <w:i w:val="1"/>
          <w:iCs w:val="1"/>
          <w:sz w:val="22"/>
          <w:szCs w:val="22"/>
          <w:rtl w:val="0"/>
        </w:rPr>
        <w:t xml:space="preserve">Journal of the Association of Environmental and Resource Economists, 4</w:t>
      </w:r>
      <w:r w:rsidDel="00000000" w:rsidR="00000000" w:rsidRPr="00000000">
        <w:rPr>
          <w:rFonts w:ascii="Times New Roman" w:cs="Times New Roman" w:eastAsia="Times New Roman" w:hAnsi="Times New Roman"/>
          <w:sz w:val="22"/>
          <w:szCs w:val="22"/>
          <w:rtl w:val="0"/>
        </w:rPr>
        <w:t xml:space="preserve">(2), 319–405. </w:t>
      </w:r>
      <w:hyperlink r:id="rId17">
        <w:r w:rsidDel="00000000" w:rsidR="00000000" w:rsidRPr="00000000">
          <w:rPr>
            <w:rFonts w:ascii="Times New Roman" w:cs="Times New Roman" w:eastAsia="Times New Roman" w:hAnsi="Times New Roman"/>
            <w:color w:val="1f5c99"/>
            <w:sz w:val="22"/>
            <w:szCs w:val="22"/>
            <w:u w:val="single"/>
            <w:rtl w:val="0"/>
          </w:rPr>
          <w:t xml:space="preserve">https://doi.org/10.1086/691697</w:t>
        </w:r>
      </w:hyperlink>
      <w:r w:rsidDel="00000000" w:rsidR="00000000" w:rsidRPr="00000000">
        <w:rPr>
          <w:rtl w:val="0"/>
        </w:rPr>
      </w:r>
    </w:p>
    <w:p w:rsidR="00000000" w:rsidDel="00000000" w:rsidP="00000000" w:rsidRDefault="00000000" w:rsidRPr="00000000" w14:paraId="00000095">
      <w:pPr>
        <w:spacing w:after="50" w:line="240" w:lineRule="auto"/>
        <w:ind w:left="567" w:hanging="567"/>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Miller, K. M., Hofstetter, R., Krohmer, H., y Zhang, Z. J. (2011). How should consumers' willingness to pay be measured? An empirical comparison of state-of-the-art approaches. </w:t>
      </w:r>
      <w:r w:rsidDel="00000000" w:rsidR="00000000" w:rsidRPr="00000000">
        <w:rPr>
          <w:rFonts w:ascii="Times New Roman" w:cs="Times New Roman" w:eastAsia="Times New Roman" w:hAnsi="Times New Roman"/>
          <w:i w:val="1"/>
          <w:iCs w:val="1"/>
          <w:sz w:val="22"/>
          <w:szCs w:val="22"/>
          <w:rtl w:val="0"/>
        </w:rPr>
        <w:t xml:space="preserve">Journal of Marketing Research, 48</w:t>
      </w:r>
      <w:r w:rsidDel="00000000" w:rsidR="00000000" w:rsidRPr="00000000">
        <w:rPr>
          <w:rFonts w:ascii="Times New Roman" w:cs="Times New Roman" w:eastAsia="Times New Roman" w:hAnsi="Times New Roman"/>
          <w:sz w:val="22"/>
          <w:szCs w:val="22"/>
          <w:rtl w:val="0"/>
        </w:rPr>
        <w:t xml:space="preserve">(1), 172–184. </w:t>
      </w:r>
      <w:hyperlink r:id="rId18">
        <w:r w:rsidDel="00000000" w:rsidR="00000000" w:rsidRPr="00000000">
          <w:rPr>
            <w:rFonts w:ascii="Times New Roman" w:cs="Times New Roman" w:eastAsia="Times New Roman" w:hAnsi="Times New Roman"/>
            <w:color w:val="1f5c99"/>
            <w:sz w:val="22"/>
            <w:szCs w:val="22"/>
            <w:u w:val="single"/>
            <w:rtl w:val="0"/>
          </w:rPr>
          <w:t xml:space="preserve">https://doi.org/10.1509/jmkr.48.1.172</w:t>
        </w:r>
      </w:hyperlink>
      <w:r w:rsidDel="00000000" w:rsidR="00000000" w:rsidRPr="00000000">
        <w:rPr>
          <w:rtl w:val="0"/>
        </w:rPr>
      </w:r>
    </w:p>
    <w:p w:rsidR="00000000" w:rsidDel="00000000" w:rsidP="00000000" w:rsidRDefault="00000000" w:rsidRPr="00000000" w14:paraId="00000096">
      <w:pPr>
        <w:spacing w:after="50" w:line="240" w:lineRule="auto"/>
        <w:ind w:left="567" w:hanging="567"/>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Murillo Herrera, J. M. (2026, 17 de julio). </w:t>
      </w:r>
      <w:r w:rsidDel="00000000" w:rsidR="00000000" w:rsidRPr="00000000">
        <w:rPr>
          <w:rFonts w:ascii="Times New Roman" w:cs="Times New Roman" w:eastAsia="Times New Roman" w:hAnsi="Times New Roman"/>
          <w:i w:val="1"/>
          <w:iCs w:val="1"/>
          <w:sz w:val="22"/>
          <w:szCs w:val="22"/>
          <w:rtl w:val="0"/>
        </w:rPr>
        <w:t xml:space="preserve">Revive el aumento del salario mínimo del 23% tras importante fallo del Consejo de Estado</w:t>
      </w:r>
      <w:r w:rsidDel="00000000" w:rsidR="00000000" w:rsidRPr="00000000">
        <w:rPr>
          <w:rFonts w:ascii="Times New Roman" w:cs="Times New Roman" w:eastAsia="Times New Roman" w:hAnsi="Times New Roman"/>
          <w:sz w:val="22"/>
          <w:szCs w:val="22"/>
          <w:rtl w:val="0"/>
        </w:rPr>
        <w:t xml:space="preserve">. Portafolio. </w:t>
      </w:r>
      <w:hyperlink r:id="rId19">
        <w:r w:rsidDel="00000000" w:rsidR="00000000" w:rsidRPr="00000000">
          <w:rPr>
            <w:rFonts w:ascii="Times New Roman" w:cs="Times New Roman" w:eastAsia="Times New Roman" w:hAnsi="Times New Roman"/>
            <w:color w:val="1f5c99"/>
            <w:sz w:val="22"/>
            <w:szCs w:val="22"/>
            <w:u w:val="single"/>
            <w:rtl w:val="0"/>
          </w:rPr>
          <w:t xml:space="preserve">https://www.portafolio.co/economia/gobierno/consejo-de-estado-reactiva-el-aumento-del-23-del-salario-minimo-de-2026-esto-determino-498416</w:t>
        </w:r>
      </w:hyperlink>
      <w:r w:rsidDel="00000000" w:rsidR="00000000" w:rsidRPr="00000000">
        <w:rPr>
          <w:rtl w:val="0"/>
        </w:rPr>
      </w:r>
    </w:p>
    <w:p w:rsidR="00000000" w:rsidDel="00000000" w:rsidP="00000000" w:rsidRDefault="00000000" w:rsidRPr="00000000" w14:paraId="00000097">
      <w:pPr>
        <w:spacing w:after="50" w:line="240" w:lineRule="auto"/>
        <w:ind w:left="567" w:hanging="567"/>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Murphy, J. J., Allen, P. G., Stevens, T. H., y Weatherhead, D. (2005). A meta-analysis of hypothetical bias in stated preference valuation. </w:t>
      </w:r>
      <w:r w:rsidDel="00000000" w:rsidR="00000000" w:rsidRPr="00000000">
        <w:rPr>
          <w:rFonts w:ascii="Times New Roman" w:cs="Times New Roman" w:eastAsia="Times New Roman" w:hAnsi="Times New Roman"/>
          <w:i w:val="1"/>
          <w:iCs w:val="1"/>
          <w:sz w:val="22"/>
          <w:szCs w:val="22"/>
          <w:rtl w:val="0"/>
        </w:rPr>
        <w:t xml:space="preserve">Environmental and Resource Economics, 30</w:t>
      </w:r>
      <w:r w:rsidDel="00000000" w:rsidR="00000000" w:rsidRPr="00000000">
        <w:rPr>
          <w:rFonts w:ascii="Times New Roman" w:cs="Times New Roman" w:eastAsia="Times New Roman" w:hAnsi="Times New Roman"/>
          <w:sz w:val="22"/>
          <w:szCs w:val="22"/>
          <w:rtl w:val="0"/>
        </w:rPr>
        <w:t xml:space="preserve">(3), 313–325. </w:t>
      </w:r>
      <w:hyperlink r:id="rId20">
        <w:r w:rsidDel="00000000" w:rsidR="00000000" w:rsidRPr="00000000">
          <w:rPr>
            <w:rFonts w:ascii="Times New Roman" w:cs="Times New Roman" w:eastAsia="Times New Roman" w:hAnsi="Times New Roman"/>
            <w:color w:val="1f5c99"/>
            <w:sz w:val="22"/>
            <w:szCs w:val="22"/>
            <w:u w:val="single"/>
            <w:rtl w:val="0"/>
          </w:rPr>
          <w:t xml:space="preserve">https://doi.org/10.1007/s10640-004-3332-z</w:t>
        </w:r>
      </w:hyperlink>
      <w:r w:rsidDel="00000000" w:rsidR="00000000" w:rsidRPr="00000000">
        <w:rPr>
          <w:rtl w:val="0"/>
        </w:rPr>
      </w:r>
    </w:p>
    <w:p w:rsidR="00000000" w:rsidDel="00000000" w:rsidP="00000000" w:rsidRDefault="00000000" w:rsidRPr="00000000" w14:paraId="00000098">
      <w:pPr>
        <w:spacing w:after="50" w:line="240" w:lineRule="auto"/>
        <w:ind w:left="567" w:hanging="567"/>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Ready, R. C., Whitehead, J. C., y Blomquist, G. C. (1995). Contingent valuation when respondents are ambivalent. </w:t>
      </w:r>
      <w:r w:rsidDel="00000000" w:rsidR="00000000" w:rsidRPr="00000000">
        <w:rPr>
          <w:rFonts w:ascii="Times New Roman" w:cs="Times New Roman" w:eastAsia="Times New Roman" w:hAnsi="Times New Roman"/>
          <w:i w:val="1"/>
          <w:iCs w:val="1"/>
          <w:sz w:val="22"/>
          <w:szCs w:val="22"/>
          <w:rtl w:val="0"/>
        </w:rPr>
        <w:t xml:space="preserve">Journal of Environmental Economics and Management, 29</w:t>
      </w:r>
      <w:r w:rsidDel="00000000" w:rsidR="00000000" w:rsidRPr="00000000">
        <w:rPr>
          <w:rFonts w:ascii="Times New Roman" w:cs="Times New Roman" w:eastAsia="Times New Roman" w:hAnsi="Times New Roman"/>
          <w:sz w:val="22"/>
          <w:szCs w:val="22"/>
          <w:rtl w:val="0"/>
        </w:rPr>
        <w:t xml:space="preserve">(2), 181–196. </w:t>
      </w:r>
      <w:hyperlink r:id="rId21">
        <w:r w:rsidDel="00000000" w:rsidR="00000000" w:rsidRPr="00000000">
          <w:rPr>
            <w:rFonts w:ascii="Times New Roman" w:cs="Times New Roman" w:eastAsia="Times New Roman" w:hAnsi="Times New Roman"/>
            <w:color w:val="1f5c99"/>
            <w:sz w:val="22"/>
            <w:szCs w:val="22"/>
            <w:u w:val="single"/>
            <w:rtl w:val="0"/>
          </w:rPr>
          <w:t xml:space="preserve">https://doi.org/10.1006/jeem.1995.1040</w:t>
        </w:r>
      </w:hyperlink>
      <w:r w:rsidDel="00000000" w:rsidR="00000000" w:rsidRPr="00000000">
        <w:rPr>
          <w:rtl w:val="0"/>
        </w:rPr>
      </w:r>
    </w:p>
    <w:p w:rsidR="00000000" w:rsidDel="00000000" w:rsidP="00000000" w:rsidRDefault="00000000" w:rsidRPr="00000000" w14:paraId="00000099">
      <w:pPr>
        <w:spacing w:after="50" w:line="240" w:lineRule="auto"/>
        <w:ind w:left="567" w:hanging="567"/>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Rodríguez Lesmes, P. (2026). </w:t>
      </w:r>
      <w:r w:rsidDel="00000000" w:rsidR="00000000" w:rsidRPr="00000000">
        <w:rPr>
          <w:rFonts w:ascii="Times New Roman" w:cs="Times New Roman" w:eastAsia="Times New Roman" w:hAnsi="Times New Roman"/>
          <w:i w:val="1"/>
          <w:iCs w:val="1"/>
          <w:sz w:val="22"/>
          <w:szCs w:val="22"/>
          <w:rtl w:val="0"/>
        </w:rPr>
        <w:t xml:space="preserve">Doing Economics: Revisión de literatura y obtención de datos</w:t>
      </w:r>
      <w:r w:rsidDel="00000000" w:rsidR="00000000" w:rsidRPr="00000000">
        <w:rPr>
          <w:rFonts w:ascii="Times New Roman" w:cs="Times New Roman" w:eastAsia="Times New Roman" w:hAnsi="Times New Roman"/>
          <w:sz w:val="22"/>
          <w:szCs w:val="22"/>
          <w:rtl w:val="0"/>
        </w:rPr>
        <w:t xml:space="preserve"> [Diapositivas de clase, "6. Acquiring data"]. Universidad del Rosario.</w:t>
      </w:r>
    </w:p>
    <w:p w:rsidR="00000000" w:rsidDel="00000000" w:rsidP="00000000" w:rsidRDefault="00000000" w:rsidRPr="00000000" w14:paraId="0000009A">
      <w:pPr>
        <w:spacing w:after="50" w:line="240" w:lineRule="auto"/>
        <w:ind w:left="567" w:hanging="567"/>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Schwabish, J. (2021). </w:t>
      </w:r>
      <w:r w:rsidDel="00000000" w:rsidR="00000000" w:rsidRPr="00000000">
        <w:rPr>
          <w:rFonts w:ascii="Times New Roman" w:cs="Times New Roman" w:eastAsia="Times New Roman" w:hAnsi="Times New Roman"/>
          <w:i w:val="1"/>
          <w:iCs w:val="1"/>
          <w:sz w:val="22"/>
          <w:szCs w:val="22"/>
          <w:rtl w:val="0"/>
        </w:rPr>
        <w:t xml:space="preserve">Better data visualizations: A guide for scholars, researchers, and wonks</w:t>
      </w:r>
      <w:r w:rsidDel="00000000" w:rsidR="00000000" w:rsidRPr="00000000">
        <w:rPr>
          <w:rFonts w:ascii="Times New Roman" w:cs="Times New Roman" w:eastAsia="Times New Roman" w:hAnsi="Times New Roman"/>
          <w:sz w:val="22"/>
          <w:szCs w:val="22"/>
          <w:rtl w:val="0"/>
        </w:rPr>
        <w:t xml:space="preserve">. Columbia University Press.</w:t>
      </w:r>
    </w:p>
    <w:p w:rsidR="00000000" w:rsidDel="00000000" w:rsidP="00000000" w:rsidRDefault="00000000" w:rsidRPr="00000000" w14:paraId="0000009B">
      <w:pPr>
        <w:spacing w:after="50" w:line="240" w:lineRule="auto"/>
        <w:ind w:left="567" w:hanging="567"/>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Silva Hernández, B. F. (2026, 10 de octubre). </w:t>
      </w:r>
      <w:r w:rsidDel="00000000" w:rsidR="00000000" w:rsidRPr="00000000">
        <w:rPr>
          <w:rFonts w:ascii="Times New Roman" w:cs="Times New Roman" w:eastAsia="Times New Roman" w:hAnsi="Times New Roman"/>
          <w:i w:val="1"/>
          <w:iCs w:val="1"/>
          <w:sz w:val="22"/>
          <w:szCs w:val="22"/>
          <w:rtl w:val="0"/>
        </w:rPr>
        <w:t xml:space="preserve">Salario mínimo de 2026 sigue en $1.750.905 tras aclaración sobre fallos del Consejo de Estado</w:t>
      </w:r>
      <w:r w:rsidDel="00000000" w:rsidR="00000000" w:rsidRPr="00000000">
        <w:rPr>
          <w:rFonts w:ascii="Times New Roman" w:cs="Times New Roman" w:eastAsia="Times New Roman" w:hAnsi="Times New Roman"/>
          <w:sz w:val="22"/>
          <w:szCs w:val="22"/>
          <w:rtl w:val="0"/>
        </w:rPr>
        <w:t xml:space="preserve">. Portafolio. </w:t>
      </w:r>
      <w:hyperlink r:id="rId22">
        <w:r w:rsidDel="00000000" w:rsidR="00000000" w:rsidRPr="00000000">
          <w:rPr>
            <w:rFonts w:ascii="Times New Roman" w:cs="Times New Roman" w:eastAsia="Times New Roman" w:hAnsi="Times New Roman"/>
            <w:color w:val="1f5c99"/>
            <w:sz w:val="22"/>
            <w:szCs w:val="22"/>
            <w:u w:val="single"/>
            <w:rtl w:val="0"/>
          </w:rPr>
          <w:t xml:space="preserve">https://www.portafolio.co/economia/gobierno/salario-minimo-de-2026-sigue-en-1-750-905-millones-tras-aclaracion-sobre-fallos-del-consejo-de-estado-504236</w:t>
        </w:r>
      </w:hyperlink>
      <w:r w:rsidDel="00000000" w:rsidR="00000000" w:rsidRPr="00000000">
        <w:rPr>
          <w:rtl w:val="0"/>
        </w:rPr>
      </w:r>
    </w:p>
    <w:sectPr>
      <w:headerReference r:id="rId23" w:type="default"/>
      <w:headerReference r:id="rId24" w:type="first"/>
      <w:footerReference r:id="rId25" w:type="default"/>
      <w:footerReference r:id="rId26" w:type="first"/>
      <w:pgSz w:h="15840" w:w="12240" w:orient="portrait"/>
      <w:pgMar w:bottom="1418" w:top="1418" w:left="1418" w:right="1418"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E">
    <w:pPr>
      <w:spacing w:after="0" w:lineRule="auto"/>
      <w:jc w:val="center"/>
      <w:rPr/>
    </w:pPr>
    <w:r w:rsidDel="00000000" w:rsidR="00000000" w:rsidRPr="00000000">
      <w:rPr>
        <w:color w:val="6d6d6d"/>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F">
    <w:pPr>
      <w:spacing w:after="0" w:lineRule="auto"/>
      <w:jc w:val="center"/>
      <w:rPr/>
    </w:pPr>
    <w:r w:rsidDel="00000000" w:rsidR="00000000" w:rsidRPr="00000000">
      <w:rPr>
        <w:color w:val="6d6d6d"/>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C">
    <w:pPr>
      <w:spacing w:after="0" w:lineRule="auto"/>
      <w:jc w:val="righ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36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s-CO"/>
      </w:rPr>
    </w:rPrDefault>
    <w:pPrDefault>
      <w:pPr>
        <w:spacing w:after="80" w:line="25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bottom w:color="d7ccc8" w:space="4" w:sz="4" w:val="single"/>
      </w:pBdr>
      <w:spacing w:after="80" w:before="200" w:lineRule="auto"/>
    </w:pPr>
    <w:rPr>
      <w:rFonts w:ascii="Calibri" w:cs="Calibri" w:eastAsia="Calibri" w:hAnsi="Calibri"/>
      <w:b w:val="1"/>
      <w:bCs w:val="1"/>
      <w:color w:val="3e2723"/>
      <w:sz w:val="25"/>
      <w:szCs w:val="25"/>
    </w:rPr>
  </w:style>
  <w:style w:type="paragraph" w:styleId="Heading2">
    <w:name w:val="heading 2"/>
    <w:basedOn w:val="Normal"/>
    <w:next w:val="Normal"/>
    <w:pPr>
      <w:keepNext w:val="1"/>
      <w:keepLines w:val="1"/>
      <w:spacing w:after="100" w:before="260" w:lineRule="auto"/>
    </w:pPr>
    <w:rPr>
      <w:rFonts w:ascii="Calibri" w:cs="Calibri" w:eastAsia="Calibri" w:hAnsi="Calibri"/>
      <w:b w:val="1"/>
      <w:bCs w:val="1"/>
      <w:color w:val="4e342e"/>
      <w:sz w:val="24"/>
      <w:szCs w:val="24"/>
    </w:rPr>
  </w:style>
  <w:style w:type="paragraph" w:styleId="Heading3">
    <w:name w:val="heading 3"/>
    <w:basedOn w:val="Normal"/>
    <w:next w:val="Normal"/>
    <w:pPr/>
    <w:rPr>
      <w:color w:val="1f4d78"/>
      <w:sz w:val="24"/>
      <w:szCs w:val="24"/>
    </w:rPr>
  </w:style>
  <w:style w:type="paragraph" w:styleId="Heading4">
    <w:name w:val="heading 4"/>
    <w:basedOn w:val="Normal"/>
    <w:next w:val="Normal"/>
    <w:pPr/>
    <w:rPr>
      <w:i w:val="1"/>
      <w:iCs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007/s10640-004-3332-z" TargetMode="External"/><Relationship Id="rId22" Type="http://schemas.openxmlformats.org/officeDocument/2006/relationships/hyperlink" Target="https://www.portafolio.co/economia/gobierno/salario-minimo-de-2026-sigue-en-1-750-905-millones-tras-aclaracion-sobre-fallos-del-consejo-de-estado-504236" TargetMode="External"/><Relationship Id="rId21" Type="http://schemas.openxmlformats.org/officeDocument/2006/relationships/hyperlink" Target="https://doi.org/10.1006/jeem.1995.1040" TargetMode="External"/><Relationship Id="rId24" Type="http://schemas.openxmlformats.org/officeDocument/2006/relationships/header" Target="header2.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funcionpublica.gov.co/eva/gestornormativo/norma.php?i=49981" TargetMode="External"/><Relationship Id="rId26" Type="http://schemas.openxmlformats.org/officeDocument/2006/relationships/footer" Target="footer2.xml"/><Relationship Id="rId25"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hdl.handle.net/10986/35594" TargetMode="External"/><Relationship Id="rId8" Type="http://schemas.openxmlformats.org/officeDocument/2006/relationships/hyperlink" Target="https://normativa.colpensiones.gov.co/colpens/docs/ley_0051_1983.htm" TargetMode="External"/><Relationship Id="rId11" Type="http://schemas.openxmlformats.org/officeDocument/2006/relationships/hyperlink" Target="https://doi.org/10.1257/aer.89.3.649" TargetMode="External"/><Relationship Id="rId10" Type="http://schemas.openxmlformats.org/officeDocument/2006/relationships/hyperlink" Target="https://www.core-econ.org/doing-economics/" TargetMode="External"/><Relationship Id="rId13" Type="http://schemas.openxmlformats.org/officeDocument/2006/relationships/hyperlink" Target="https://doi.org/10.1080/00036840210128717" TargetMode="External"/><Relationship Id="rId12" Type="http://schemas.openxmlformats.org/officeDocument/2006/relationships/hyperlink" Target="https://normativa.colpensiones.gov.co/compilacion/docs/decreto_1469_2025.htm" TargetMode="External"/><Relationship Id="rId15" Type="http://schemas.openxmlformats.org/officeDocument/2006/relationships/hyperlink" Target="https://doi.org/10.2307/1242453" TargetMode="External"/><Relationship Id="rId14" Type="http://schemas.openxmlformats.org/officeDocument/2006/relationships/hyperlink" Target="https://www.adb.org/sites/default/files/publication/29866/tn-23-good-practices-willingness-pay-values.pdf" TargetMode="External"/><Relationship Id="rId17" Type="http://schemas.openxmlformats.org/officeDocument/2006/relationships/hyperlink" Target="https://doi.org/10.1086/691697" TargetMode="External"/><Relationship Id="rId16" Type="http://schemas.openxmlformats.org/officeDocument/2006/relationships/hyperlink" Target="https://ideas.repec.org/a/eee/jeeman/v30y1996i1p112-131.html" TargetMode="External"/><Relationship Id="rId19" Type="http://schemas.openxmlformats.org/officeDocument/2006/relationships/hyperlink" Target="https://www.portafolio.co/economia/gobierno/consejo-de-estado-reactiva-el-aumento-del-23-del-salario-minimo-de-2026-esto-determino-498416" TargetMode="External"/><Relationship Id="rId18" Type="http://schemas.openxmlformats.org/officeDocument/2006/relationships/hyperlink" Target="https://doi.org/10.1509/jmkr.48.1.17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