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4D530" w14:textId="77777777" w:rsidR="000D12EC" w:rsidRDefault="000D12EC"/>
    <w:p w14:paraId="12D34817" w14:textId="77777777" w:rsidR="000D12EC" w:rsidRDefault="000D12EC"/>
    <w:p w14:paraId="4E814FEE" w14:textId="77777777" w:rsidR="000D12EC" w:rsidRDefault="000D12EC"/>
    <w:p w14:paraId="51E4326E" w14:textId="77777777" w:rsidR="000D12EC" w:rsidRDefault="000D12EC"/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D12EC" w14:paraId="14ED1AED" w14:textId="77777777">
        <w:trPr>
          <w:trHeight w:val="1002"/>
        </w:trPr>
        <w:tc>
          <w:tcPr>
            <w:tcW w:w="9072" w:type="dxa"/>
            <w:tcBorders>
              <w:bottom w:val="single" w:sz="4" w:space="0" w:color="4F81BD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F7F0D" w14:textId="77777777" w:rsidR="000D12EC" w:rsidRDefault="00DE0762">
            <w:pPr>
              <w:pStyle w:val="Bezmezer"/>
              <w:jc w:val="center"/>
              <w:rPr>
                <w:rFonts w:ascii="Cambria" w:eastAsia="Times New Roman" w:hAnsi="Cambria"/>
                <w:sz w:val="60"/>
                <w:szCs w:val="60"/>
              </w:rPr>
            </w:pPr>
            <w:r>
              <w:rPr>
                <w:rFonts w:ascii="Cambria" w:eastAsia="Times New Roman" w:hAnsi="Cambria"/>
                <w:sz w:val="60"/>
                <w:szCs w:val="60"/>
              </w:rPr>
              <w:t>Příloha v účetní závěrce</w:t>
            </w:r>
          </w:p>
          <w:p w14:paraId="6269EE70" w14:textId="77777777" w:rsidR="000D12EC" w:rsidRDefault="00DE0762">
            <w:pPr>
              <w:pStyle w:val="Bezmezer"/>
              <w:jc w:val="center"/>
            </w:pPr>
            <w:r>
              <w:rPr>
                <w:rFonts w:ascii="Cambria" w:eastAsia="Times New Roman" w:hAnsi="Cambria"/>
                <w:sz w:val="60"/>
                <w:szCs w:val="60"/>
              </w:rPr>
              <w:t>v plném rozsahu</w:t>
            </w:r>
          </w:p>
        </w:tc>
      </w:tr>
      <w:tr w:rsidR="000D12EC" w14:paraId="079EB660" w14:textId="77777777">
        <w:trPr>
          <w:trHeight w:val="720"/>
        </w:trPr>
        <w:tc>
          <w:tcPr>
            <w:tcW w:w="9072" w:type="dxa"/>
            <w:tcBorders>
              <w:top w:val="single" w:sz="4" w:space="0" w:color="4F81BD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EC093" w14:textId="77777777" w:rsidR="000D12EC" w:rsidRDefault="00DE0762">
            <w:pPr>
              <w:pStyle w:val="Bezmezer"/>
              <w:jc w:val="center"/>
            </w:pPr>
            <w:r>
              <w:rPr>
                <w:rFonts w:ascii="Cambria" w:eastAsia="Times New Roman" w:hAnsi="Cambria"/>
                <w:sz w:val="40"/>
                <w:szCs w:val="40"/>
              </w:rPr>
              <w:t>Korporace Mosmota s.r.o.</w:t>
            </w:r>
          </w:p>
        </w:tc>
      </w:tr>
      <w:tr w:rsidR="000D12EC" w14:paraId="6B3E91B8" w14:textId="77777777">
        <w:trPr>
          <w:trHeight w:val="80"/>
        </w:trPr>
        <w:tc>
          <w:tcPr>
            <w:tcW w:w="90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734B9" w14:textId="77777777" w:rsidR="000D12EC" w:rsidRDefault="000D12EC">
            <w:pPr>
              <w:pStyle w:val="Bezmezer"/>
            </w:pPr>
          </w:p>
        </w:tc>
      </w:tr>
      <w:tr w:rsidR="000D12EC" w14:paraId="0FA60252" w14:textId="77777777">
        <w:trPr>
          <w:trHeight w:val="360"/>
        </w:trPr>
        <w:tc>
          <w:tcPr>
            <w:tcW w:w="90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92B11" w14:textId="41EEA6D0" w:rsidR="000D12EC" w:rsidRDefault="00DE0762" w:rsidP="001204BA">
            <w:pPr>
              <w:pStyle w:val="Bezmezer"/>
              <w:jc w:val="center"/>
            </w:pPr>
            <w:r>
              <w:rPr>
                <w:bCs/>
                <w:sz w:val="30"/>
                <w:szCs w:val="30"/>
              </w:rPr>
              <w:t>ke dni 3</w:t>
            </w:r>
            <w:r w:rsidR="00035031">
              <w:rPr>
                <w:bCs/>
                <w:sz w:val="30"/>
                <w:szCs w:val="30"/>
              </w:rPr>
              <w:t>1</w:t>
            </w:r>
            <w:r w:rsidR="001204BA">
              <w:rPr>
                <w:bCs/>
                <w:sz w:val="30"/>
                <w:szCs w:val="30"/>
              </w:rPr>
              <w:t>.</w:t>
            </w:r>
            <w:r w:rsidR="00035031">
              <w:rPr>
                <w:bCs/>
                <w:sz w:val="30"/>
                <w:szCs w:val="30"/>
              </w:rPr>
              <w:t>12</w:t>
            </w:r>
            <w:r>
              <w:rPr>
                <w:bCs/>
                <w:sz w:val="30"/>
                <w:szCs w:val="30"/>
              </w:rPr>
              <w:t>.202</w:t>
            </w:r>
            <w:r w:rsidR="00392C1D">
              <w:rPr>
                <w:bCs/>
                <w:sz w:val="30"/>
                <w:szCs w:val="30"/>
              </w:rPr>
              <w:t>5</w:t>
            </w:r>
          </w:p>
        </w:tc>
      </w:tr>
      <w:tr w:rsidR="000D12EC" w14:paraId="60D449EF" w14:textId="77777777">
        <w:trPr>
          <w:trHeight w:val="360"/>
        </w:trPr>
        <w:tc>
          <w:tcPr>
            <w:tcW w:w="90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3C0C7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00F78CF4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33E72D74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46C7998D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725A9677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184B4C78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  <w:p w14:paraId="1BC1472D" w14:textId="77777777" w:rsidR="000D12EC" w:rsidRDefault="000D12EC">
            <w:pPr>
              <w:pStyle w:val="Bezmezer"/>
              <w:jc w:val="center"/>
              <w:rPr>
                <w:b/>
                <w:bCs/>
              </w:rPr>
            </w:pPr>
          </w:p>
        </w:tc>
      </w:tr>
    </w:tbl>
    <w:p w14:paraId="4B2545B1" w14:textId="77777777" w:rsidR="000D12EC" w:rsidRDefault="000D12EC"/>
    <w:p w14:paraId="6FEF7868" w14:textId="77777777" w:rsidR="000D12EC" w:rsidRDefault="00DE0762">
      <w:pPr>
        <w:spacing w:after="0" w:line="240" w:lineRule="auto"/>
        <w:rPr>
          <w:b/>
        </w:rPr>
      </w:pPr>
      <w:r>
        <w:rPr>
          <w:b/>
        </w:rPr>
        <w:t>Obsah přílohy</w:t>
      </w:r>
    </w:p>
    <w:p w14:paraId="50EB1734" w14:textId="77777777" w:rsidR="000D12EC" w:rsidRDefault="00DE0762">
      <w:pPr>
        <w:spacing w:line="240" w:lineRule="auto"/>
      </w:pPr>
      <w:r>
        <w:t>Podle § 39, § 39b a § 39c vyhlášky č. 500/2002 Sb.:</w:t>
      </w:r>
    </w:p>
    <w:p w14:paraId="65E6159B" w14:textId="77777777" w:rsidR="000D12EC" w:rsidRDefault="000D12EC">
      <w:pPr>
        <w:spacing w:line="240" w:lineRule="auto"/>
        <w:rPr>
          <w:sz w:val="8"/>
          <w:szCs w:val="8"/>
          <w:lang w:eastAsia="cs-CZ"/>
        </w:rPr>
      </w:pPr>
    </w:p>
    <w:p w14:paraId="46D7D4D8" w14:textId="77777777" w:rsidR="000D12EC" w:rsidRDefault="00DE0762">
      <w:pPr>
        <w:pStyle w:val="Obsah1"/>
      </w:pPr>
      <w:r>
        <w:rPr>
          <w:sz w:val="22"/>
          <w:szCs w:val="22"/>
        </w:rPr>
        <w:fldChar w:fldCharType="begin"/>
      </w:r>
      <w:r>
        <w:instrText xml:space="preserve"> TOC \o "1-1" \u \n 1-9 \h </w:instrText>
      </w:r>
      <w:r>
        <w:rPr>
          <w:sz w:val="22"/>
          <w:szCs w:val="22"/>
        </w:rPr>
        <w:fldChar w:fldCharType="separate"/>
      </w:r>
      <w:hyperlink w:anchor="_Toc441137327" w:history="1">
        <w:r>
          <w:rPr>
            <w:rStyle w:val="Hypertextovodkaz"/>
          </w:rPr>
          <w:t>1.</w:t>
        </w:r>
        <w:r>
          <w:rPr>
            <w:rFonts w:eastAsia="Times New Roman"/>
            <w:sz w:val="22"/>
            <w:szCs w:val="22"/>
            <w:lang w:eastAsia="cs-CZ"/>
          </w:rPr>
          <w:tab/>
        </w:r>
        <w:r>
          <w:rPr>
            <w:rStyle w:val="Hypertextovodkaz"/>
          </w:rPr>
          <w:t>Popis účetní jednotky</w:t>
        </w:r>
      </w:hyperlink>
    </w:p>
    <w:p w14:paraId="610D2DC5" w14:textId="77777777" w:rsidR="000D12EC" w:rsidRDefault="00213C99">
      <w:pPr>
        <w:pStyle w:val="Obsah1"/>
      </w:pPr>
      <w:hyperlink w:anchor="_Toc441137328" w:history="1">
        <w:r w:rsidR="00DE0762">
          <w:rPr>
            <w:rStyle w:val="Hypertextovodkaz"/>
          </w:rPr>
          <w:t>2.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Použité obecné účetní zásady, účetní metody a odchylky od těchto metod</w:t>
        </w:r>
      </w:hyperlink>
    </w:p>
    <w:p w14:paraId="51A1CD76" w14:textId="77777777" w:rsidR="000D12EC" w:rsidRDefault="00213C99">
      <w:pPr>
        <w:pStyle w:val="Obsah1"/>
      </w:pPr>
      <w:hyperlink w:anchor="_Toc441137329" w:history="1">
        <w:r w:rsidR="00DE0762">
          <w:rPr>
            <w:rStyle w:val="Hypertextovodkaz"/>
          </w:rPr>
          <w:t>3.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Informace k položkám závazkových vztahů</w:t>
        </w:r>
      </w:hyperlink>
    </w:p>
    <w:p w14:paraId="4753FB1D" w14:textId="77777777" w:rsidR="000D12EC" w:rsidRDefault="00213C99">
      <w:pPr>
        <w:pStyle w:val="Obsah1"/>
      </w:pPr>
      <w:hyperlink w:anchor="_Toc441137330" w:history="1">
        <w:r w:rsidR="00DE0762">
          <w:rPr>
            <w:rStyle w:val="Hypertextovodkaz"/>
          </w:rPr>
          <w:t>4.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Výše a povaha jednotlivých položek výnosů a nákladů, které jsou mimořádné svým objemem nebo původem</w:t>
        </w:r>
      </w:hyperlink>
    </w:p>
    <w:p w14:paraId="7BD559CE" w14:textId="77777777" w:rsidR="000D12EC" w:rsidRDefault="00213C99">
      <w:pPr>
        <w:pStyle w:val="Obsah1"/>
      </w:pPr>
      <w:hyperlink w:anchor="_Toc441137331" w:history="1">
        <w:r w:rsidR="00DE0762">
          <w:rPr>
            <w:rStyle w:val="Hypertextovodkaz"/>
          </w:rPr>
          <w:t>5.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Průměrný počet zaměstnanců dle kategorií v průběhu účetního období</w:t>
        </w:r>
      </w:hyperlink>
    </w:p>
    <w:p w14:paraId="42E31E9C" w14:textId="77777777" w:rsidR="000D12EC" w:rsidRDefault="00213C99">
      <w:pPr>
        <w:pStyle w:val="Obsah1"/>
      </w:pPr>
      <w:hyperlink w:anchor="_Toc441137332" w:history="1">
        <w:r w:rsidR="00DE0762">
          <w:rPr>
            <w:rStyle w:val="Hypertextovodkaz"/>
          </w:rPr>
          <w:t>6.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Informace o konsolidovaných účetních jednotkách a přidružených účetních jednotkách</w:t>
        </w:r>
      </w:hyperlink>
    </w:p>
    <w:p w14:paraId="1E1A1A5F" w14:textId="77777777" w:rsidR="000D12EC" w:rsidRDefault="00213C99">
      <w:pPr>
        <w:pStyle w:val="Obsah1"/>
      </w:pPr>
      <w:hyperlink w:anchor="_Toc441137333" w:history="1">
        <w:r w:rsidR="00DE0762">
          <w:rPr>
            <w:rStyle w:val="Hypertextovodkaz"/>
          </w:rPr>
          <w:t>7.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Cenné papíry vydané účetní jednotkou</w:t>
        </w:r>
      </w:hyperlink>
    </w:p>
    <w:p w14:paraId="6A725DDD" w14:textId="77777777" w:rsidR="000D12EC" w:rsidRDefault="00213C99">
      <w:pPr>
        <w:pStyle w:val="Obsah1"/>
      </w:pPr>
      <w:hyperlink w:anchor="_Toc441137334" w:history="1">
        <w:r w:rsidR="00DE0762">
          <w:rPr>
            <w:rStyle w:val="Hypertextovodkaz"/>
          </w:rPr>
          <w:t>8.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Informace o rozdělení zisku nebo vypořádání ztráty</w:t>
        </w:r>
      </w:hyperlink>
    </w:p>
    <w:p w14:paraId="4087DFB2" w14:textId="77777777" w:rsidR="000D12EC" w:rsidRDefault="00213C99">
      <w:pPr>
        <w:pStyle w:val="Obsah1"/>
      </w:pPr>
      <w:hyperlink w:anchor="_Toc441137335" w:history="1">
        <w:r w:rsidR="00DE0762">
          <w:rPr>
            <w:rStyle w:val="Hypertextovodkaz"/>
          </w:rPr>
          <w:t>9.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Informace o položkách dlouhodobých aktiv</w:t>
        </w:r>
      </w:hyperlink>
    </w:p>
    <w:p w14:paraId="379D8588" w14:textId="77777777" w:rsidR="000D12EC" w:rsidRDefault="00213C99">
      <w:pPr>
        <w:pStyle w:val="Obsah1"/>
      </w:pPr>
      <w:hyperlink w:anchor="_Toc441137336" w:history="1">
        <w:r w:rsidR="00DE0762">
          <w:rPr>
            <w:rStyle w:val="Hypertextovodkaz"/>
          </w:rPr>
          <w:t>10.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Odložená daň na konci účetního období a její vývoj</w:t>
        </w:r>
      </w:hyperlink>
    </w:p>
    <w:p w14:paraId="31189264" w14:textId="77777777" w:rsidR="000D12EC" w:rsidRDefault="00213C99">
      <w:pPr>
        <w:pStyle w:val="Obsah1"/>
        <w:ind w:left="660" w:hanging="660"/>
      </w:pPr>
      <w:hyperlink w:anchor="_Toc441137337" w:history="1">
        <w:r w:rsidR="00DE0762">
          <w:rPr>
            <w:rStyle w:val="Hypertextovodkaz"/>
          </w:rPr>
          <w:t>11.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Povaha a obchodní účel operací účetní jednotky, které nejsou zahrnuty v rozvaze a jejich finanční dopad na účetní jednotku</w:t>
        </w:r>
      </w:hyperlink>
    </w:p>
    <w:p w14:paraId="16B4D3F5" w14:textId="77777777" w:rsidR="000D12EC" w:rsidRDefault="00213C99">
      <w:pPr>
        <w:pStyle w:val="Obsah1"/>
      </w:pPr>
      <w:hyperlink w:anchor="_Toc441137338" w:history="1">
        <w:r w:rsidR="00DE0762">
          <w:rPr>
            <w:rStyle w:val="Hypertextovodkaz"/>
          </w:rPr>
          <w:t>12.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Informace o transakcích uzavřených se spřízněnou stranou</w:t>
        </w:r>
      </w:hyperlink>
    </w:p>
    <w:p w14:paraId="32341860" w14:textId="77777777" w:rsidR="000D12EC" w:rsidRDefault="00213C99">
      <w:pPr>
        <w:pStyle w:val="Obsah1"/>
      </w:pPr>
      <w:hyperlink w:anchor="_Toc441137339" w:history="1">
        <w:r w:rsidR="00DE0762">
          <w:rPr>
            <w:rStyle w:val="Hypertextovodkaz"/>
          </w:rPr>
          <w:t>13.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Rozčlenění tržeb z prodeje zboží, výrobků a služeb</w:t>
        </w:r>
      </w:hyperlink>
    </w:p>
    <w:p w14:paraId="1397E176" w14:textId="77777777" w:rsidR="000D12EC" w:rsidRDefault="00213C99">
      <w:pPr>
        <w:pStyle w:val="Obsah1"/>
      </w:pPr>
      <w:hyperlink w:anchor="_Toc441137340" w:history="1">
        <w:r w:rsidR="00DE0762">
          <w:rPr>
            <w:rStyle w:val="Hypertextovodkaz"/>
          </w:rPr>
          <w:t>14.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Celkové odměny účtované auditorem</w:t>
        </w:r>
      </w:hyperlink>
    </w:p>
    <w:p w14:paraId="44B12364" w14:textId="77777777" w:rsidR="000D12EC" w:rsidRDefault="00213C99">
      <w:pPr>
        <w:pStyle w:val="Obsah1"/>
      </w:pPr>
      <w:hyperlink w:anchor="_Toc441137341" w:history="1">
        <w:r w:rsidR="00DE0762">
          <w:rPr>
            <w:rStyle w:val="Hypertextovodkaz"/>
          </w:rPr>
          <w:t>15.</w:t>
        </w:r>
        <w:r w:rsidR="00DE0762">
          <w:rPr>
            <w:rFonts w:eastAsia="Times New Roman"/>
            <w:sz w:val="22"/>
            <w:szCs w:val="22"/>
            <w:lang w:eastAsia="cs-CZ"/>
          </w:rPr>
          <w:tab/>
        </w:r>
        <w:r w:rsidR="00DE0762">
          <w:rPr>
            <w:rStyle w:val="Hypertextovodkaz"/>
          </w:rPr>
          <w:t>Významné události mezi rozvahovým dnem a okamžikem sestavení účetní závěrky</w:t>
        </w:r>
      </w:hyperlink>
    </w:p>
    <w:p w14:paraId="5AA77DA8" w14:textId="77777777" w:rsidR="000D12EC" w:rsidRDefault="00DE0762">
      <w:pPr>
        <w:pStyle w:val="Obsah1"/>
      </w:pPr>
      <w:r>
        <w:rPr>
          <w:color w:val="0000FF"/>
          <w:u w:val="single"/>
        </w:rPr>
        <w:fldChar w:fldCharType="end"/>
      </w:r>
    </w:p>
    <w:p w14:paraId="668C7710" w14:textId="77777777" w:rsidR="000D12EC" w:rsidRDefault="00DE0762">
      <w:pPr>
        <w:pStyle w:val="Nadpis1"/>
      </w:pPr>
      <w:bookmarkStart w:id="0" w:name="_Toc297025039"/>
      <w:bookmarkStart w:id="1" w:name="_Toc297025068"/>
      <w:bookmarkStart w:id="2" w:name="_Toc297025216"/>
      <w:bookmarkStart w:id="3" w:name="_Toc297025395"/>
      <w:bookmarkStart w:id="4" w:name="_Toc297025536"/>
      <w:bookmarkStart w:id="5" w:name="_Toc297029771"/>
      <w:bookmarkStart w:id="6" w:name="_Toc297029810"/>
      <w:bookmarkStart w:id="7" w:name="_Toc297106456"/>
      <w:bookmarkStart w:id="8" w:name="_Toc297112135"/>
      <w:bookmarkStart w:id="9" w:name="_Toc297117319"/>
      <w:bookmarkStart w:id="10" w:name="_Toc297117332"/>
      <w:bookmarkStart w:id="11" w:name="_Toc297117345"/>
      <w:bookmarkStart w:id="12" w:name="_Toc297117358"/>
      <w:bookmarkStart w:id="13" w:name="_Toc297117377"/>
      <w:bookmarkStart w:id="14" w:name="_Toc297121704"/>
      <w:bookmarkStart w:id="15" w:name="_Toc304191914"/>
      <w:bookmarkStart w:id="16" w:name="_Toc304191927"/>
      <w:bookmarkStart w:id="17" w:name="_Toc304192024"/>
      <w:bookmarkStart w:id="18" w:name="_Toc304192037"/>
      <w:bookmarkStart w:id="19" w:name="_Toc304294012"/>
      <w:bookmarkStart w:id="20" w:name="_Toc304294608"/>
      <w:bookmarkStart w:id="21" w:name="_Toc438216068"/>
      <w:bookmarkStart w:id="22" w:name="_Toc441137327"/>
      <w:r>
        <w:lastRenderedPageBreak/>
        <w:t>Popis účetní jednotky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35C08345" w14:textId="77777777" w:rsidR="000D12EC" w:rsidRDefault="000D12EC">
      <w:pPr>
        <w:autoSpaceDE w:val="0"/>
        <w:spacing w:after="0" w:line="240" w:lineRule="auto"/>
        <w:ind w:left="708"/>
        <w:rPr>
          <w:rFonts w:cs="Calibri"/>
          <w:b/>
          <w:bCs/>
        </w:rPr>
      </w:pPr>
    </w:p>
    <w:p w14:paraId="3578BB78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Název</w:t>
      </w:r>
      <w:r>
        <w:rPr>
          <w:rFonts w:cs="Calibri"/>
        </w:rPr>
        <w:t xml:space="preserve">: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Mosmota s.r.o.</w:t>
      </w:r>
    </w:p>
    <w:p w14:paraId="73BCB66B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Sídlo</w:t>
      </w:r>
      <w:r>
        <w:rPr>
          <w:rFonts w:cs="Calibri"/>
        </w:rPr>
        <w:t xml:space="preserve">: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Vinohradská 2828/151 , PSČ 130 00, Praha 3</w:t>
      </w:r>
    </w:p>
    <w:p w14:paraId="29AF202F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Právní forma</w:t>
      </w:r>
      <w:r>
        <w:rPr>
          <w:rFonts w:cs="Calibri"/>
        </w:rPr>
        <w:t xml:space="preserve">: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 w:rsidR="001204BA">
        <w:rPr>
          <w:rFonts w:cs="Calibri"/>
        </w:rPr>
        <w:t>společnost s ručením omezeným</w:t>
      </w:r>
    </w:p>
    <w:p w14:paraId="3E72618C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IČ</w:t>
      </w:r>
      <w:r>
        <w:rPr>
          <w:rFonts w:cs="Calibri"/>
        </w:rPr>
        <w:t>: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06687172</w:t>
      </w:r>
    </w:p>
    <w:p w14:paraId="451513B9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Předmět podnikání</w:t>
      </w:r>
      <w:r>
        <w:rPr>
          <w:rFonts w:cs="Calibri"/>
        </w:rPr>
        <w:t>:</w:t>
      </w:r>
      <w:r>
        <w:rPr>
          <w:rFonts w:cs="Calibri"/>
        </w:rPr>
        <w:tab/>
        <w:t xml:space="preserve"> </w:t>
      </w:r>
      <w:r>
        <w:rPr>
          <w:rFonts w:cs="Calibri"/>
        </w:rPr>
        <w:tab/>
      </w:r>
      <w:r>
        <w:rPr>
          <w:rFonts w:cs="Calibri"/>
        </w:rPr>
        <w:tab/>
        <w:t>pronájem nemovitostí a nebytových prostor</w:t>
      </w:r>
    </w:p>
    <w:p w14:paraId="54A26E35" w14:textId="7777777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Den vzniku účetní jednotky</w:t>
      </w:r>
      <w:r>
        <w:rPr>
          <w:rFonts w:cs="Calibri"/>
        </w:rPr>
        <w:t xml:space="preserve">: </w:t>
      </w:r>
      <w:r>
        <w:rPr>
          <w:rFonts w:cs="Calibri"/>
        </w:rPr>
        <w:tab/>
      </w:r>
      <w:r>
        <w:rPr>
          <w:rFonts w:cs="Calibri"/>
        </w:rPr>
        <w:tab/>
      </w:r>
      <w:r w:rsidR="001204BA">
        <w:rPr>
          <w:rFonts w:cs="Calibri"/>
        </w:rPr>
        <w:t>15.12.2017</w:t>
      </w:r>
    </w:p>
    <w:p w14:paraId="766AC476" w14:textId="4A603437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Zdaňovací období</w:t>
      </w:r>
      <w:r w:rsidR="001204BA">
        <w:rPr>
          <w:rFonts w:cs="Calibri"/>
        </w:rPr>
        <w:t xml:space="preserve">: </w:t>
      </w:r>
      <w:r w:rsidR="001204BA">
        <w:rPr>
          <w:rFonts w:cs="Calibri"/>
        </w:rPr>
        <w:tab/>
      </w:r>
      <w:r w:rsidR="001204BA">
        <w:rPr>
          <w:rFonts w:cs="Calibri"/>
        </w:rPr>
        <w:tab/>
      </w:r>
      <w:r w:rsidR="001204BA">
        <w:rPr>
          <w:rFonts w:cs="Calibri"/>
        </w:rPr>
        <w:tab/>
        <w:t>od 1.1.202</w:t>
      </w:r>
      <w:r w:rsidR="00392C1D">
        <w:rPr>
          <w:rFonts w:cs="Calibri"/>
        </w:rPr>
        <w:t>5</w:t>
      </w:r>
      <w:r w:rsidR="001204BA">
        <w:rPr>
          <w:rFonts w:cs="Calibri"/>
        </w:rPr>
        <w:t xml:space="preserve"> do 3</w:t>
      </w:r>
      <w:r w:rsidR="00035031">
        <w:rPr>
          <w:rFonts w:cs="Calibri"/>
        </w:rPr>
        <w:t>1</w:t>
      </w:r>
      <w:r>
        <w:rPr>
          <w:rFonts w:cs="Calibri"/>
        </w:rPr>
        <w:t>.</w:t>
      </w:r>
      <w:r w:rsidR="00035031">
        <w:rPr>
          <w:rFonts w:cs="Calibri"/>
        </w:rPr>
        <w:t>12</w:t>
      </w:r>
      <w:r>
        <w:rPr>
          <w:rFonts w:cs="Calibri"/>
        </w:rPr>
        <w:t>.202</w:t>
      </w:r>
      <w:r w:rsidR="00392C1D">
        <w:rPr>
          <w:rFonts w:cs="Calibri"/>
        </w:rPr>
        <w:t>5</w:t>
      </w:r>
    </w:p>
    <w:p w14:paraId="78FFE191" w14:textId="52F1543A" w:rsidR="000D12EC" w:rsidRDefault="00DE0762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Rozvahový den</w:t>
      </w:r>
      <w:r w:rsidR="001204BA">
        <w:rPr>
          <w:rFonts w:cs="Calibri"/>
        </w:rPr>
        <w:t xml:space="preserve">: </w:t>
      </w:r>
      <w:r w:rsidR="001204BA">
        <w:rPr>
          <w:rFonts w:cs="Calibri"/>
        </w:rPr>
        <w:tab/>
      </w:r>
      <w:r w:rsidR="001204BA">
        <w:rPr>
          <w:rFonts w:cs="Calibri"/>
        </w:rPr>
        <w:tab/>
      </w:r>
      <w:r w:rsidR="001204BA">
        <w:rPr>
          <w:rFonts w:cs="Calibri"/>
        </w:rPr>
        <w:tab/>
        <w:t>3</w:t>
      </w:r>
      <w:r w:rsidR="00035031">
        <w:rPr>
          <w:rFonts w:cs="Calibri"/>
        </w:rPr>
        <w:t>1</w:t>
      </w:r>
      <w:r w:rsidR="001204BA">
        <w:rPr>
          <w:rFonts w:cs="Calibri"/>
        </w:rPr>
        <w:t>.</w:t>
      </w:r>
      <w:r w:rsidR="00035031">
        <w:rPr>
          <w:rFonts w:cs="Calibri"/>
        </w:rPr>
        <w:t>12</w:t>
      </w:r>
      <w:r>
        <w:rPr>
          <w:rFonts w:cs="Calibri"/>
        </w:rPr>
        <w:t>.202</w:t>
      </w:r>
      <w:r w:rsidR="00392C1D">
        <w:rPr>
          <w:rFonts w:cs="Calibri"/>
        </w:rPr>
        <w:t>5</w:t>
      </w:r>
    </w:p>
    <w:p w14:paraId="6852BA23" w14:textId="78BDC47E" w:rsidR="000D12EC" w:rsidRPr="001A4515" w:rsidRDefault="00DE0762" w:rsidP="001A4515">
      <w:pPr>
        <w:autoSpaceDE w:val="0"/>
        <w:spacing w:after="0" w:line="240" w:lineRule="auto"/>
        <w:ind w:left="708"/>
      </w:pPr>
      <w:r>
        <w:rPr>
          <w:rFonts w:cs="Calibri"/>
          <w:b/>
          <w:bCs/>
        </w:rPr>
        <w:t>Okamžik sestavení účetní závěrky</w:t>
      </w:r>
      <w:r>
        <w:rPr>
          <w:rFonts w:cs="Calibri"/>
        </w:rPr>
        <w:t>:</w:t>
      </w:r>
      <w:r>
        <w:rPr>
          <w:rFonts w:cs="Calibri"/>
        </w:rPr>
        <w:tab/>
      </w:r>
      <w:r w:rsidR="00392C1D">
        <w:rPr>
          <w:rFonts w:cs="Calibri"/>
        </w:rPr>
        <w:t>27</w:t>
      </w:r>
      <w:r w:rsidR="001204BA">
        <w:rPr>
          <w:rFonts w:cs="Calibri"/>
        </w:rPr>
        <w:t>.</w:t>
      </w:r>
      <w:r w:rsidR="00392C1D">
        <w:rPr>
          <w:rFonts w:cs="Calibri"/>
        </w:rPr>
        <w:t>02</w:t>
      </w:r>
      <w:r>
        <w:rPr>
          <w:rFonts w:cs="Calibri"/>
        </w:rPr>
        <w:t>.202</w:t>
      </w:r>
      <w:r w:rsidR="00392C1D">
        <w:rPr>
          <w:rFonts w:cs="Calibri"/>
        </w:rPr>
        <w:t>6</w:t>
      </w:r>
    </w:p>
    <w:p w14:paraId="48BBC0A8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65DAD51B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172E521D" w14:textId="77777777" w:rsidR="000D12EC" w:rsidRDefault="00DE0762">
      <w:pPr>
        <w:pStyle w:val="Nadpis1"/>
      </w:pPr>
      <w:bookmarkStart w:id="23" w:name="_Toc438216069"/>
      <w:bookmarkStart w:id="24" w:name="_Toc441137328"/>
      <w:r>
        <w:t>Použité obecné účetní zásady, účetní metody a odchylky od těchto metod</w:t>
      </w:r>
      <w:bookmarkEnd w:id="23"/>
      <w:bookmarkEnd w:id="24"/>
    </w:p>
    <w:p w14:paraId="6710EC30" w14:textId="77777777" w:rsidR="000D12EC" w:rsidRDefault="000D12EC">
      <w:pPr>
        <w:autoSpaceDE w:val="0"/>
        <w:spacing w:after="0" w:line="240" w:lineRule="auto"/>
        <w:rPr>
          <w:rFonts w:cs="Calibri"/>
          <w:b/>
          <w:bCs/>
        </w:rPr>
      </w:pPr>
    </w:p>
    <w:p w14:paraId="0F41DC7C" w14:textId="77777777" w:rsidR="000D12EC" w:rsidRDefault="00DE0762">
      <w:pPr>
        <w:pStyle w:val="Nadpis2"/>
      </w:pPr>
      <w:r>
        <w:t>Použité obecné účetní zásady</w:t>
      </w:r>
    </w:p>
    <w:p w14:paraId="6CB43BDD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59697DAD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Dle zákona</w:t>
      </w:r>
    </w:p>
    <w:p w14:paraId="1463A617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4DE78C42" w14:textId="77777777" w:rsidR="000D12EC" w:rsidRDefault="00DE0762">
      <w:pPr>
        <w:pStyle w:val="Nadpis2"/>
      </w:pPr>
      <w:r>
        <w:t>Použité účetní metody</w:t>
      </w:r>
    </w:p>
    <w:p w14:paraId="46FC99E4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3A89877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Dle zákona</w:t>
      </w:r>
    </w:p>
    <w:p w14:paraId="27D6D4E3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77B1D0B1" w14:textId="77777777" w:rsidR="000D12EC" w:rsidRDefault="00DE0762">
      <w:pPr>
        <w:pStyle w:val="Nadpis2"/>
      </w:pPr>
      <w:r>
        <w:t>Informace o odchylkách od metod podle § 7 odst. 5 zákona o účetnictví s uvedením jejich vlivu na majetek a závazky, na finanční situaci a výsledek hospodaření účetní jednotky</w:t>
      </w:r>
    </w:p>
    <w:p w14:paraId="7BA01A65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48219DE3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4CB2D76B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9F30E4B" w14:textId="77777777" w:rsidR="000D12EC" w:rsidRDefault="00DE0762">
      <w:pPr>
        <w:pStyle w:val="Nadpis2"/>
      </w:pPr>
      <w:r>
        <w:t>Způsob oceňování majetku a závazků</w:t>
      </w:r>
    </w:p>
    <w:p w14:paraId="2C784523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1D012D27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6B91DE1E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5603051B" w14:textId="77777777" w:rsidR="000D12EC" w:rsidRDefault="00DE0762">
      <w:pPr>
        <w:pStyle w:val="Nadpis2"/>
      </w:pPr>
      <w:r>
        <w:t>Způsob stanovení úprav hodnot majetku (odpisy a opravné položky)</w:t>
      </w:r>
    </w:p>
    <w:p w14:paraId="4CE7BF57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71A440F9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Dle zákona</w:t>
      </w:r>
    </w:p>
    <w:p w14:paraId="2ECBD471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5CA1ACE5" w14:textId="77777777" w:rsidR="000D12EC" w:rsidRDefault="00DE0762">
      <w:pPr>
        <w:pStyle w:val="Nadpis2"/>
      </w:pPr>
      <w:r>
        <w:t>Způsob přepočtu údajů v cizích měnách na českou měnu</w:t>
      </w:r>
    </w:p>
    <w:p w14:paraId="4172AFB9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7CC2093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Dle denního kursu ČNB</w:t>
      </w:r>
    </w:p>
    <w:p w14:paraId="1D0A9579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244AE9F2" w14:textId="77777777" w:rsidR="000D12EC" w:rsidRDefault="00DE0762">
      <w:pPr>
        <w:pStyle w:val="Nadpis2"/>
      </w:pPr>
      <w:r>
        <w:t>Stanovení reálné hodnoty majetku a závazků</w:t>
      </w:r>
    </w:p>
    <w:p w14:paraId="68FDB424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7F4B100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Dle zákona</w:t>
      </w:r>
    </w:p>
    <w:p w14:paraId="313AB9D5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34F7E850" w14:textId="77777777" w:rsidR="000D12EC" w:rsidRDefault="00DE0762">
      <w:pPr>
        <w:pStyle w:val="Nadpis2"/>
      </w:pPr>
      <w:r>
        <w:t>Použitý oceňovací model a technika při ocenění reálnou hodnotou</w:t>
      </w:r>
    </w:p>
    <w:p w14:paraId="259806ED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544E7EF9" w14:textId="77777777" w:rsidR="000D12EC" w:rsidRDefault="001204BA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174B0D3B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35474436" w14:textId="77777777" w:rsidR="000D12EC" w:rsidRDefault="00DE0762">
      <w:pPr>
        <w:pStyle w:val="Nadpis1"/>
      </w:pPr>
      <w:bookmarkStart w:id="25" w:name="_Toc438216070"/>
      <w:bookmarkStart w:id="26" w:name="_Toc441137329"/>
      <w:r>
        <w:t>Informace k položkám závazkových vztahů</w:t>
      </w:r>
      <w:bookmarkEnd w:id="25"/>
      <w:bookmarkEnd w:id="26"/>
      <w:r>
        <w:t xml:space="preserve"> </w:t>
      </w:r>
    </w:p>
    <w:p w14:paraId="38DC8B61" w14:textId="77777777" w:rsidR="000D12EC" w:rsidRDefault="00DE0762">
      <w:pPr>
        <w:pStyle w:val="Nadpis2"/>
      </w:pPr>
      <w:r>
        <w:lastRenderedPageBreak/>
        <w:t>Závazkové vztahy (pohledávky a dluhy), které k rozvahovému dni mají dobu splatnosti delší než 5 let</w:t>
      </w:r>
    </w:p>
    <w:p w14:paraId="7FDBD7F5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2FF8DC66" w14:textId="77777777" w:rsidR="000D12EC" w:rsidRDefault="001204BA">
      <w:pPr>
        <w:autoSpaceDE w:val="0"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792BFB69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16C2C441" w14:textId="77777777" w:rsidR="000D12EC" w:rsidRDefault="00DE0762">
      <w:pPr>
        <w:pStyle w:val="Nadpis2"/>
      </w:pPr>
      <w:r>
        <w:t>Závazkové vztahy (pohledávky a dluhy), které jsou kryty věcnými zárukami</w:t>
      </w:r>
    </w:p>
    <w:p w14:paraId="48EFB918" w14:textId="77777777" w:rsidR="000D12EC" w:rsidRDefault="000D12EC">
      <w:pPr>
        <w:spacing w:after="0"/>
      </w:pPr>
    </w:p>
    <w:p w14:paraId="2F9CB280" w14:textId="77777777" w:rsidR="000D12EC" w:rsidRDefault="001204BA">
      <w:pPr>
        <w:spacing w:after="0"/>
      </w:pPr>
      <w:r>
        <w:t>Nemá náplň</w:t>
      </w:r>
    </w:p>
    <w:p w14:paraId="12621331" w14:textId="77777777" w:rsidR="000D12EC" w:rsidRDefault="000D12EC">
      <w:pPr>
        <w:spacing w:after="0"/>
      </w:pPr>
    </w:p>
    <w:p w14:paraId="5786F6FF" w14:textId="77777777" w:rsidR="000D12EC" w:rsidRDefault="00DE0762">
      <w:pPr>
        <w:pStyle w:val="Nadpis2"/>
      </w:pPr>
      <w:r>
        <w:t>Zálohy, závdavky, zápůjčky a úvěry poskytnuté členům řídících, kontrolních a případně správních orgánů</w:t>
      </w:r>
    </w:p>
    <w:p w14:paraId="6FBE7751" w14:textId="77777777" w:rsidR="000D12EC" w:rsidRDefault="000D12EC">
      <w:pPr>
        <w:spacing w:after="0"/>
      </w:pPr>
    </w:p>
    <w:p w14:paraId="78F440BB" w14:textId="77777777" w:rsidR="000D12EC" w:rsidRDefault="001204BA">
      <w:pPr>
        <w:spacing w:after="0"/>
      </w:pPr>
      <w:r>
        <w:t>Nemá náplň</w:t>
      </w:r>
    </w:p>
    <w:p w14:paraId="4D642BC3" w14:textId="77777777" w:rsidR="000D12EC" w:rsidRDefault="000D12EC">
      <w:pPr>
        <w:spacing w:after="0"/>
      </w:pPr>
    </w:p>
    <w:p w14:paraId="03A5BBB7" w14:textId="77777777" w:rsidR="000D12EC" w:rsidRDefault="00DE0762">
      <w:pPr>
        <w:pStyle w:val="Nadpis2"/>
      </w:pPr>
      <w:r>
        <w:t>Závazkové vztahy (pohledávky a dluhy), podmíněné závazkové vztahy a poskytnuté věcné záruky, které nejsou vykázány v rozvaze</w:t>
      </w:r>
    </w:p>
    <w:p w14:paraId="081F14CE" w14:textId="77777777" w:rsidR="000D12EC" w:rsidRDefault="000D12EC">
      <w:pPr>
        <w:spacing w:after="0"/>
      </w:pPr>
    </w:p>
    <w:p w14:paraId="2B6DD497" w14:textId="77777777" w:rsidR="000D12EC" w:rsidRDefault="001204BA">
      <w:pPr>
        <w:spacing w:after="0"/>
      </w:pPr>
      <w:r>
        <w:t>Nemá náplň</w:t>
      </w:r>
    </w:p>
    <w:p w14:paraId="13A75E34" w14:textId="77777777" w:rsidR="000D12EC" w:rsidRDefault="000D12EC">
      <w:pPr>
        <w:spacing w:after="0"/>
      </w:pPr>
    </w:p>
    <w:p w14:paraId="16D5B680" w14:textId="77777777" w:rsidR="000D12EC" w:rsidRDefault="00DE0762">
      <w:pPr>
        <w:pStyle w:val="Nadpis2"/>
      </w:pPr>
      <w:r>
        <w:t>Penzijní závazky a závazky vůči účetním jednotkám v konsolidačním celku a přidruženým účetním jednotkám</w:t>
      </w:r>
    </w:p>
    <w:p w14:paraId="1FC71C87" w14:textId="77777777" w:rsidR="000D12EC" w:rsidRDefault="000D12EC">
      <w:pPr>
        <w:spacing w:after="0"/>
      </w:pPr>
    </w:p>
    <w:p w14:paraId="349E1A38" w14:textId="77777777" w:rsidR="000D12EC" w:rsidRDefault="001204BA">
      <w:pPr>
        <w:spacing w:after="0"/>
      </w:pPr>
      <w:r>
        <w:t>Nemá náplň</w:t>
      </w:r>
    </w:p>
    <w:p w14:paraId="08ACE8BE" w14:textId="77777777" w:rsidR="000D12EC" w:rsidRDefault="000D12EC">
      <w:pPr>
        <w:spacing w:after="0"/>
      </w:pPr>
    </w:p>
    <w:p w14:paraId="6C696762" w14:textId="77777777" w:rsidR="000D12EC" w:rsidRDefault="00DE0762">
      <w:pPr>
        <w:pStyle w:val="Nadpis1"/>
      </w:pPr>
      <w:bookmarkStart w:id="27" w:name="_Toc438216071"/>
      <w:bookmarkStart w:id="28" w:name="_Toc441137330"/>
      <w:r>
        <w:t>Výše a povaha jednotlivých položek výnosů a nákladů, které jsou mimořádné svým objemem nebo původem</w:t>
      </w:r>
      <w:bookmarkEnd w:id="27"/>
      <w:bookmarkEnd w:id="28"/>
    </w:p>
    <w:p w14:paraId="22B01ACE" w14:textId="77777777" w:rsidR="000D12EC" w:rsidRDefault="000D12EC">
      <w:pPr>
        <w:spacing w:after="0"/>
      </w:pPr>
    </w:p>
    <w:p w14:paraId="59012295" w14:textId="77777777" w:rsidR="000D12EC" w:rsidRDefault="001204BA">
      <w:pPr>
        <w:spacing w:after="0"/>
      </w:pPr>
      <w:r>
        <w:t>Nemá náplň</w:t>
      </w:r>
    </w:p>
    <w:p w14:paraId="1B988E7D" w14:textId="77777777" w:rsidR="000D12EC" w:rsidRDefault="000D12EC">
      <w:pPr>
        <w:spacing w:after="0"/>
      </w:pPr>
    </w:p>
    <w:p w14:paraId="469F1B84" w14:textId="77777777" w:rsidR="000D12EC" w:rsidRDefault="00DE0762">
      <w:pPr>
        <w:pStyle w:val="Nadpis1"/>
      </w:pPr>
      <w:bookmarkStart w:id="29" w:name="_Toc438216072"/>
      <w:bookmarkStart w:id="30" w:name="_Toc441137331"/>
      <w:r>
        <w:t>Průměrný počet zaměstnanců dle kategorií v průběhu účetního období</w:t>
      </w:r>
      <w:bookmarkEnd w:id="29"/>
      <w:bookmarkEnd w:id="30"/>
      <w:r>
        <w:t xml:space="preserve"> </w:t>
      </w:r>
    </w:p>
    <w:p w14:paraId="60EF6314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tbl>
      <w:tblPr>
        <w:tblW w:w="8647" w:type="dxa"/>
        <w:tblInd w:w="2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3"/>
        <w:gridCol w:w="2694"/>
      </w:tblGrid>
      <w:tr w:rsidR="000D12EC" w14:paraId="6ABCB275" w14:textId="77777777">
        <w:trPr>
          <w:trHeight w:val="315"/>
        </w:trPr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B8E515" w14:textId="77777777" w:rsidR="000D12EC" w:rsidRDefault="00DE0762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cs-CZ"/>
              </w:rPr>
            </w:pPr>
            <w:r>
              <w:rPr>
                <w:rFonts w:eastAsia="Times New Roman" w:cs="Calibri"/>
                <w:b/>
                <w:color w:val="000000"/>
                <w:lang w:eastAsia="cs-CZ"/>
              </w:rPr>
              <w:t> 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394946" w14:textId="77777777" w:rsidR="000D12EC" w:rsidRDefault="00DE0762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cs-CZ"/>
              </w:rPr>
            </w:pPr>
            <w:r>
              <w:rPr>
                <w:rFonts w:eastAsia="Times New Roman" w:cs="Calibri"/>
                <w:b/>
                <w:color w:val="000000"/>
                <w:lang w:eastAsia="cs-CZ"/>
              </w:rPr>
              <w:t xml:space="preserve"> Sledované účetní období</w:t>
            </w:r>
          </w:p>
        </w:tc>
      </w:tr>
      <w:tr w:rsidR="000D12EC" w14:paraId="13EE181B" w14:textId="77777777">
        <w:trPr>
          <w:trHeight w:val="300"/>
        </w:trPr>
        <w:tc>
          <w:tcPr>
            <w:tcW w:w="5953" w:type="dxa"/>
            <w:tcBorders>
              <w:lef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4171CE7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Průměrný počet zaměstnanců</w:t>
            </w:r>
          </w:p>
        </w:tc>
        <w:tc>
          <w:tcPr>
            <w:tcW w:w="2694" w:type="dxa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5BCB810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</w:p>
        </w:tc>
      </w:tr>
      <w:tr w:rsidR="000D12EC" w14:paraId="570E100C" w14:textId="77777777">
        <w:trPr>
          <w:trHeight w:val="300"/>
        </w:trPr>
        <w:tc>
          <w:tcPr>
            <w:tcW w:w="5953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1F7291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z toho členů řídících orgánů</w:t>
            </w:r>
          </w:p>
          <w:p w14:paraId="417AE557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z toho členů kontrolních orgánů</w:t>
            </w:r>
          </w:p>
          <w:p w14:paraId="22BD0B15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z toho členů správních orgánů</w:t>
            </w: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95EDB40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  <w:r w:rsidR="001204BA">
              <w:rPr>
                <w:rFonts w:eastAsia="Times New Roman" w:cs="Calibri"/>
                <w:color w:val="000000"/>
                <w:lang w:eastAsia="cs-CZ"/>
              </w:rPr>
              <w:t>0</w:t>
            </w:r>
          </w:p>
        </w:tc>
      </w:tr>
      <w:tr w:rsidR="000D12EC" w14:paraId="547A9B64" w14:textId="77777777">
        <w:trPr>
          <w:trHeight w:val="300"/>
        </w:trPr>
        <w:tc>
          <w:tcPr>
            <w:tcW w:w="59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18A887B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Výše přiznaných odměn</w:t>
            </w:r>
          </w:p>
          <w:p w14:paraId="4AA2B4A5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členům řídících orgánů</w:t>
            </w:r>
          </w:p>
          <w:p w14:paraId="5EF8EF3D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členům kontrolních orgánů</w:t>
            </w:r>
          </w:p>
          <w:p w14:paraId="0EFED413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členům správních orgánů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11A995E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  <w:r w:rsidR="001204BA">
              <w:rPr>
                <w:rFonts w:eastAsia="Times New Roman" w:cs="Calibri"/>
                <w:color w:val="000000"/>
                <w:lang w:eastAsia="cs-CZ"/>
              </w:rPr>
              <w:t>0</w:t>
            </w:r>
          </w:p>
        </w:tc>
      </w:tr>
      <w:tr w:rsidR="000D12EC" w14:paraId="6C850335" w14:textId="77777777">
        <w:trPr>
          <w:trHeight w:val="315"/>
        </w:trPr>
        <w:tc>
          <w:tcPr>
            <w:tcW w:w="595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EA828E9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Výše vzniklých nebo sjednaných penzijních závazků</w:t>
            </w:r>
          </w:p>
          <w:p w14:paraId="14366DD4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bývalých členů řídících orgánů</w:t>
            </w:r>
          </w:p>
          <w:p w14:paraId="0720292C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bývalých členů kontrolních orgánů</w:t>
            </w:r>
          </w:p>
          <w:p w14:paraId="77D83793" w14:textId="77777777" w:rsidR="000D12EC" w:rsidRDefault="00DE0762">
            <w:pPr>
              <w:spacing w:after="0" w:line="240" w:lineRule="auto"/>
            </w:pPr>
            <w:r>
              <w:rPr>
                <w:rFonts w:eastAsia="Times New Roman" w:cs="Calibri"/>
                <w:color w:val="000000"/>
                <w:lang w:eastAsia="cs-CZ"/>
              </w:rPr>
              <w:t>bývalých členů správních orgánů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CD90441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  <w:r w:rsidR="001204BA">
              <w:rPr>
                <w:rFonts w:eastAsia="Times New Roman" w:cs="Calibri"/>
                <w:color w:val="000000"/>
                <w:lang w:eastAsia="cs-CZ"/>
              </w:rPr>
              <w:t>0</w:t>
            </w:r>
          </w:p>
        </w:tc>
      </w:tr>
    </w:tbl>
    <w:p w14:paraId="45D9010A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3109AEFB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5B8A9E8F" w14:textId="77777777" w:rsidR="000D12EC" w:rsidRDefault="00DE0762">
      <w:pPr>
        <w:pStyle w:val="Nadpis1"/>
      </w:pPr>
      <w:bookmarkStart w:id="31" w:name="_Toc438216073"/>
      <w:bookmarkStart w:id="32" w:name="_Toc441137332"/>
      <w:r>
        <w:lastRenderedPageBreak/>
        <w:t>Informace o konsolidovaných účetních jednotkách a přidružených účetních jednotkách</w:t>
      </w:r>
      <w:bookmarkEnd w:id="31"/>
      <w:bookmarkEnd w:id="32"/>
    </w:p>
    <w:p w14:paraId="6FF1C9CF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29D7FFB0" w14:textId="77777777" w:rsidR="000D12EC" w:rsidRDefault="001204BA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5E78D595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7ECA1A9D" w14:textId="77777777" w:rsidR="000D12EC" w:rsidRDefault="00DE0762">
      <w:pPr>
        <w:pStyle w:val="Nadpis2"/>
      </w:pPr>
      <w:r>
        <w:t>Účetní jednotky, v nichž je účetní jednotka společníkem s neomezeným ručením</w:t>
      </w:r>
    </w:p>
    <w:p w14:paraId="2A6BF006" w14:textId="77777777" w:rsidR="000D12EC" w:rsidRDefault="000D12EC">
      <w:pPr>
        <w:spacing w:after="0"/>
      </w:pPr>
    </w:p>
    <w:p w14:paraId="09E3DABE" w14:textId="77777777" w:rsidR="000D12EC" w:rsidRDefault="004F0442">
      <w:pPr>
        <w:spacing w:after="0"/>
      </w:pPr>
      <w:r>
        <w:t>Nemá náplň</w:t>
      </w:r>
    </w:p>
    <w:p w14:paraId="389D38DA" w14:textId="77777777" w:rsidR="000D12EC" w:rsidRDefault="000D12EC">
      <w:pPr>
        <w:spacing w:after="0"/>
      </w:pPr>
    </w:p>
    <w:p w14:paraId="029ADA1E" w14:textId="77777777" w:rsidR="000D12EC" w:rsidRDefault="00DE0762">
      <w:pPr>
        <w:pStyle w:val="Nadpis2"/>
      </w:pPr>
      <w:r>
        <w:t>Účetní jednotka, která sestavuje konsolidovanou účetní závěrku nejširší skupiny účetních jednotek</w:t>
      </w:r>
    </w:p>
    <w:p w14:paraId="09AE58FD" w14:textId="77777777" w:rsidR="000D12EC" w:rsidRDefault="000D12EC">
      <w:pPr>
        <w:spacing w:after="0"/>
      </w:pPr>
    </w:p>
    <w:p w14:paraId="00989C36" w14:textId="77777777" w:rsidR="000D12EC" w:rsidRDefault="004F0442">
      <w:pPr>
        <w:spacing w:after="0"/>
      </w:pPr>
      <w:r>
        <w:t>Nemá náplň</w:t>
      </w:r>
    </w:p>
    <w:p w14:paraId="0E42AEF9" w14:textId="77777777" w:rsidR="000D12EC" w:rsidRDefault="000D12EC">
      <w:pPr>
        <w:spacing w:after="0"/>
      </w:pPr>
    </w:p>
    <w:p w14:paraId="2F3F3BBB" w14:textId="77777777" w:rsidR="000D12EC" w:rsidRDefault="00DE0762">
      <w:pPr>
        <w:pStyle w:val="Nadpis2"/>
      </w:pPr>
      <w:r>
        <w:t>Účetní jednotka, která sestavuje konsolidovanou účetní závěrku nejužší skupiny účetních jednotek</w:t>
      </w:r>
    </w:p>
    <w:p w14:paraId="27E35465" w14:textId="77777777" w:rsidR="000D12EC" w:rsidRDefault="000D12EC">
      <w:pPr>
        <w:spacing w:after="0"/>
      </w:pPr>
    </w:p>
    <w:p w14:paraId="572969E7" w14:textId="77777777" w:rsidR="000D12EC" w:rsidRDefault="004F0442">
      <w:pPr>
        <w:spacing w:after="0"/>
      </w:pPr>
      <w:r>
        <w:t>Nemá náplň</w:t>
      </w:r>
    </w:p>
    <w:p w14:paraId="6AD09A22" w14:textId="77777777" w:rsidR="000D12EC" w:rsidRDefault="000D12EC">
      <w:pPr>
        <w:spacing w:after="0"/>
      </w:pPr>
    </w:p>
    <w:p w14:paraId="62786118" w14:textId="77777777" w:rsidR="000D12EC" w:rsidRDefault="00DE0762">
      <w:pPr>
        <w:pStyle w:val="Nadpis1"/>
      </w:pPr>
      <w:bookmarkStart w:id="33" w:name="_Toc438216074"/>
      <w:bookmarkStart w:id="34" w:name="_Toc441137333"/>
      <w:r>
        <w:t>Cenné papíry vydané účetní jednotkou</w:t>
      </w:r>
      <w:bookmarkEnd w:id="33"/>
      <w:bookmarkEnd w:id="34"/>
    </w:p>
    <w:p w14:paraId="3F31C42A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733F4F0E" w14:textId="77777777" w:rsidR="000D12EC" w:rsidRDefault="004F0442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55248927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75AE85EA" w14:textId="77777777" w:rsidR="000D12EC" w:rsidRDefault="00DE0762">
      <w:pPr>
        <w:pStyle w:val="Nadpis1"/>
      </w:pPr>
      <w:bookmarkStart w:id="35" w:name="_Toc438216075"/>
      <w:bookmarkStart w:id="36" w:name="_Toc441137334"/>
      <w:r>
        <w:t>Informace o rozdělení zisku nebo vypořádání ztráty</w:t>
      </w:r>
      <w:bookmarkEnd w:id="35"/>
      <w:bookmarkEnd w:id="36"/>
    </w:p>
    <w:p w14:paraId="43545FAA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16E6C7C4" w14:textId="562B748F" w:rsidR="000D12EC" w:rsidRDefault="004F0442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Ztrát</w:t>
      </w:r>
      <w:r w:rsidR="001213F3">
        <w:rPr>
          <w:rFonts w:cs="Calibri"/>
          <w:bCs/>
        </w:rPr>
        <w:t>a bude uhrazena ziskem let budoucích</w:t>
      </w:r>
    </w:p>
    <w:p w14:paraId="0C3319A8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1F6BEC71" w14:textId="77777777" w:rsidR="000D12EC" w:rsidRDefault="00DE0762">
      <w:pPr>
        <w:pStyle w:val="Nadpis1"/>
      </w:pPr>
      <w:bookmarkStart w:id="37" w:name="_Toc438216076"/>
      <w:bookmarkStart w:id="38" w:name="_Toc441137335"/>
      <w:r>
        <w:t>Informace o položkách dlouhodobých aktiv</w:t>
      </w:r>
      <w:bookmarkEnd w:id="37"/>
      <w:bookmarkEnd w:id="38"/>
    </w:p>
    <w:p w14:paraId="0A5A7D8D" w14:textId="77777777" w:rsidR="000D12EC" w:rsidRDefault="000D12EC">
      <w:pPr>
        <w:spacing w:after="0"/>
      </w:pPr>
    </w:p>
    <w:tbl>
      <w:tblPr>
        <w:tblW w:w="96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052"/>
        <w:gridCol w:w="1022"/>
        <w:gridCol w:w="993"/>
        <w:gridCol w:w="992"/>
        <w:gridCol w:w="992"/>
        <w:gridCol w:w="992"/>
        <w:gridCol w:w="851"/>
        <w:gridCol w:w="816"/>
      </w:tblGrid>
      <w:tr w:rsidR="000D12EC" w14:paraId="4CCF9F7F" w14:textId="77777777">
        <w:trPr>
          <w:trHeight w:val="300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8F3D2C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Dlouhodobá aktiva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2AAE9B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Počáteční stav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9402F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Přírůstky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A016AD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Úbytky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C92CF40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Konečný stav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725B360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Opravné položky a oprávky</w:t>
            </w:r>
          </w:p>
        </w:tc>
        <w:tc>
          <w:tcPr>
            <w:tcW w:w="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F3DB8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Úroky</w:t>
            </w:r>
          </w:p>
        </w:tc>
      </w:tr>
      <w:tr w:rsidR="000D12EC" w14:paraId="6C202412" w14:textId="77777777">
        <w:trPr>
          <w:trHeight w:val="300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6BB4E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  <w:tc>
          <w:tcPr>
            <w:tcW w:w="10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75F3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5EA95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B520FC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3BF28A2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7869475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Počátek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0FA42E5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Změna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BE4FE5F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Konec</w:t>
            </w:r>
          </w:p>
        </w:tc>
        <w:tc>
          <w:tcPr>
            <w:tcW w:w="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F3850" w14:textId="77777777" w:rsidR="000D12EC" w:rsidRDefault="000D12EC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</w:p>
        </w:tc>
      </w:tr>
      <w:tr w:rsidR="000D12EC" w14:paraId="4A82C937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814C851" w14:textId="287E60CD" w:rsidR="000D12EC" w:rsidRDefault="00DF25EA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P</w:t>
            </w:r>
            <w:r w:rsidR="004F0442">
              <w:rPr>
                <w:rFonts w:eastAsia="Times New Roman"/>
                <w:color w:val="000000"/>
                <w:lang w:eastAsia="cs-CZ"/>
              </w:rPr>
              <w:t>ozemky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5595FB" w14:textId="27CD783E" w:rsidR="000D12EC" w:rsidRDefault="004F30F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     38 960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E678DC2" w14:textId="39850C75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            </w:t>
            </w:r>
            <w:r w:rsidR="004F0442">
              <w:rPr>
                <w:rFonts w:eastAsia="Times New Roman"/>
                <w:color w:val="000000"/>
                <w:lang w:eastAsia="cs-CZ"/>
              </w:rPr>
              <w:t>0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5B62191" w14:textId="20115B9E" w:rsidR="000D12EC" w:rsidRDefault="00BF1564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            </w:t>
            </w:r>
            <w:r w:rsidR="00DE0762">
              <w:rPr>
                <w:rFonts w:eastAsia="Times New Roman"/>
                <w:color w:val="000000"/>
                <w:lang w:eastAsia="cs-CZ"/>
              </w:rPr>
              <w:t> </w:t>
            </w:r>
            <w:r w:rsidR="004F0442">
              <w:rPr>
                <w:rFonts w:eastAsia="Times New Roman"/>
                <w:color w:val="000000"/>
                <w:lang w:eastAsia="cs-CZ"/>
              </w:rPr>
              <w:t>0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732AC90" w14:textId="4EFA0DAE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 </w:t>
            </w:r>
            <w:r w:rsidR="00DF25EA">
              <w:rPr>
                <w:rFonts w:eastAsia="Times New Roman"/>
                <w:color w:val="000000"/>
                <w:lang w:eastAsia="cs-CZ"/>
              </w:rPr>
              <w:t>38 960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E12F7EF" w14:textId="1056069B" w:rsidR="000D12EC" w:rsidRDefault="00BF1564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8BE940B" w14:textId="05BE9048" w:rsidR="000D12EC" w:rsidRDefault="00BF1564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2424C88" w14:textId="071823FE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 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47EAB6A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4F0442">
              <w:rPr>
                <w:rFonts w:eastAsia="Times New Roman"/>
                <w:color w:val="000000"/>
                <w:lang w:eastAsia="cs-CZ"/>
              </w:rPr>
              <w:t>0</w:t>
            </w:r>
          </w:p>
        </w:tc>
      </w:tr>
      <w:tr w:rsidR="000D12EC" w14:paraId="7068CFCD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6E2D4E" w14:textId="69B1A31D" w:rsidR="000D12EC" w:rsidRDefault="00035031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Budovy</w:t>
            </w:r>
            <w:r w:rsidR="00DE0762"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BCCD983" w14:textId="24DDDF50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</w:t>
            </w:r>
            <w:r w:rsidR="00220190">
              <w:rPr>
                <w:rFonts w:eastAsia="Times New Roman"/>
                <w:color w:val="000000"/>
                <w:lang w:eastAsia="cs-CZ"/>
              </w:rPr>
              <w:t xml:space="preserve"> </w:t>
            </w:r>
            <w:r w:rsidR="00035031">
              <w:rPr>
                <w:rFonts w:eastAsia="Times New Roman"/>
                <w:color w:val="000000"/>
                <w:lang w:eastAsia="cs-CZ"/>
              </w:rPr>
              <w:t>4</w:t>
            </w:r>
            <w:r w:rsidR="00C46DA6">
              <w:rPr>
                <w:rFonts w:eastAsia="Times New Roman"/>
                <w:color w:val="000000"/>
                <w:lang w:eastAsia="cs-CZ"/>
              </w:rPr>
              <w:t>3</w:t>
            </w:r>
            <w:r w:rsidR="004F30F2">
              <w:rPr>
                <w:rFonts w:eastAsia="Times New Roman"/>
                <w:color w:val="000000"/>
                <w:lang w:eastAsia="cs-CZ"/>
              </w:rPr>
              <w:t>6 972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CC137B4" w14:textId="239DA31E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</w:t>
            </w:r>
            <w:r w:rsidR="00220190">
              <w:rPr>
                <w:rFonts w:eastAsia="Times New Roman"/>
                <w:color w:val="000000"/>
                <w:lang w:eastAsia="cs-CZ"/>
              </w:rPr>
              <w:t xml:space="preserve"> 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</w:t>
            </w:r>
            <w:r w:rsidR="00C46DA6">
              <w:rPr>
                <w:rFonts w:eastAsia="Times New Roman"/>
                <w:color w:val="000000"/>
                <w:lang w:eastAsia="cs-CZ"/>
              </w:rPr>
              <w:t xml:space="preserve">      </w:t>
            </w:r>
            <w:r w:rsidR="004F30F2">
              <w:rPr>
                <w:rFonts w:eastAsia="Times New Roman"/>
                <w:color w:val="000000"/>
                <w:lang w:eastAsia="cs-CZ"/>
              </w:rPr>
              <w:t>712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B82C850" w14:textId="2D84413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           </w:t>
            </w:r>
            <w:r w:rsidR="00035031">
              <w:rPr>
                <w:rFonts w:eastAsia="Times New Roman"/>
                <w:color w:val="000000"/>
                <w:lang w:eastAsia="cs-CZ"/>
              </w:rPr>
              <w:t>0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34B6953" w14:textId="6C3E69AB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220190">
              <w:rPr>
                <w:rFonts w:eastAsia="Times New Roman"/>
                <w:color w:val="000000"/>
                <w:lang w:eastAsia="cs-CZ"/>
              </w:rPr>
              <w:t xml:space="preserve"> </w:t>
            </w:r>
            <w:r w:rsidR="00BF1564">
              <w:rPr>
                <w:rFonts w:eastAsia="Times New Roman"/>
                <w:color w:val="000000"/>
                <w:lang w:eastAsia="cs-CZ"/>
              </w:rPr>
              <w:t>43</w:t>
            </w:r>
            <w:r w:rsidR="004F30F2">
              <w:rPr>
                <w:rFonts w:eastAsia="Times New Roman"/>
                <w:color w:val="000000"/>
                <w:lang w:eastAsia="cs-CZ"/>
              </w:rPr>
              <w:t>7 684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F145AD7" w14:textId="70E5451E" w:rsidR="000D12EC" w:rsidRDefault="00BF1564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   </w:t>
            </w:r>
            <w:r w:rsidR="004F30F2">
              <w:rPr>
                <w:rFonts w:eastAsia="Times New Roman"/>
                <w:color w:val="000000"/>
                <w:lang w:eastAsia="cs-CZ"/>
              </w:rPr>
              <w:t>13 662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AED9ABB" w14:textId="61D1F03E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BF1564">
              <w:rPr>
                <w:rFonts w:eastAsia="Times New Roman"/>
                <w:color w:val="000000"/>
                <w:lang w:eastAsia="cs-CZ"/>
              </w:rPr>
              <w:t xml:space="preserve">      5 </w:t>
            </w:r>
            <w:r w:rsidR="00C46DA6">
              <w:rPr>
                <w:rFonts w:eastAsia="Times New Roman"/>
                <w:color w:val="000000"/>
                <w:lang w:eastAsia="cs-CZ"/>
              </w:rPr>
              <w:t>8</w:t>
            </w:r>
            <w:r w:rsidR="004F30F2">
              <w:rPr>
                <w:rFonts w:eastAsia="Times New Roman"/>
                <w:color w:val="000000"/>
                <w:lang w:eastAsia="cs-CZ"/>
              </w:rPr>
              <w:t>3</w:t>
            </w:r>
            <w:r w:rsidR="00C46DA6">
              <w:rPr>
                <w:rFonts w:eastAsia="Times New Roman"/>
                <w:color w:val="000000"/>
                <w:lang w:eastAsia="cs-CZ"/>
              </w:rPr>
              <w:t>9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855F3B7" w14:textId="24949CBC" w:rsidR="000D12EC" w:rsidRDefault="00BF1564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 xml:space="preserve">  </w:t>
            </w:r>
            <w:r w:rsidR="004F30F2">
              <w:rPr>
                <w:rFonts w:eastAsia="Times New Roman"/>
                <w:color w:val="000000"/>
                <w:lang w:eastAsia="cs-CZ"/>
              </w:rPr>
              <w:t>19 501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4739004" w14:textId="5E6E751D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  <w:r w:rsidR="00035031">
              <w:rPr>
                <w:rFonts w:eastAsia="Times New Roman"/>
                <w:color w:val="000000"/>
                <w:lang w:eastAsia="cs-CZ"/>
              </w:rPr>
              <w:t>0</w:t>
            </w:r>
          </w:p>
        </w:tc>
      </w:tr>
      <w:tr w:rsidR="000D12EC" w14:paraId="63517EA0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FF8F051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285594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267D5E0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484B44F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20634E9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328A2F0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8FFB84A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54DC652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3BE3704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</w:tr>
      <w:tr w:rsidR="000D12EC" w14:paraId="03D8506B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73A8CD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81F90CC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E02B129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8533D93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C6DF569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16CA226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F955FF3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08EC672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05FBCBC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</w:tr>
      <w:tr w:rsidR="000D12EC" w14:paraId="1117D589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C91BD5D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E1A5DDF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48FF99E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26818C9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E8BB08E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0013A1C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1F2E32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93C0ED3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011AC9E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</w:tr>
      <w:tr w:rsidR="000D12EC" w14:paraId="4CB9C050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679BB8" w14:textId="77777777" w:rsidR="000D12EC" w:rsidRDefault="00DE0762">
            <w:pPr>
              <w:suppressAutoHyphens w:val="0"/>
              <w:spacing w:after="0" w:line="240" w:lineRule="auto"/>
              <w:jc w:val="center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3CDCF77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99CD81B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11B4F6A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FC2538B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D0C0AFB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20E3965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6BC94FB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  <w:tc>
          <w:tcPr>
            <w:tcW w:w="8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BAC5159" w14:textId="77777777" w:rsidR="000D12EC" w:rsidRDefault="00DE0762">
            <w:pPr>
              <w:suppressAutoHyphens w:val="0"/>
              <w:spacing w:after="0" w:line="240" w:lineRule="auto"/>
              <w:textAlignment w:val="auto"/>
              <w:rPr>
                <w:rFonts w:eastAsia="Times New Roman"/>
                <w:color w:val="000000"/>
                <w:lang w:eastAsia="cs-CZ"/>
              </w:rPr>
            </w:pPr>
            <w:r>
              <w:rPr>
                <w:rFonts w:eastAsia="Times New Roman"/>
                <w:color w:val="000000"/>
                <w:lang w:eastAsia="cs-CZ"/>
              </w:rPr>
              <w:t> </w:t>
            </w:r>
          </w:p>
        </w:tc>
      </w:tr>
    </w:tbl>
    <w:p w14:paraId="0D139601" w14:textId="77777777" w:rsidR="000D12EC" w:rsidRDefault="000D12EC"/>
    <w:p w14:paraId="436E6F24" w14:textId="77777777" w:rsidR="000D12EC" w:rsidRDefault="00DE0762">
      <w:pPr>
        <w:pStyle w:val="Nadpis1"/>
      </w:pPr>
      <w:bookmarkStart w:id="39" w:name="_Toc438216077"/>
      <w:bookmarkStart w:id="40" w:name="_Toc441137336"/>
      <w:r>
        <w:t>Odložená daň na konci účetního období a její vývoj</w:t>
      </w:r>
      <w:bookmarkEnd w:id="39"/>
      <w:bookmarkEnd w:id="40"/>
    </w:p>
    <w:p w14:paraId="7EAA9C8E" w14:textId="77777777" w:rsidR="000D12EC" w:rsidRDefault="000D12EC">
      <w:pPr>
        <w:spacing w:after="0"/>
      </w:pPr>
    </w:p>
    <w:p w14:paraId="7244E3AD" w14:textId="640A7C9C" w:rsidR="000D12EC" w:rsidRDefault="00035031">
      <w:pPr>
        <w:spacing w:after="0"/>
      </w:pPr>
      <w:r>
        <w:t xml:space="preserve">Odložená daň spočítána na </w:t>
      </w:r>
      <w:r w:rsidR="001A4515">
        <w:t>majetek</w:t>
      </w:r>
      <w:r>
        <w:t xml:space="preserve"> ve výši </w:t>
      </w:r>
      <w:r w:rsidR="00DF25EA">
        <w:t>procenta daně z příjmů.</w:t>
      </w:r>
    </w:p>
    <w:p w14:paraId="2E872A0F" w14:textId="77777777" w:rsidR="000D12EC" w:rsidRDefault="000D12EC">
      <w:pPr>
        <w:spacing w:after="0"/>
      </w:pPr>
    </w:p>
    <w:p w14:paraId="126552D3" w14:textId="77777777" w:rsidR="000D12EC" w:rsidRDefault="00DE0762">
      <w:pPr>
        <w:pStyle w:val="Nadpis1"/>
      </w:pPr>
      <w:bookmarkStart w:id="41" w:name="_Toc438216078"/>
      <w:bookmarkStart w:id="42" w:name="_Toc441137337"/>
      <w:r>
        <w:t>Povaha a obchodní účel operací účetní jednotky, které nejsou zahrnuty v rozvaze a jejich finanční dopad na účetní jednotku</w:t>
      </w:r>
      <w:bookmarkEnd w:id="41"/>
      <w:bookmarkEnd w:id="42"/>
    </w:p>
    <w:p w14:paraId="5427262B" w14:textId="77777777" w:rsidR="000D12EC" w:rsidRDefault="000D12EC">
      <w:pPr>
        <w:spacing w:after="0"/>
      </w:pPr>
    </w:p>
    <w:p w14:paraId="7E0F8B7D" w14:textId="493F2561" w:rsidR="000D12EC" w:rsidRDefault="004F0442">
      <w:pPr>
        <w:spacing w:after="0"/>
      </w:pPr>
      <w:r>
        <w:t>Nemá náplň</w:t>
      </w:r>
    </w:p>
    <w:p w14:paraId="356727F5" w14:textId="77777777" w:rsidR="000D12EC" w:rsidRDefault="00DE0762">
      <w:pPr>
        <w:pStyle w:val="Nadpis1"/>
      </w:pPr>
      <w:bookmarkStart w:id="43" w:name="_Toc438216079"/>
      <w:bookmarkStart w:id="44" w:name="_Toc441137338"/>
      <w:r>
        <w:lastRenderedPageBreak/>
        <w:t>Informace o transakcích uzavřených se spřízněnou stranou</w:t>
      </w:r>
      <w:bookmarkEnd w:id="43"/>
      <w:bookmarkEnd w:id="44"/>
    </w:p>
    <w:p w14:paraId="5174AB0F" w14:textId="77777777" w:rsidR="000D12EC" w:rsidRDefault="000D12EC">
      <w:pPr>
        <w:spacing w:after="0"/>
      </w:pPr>
    </w:p>
    <w:p w14:paraId="03D33C1D" w14:textId="2F2E5DB3" w:rsidR="000D12EC" w:rsidRDefault="001A4515">
      <w:pPr>
        <w:spacing w:after="0"/>
      </w:pPr>
      <w:r>
        <w:t>Společnost má s mateřskou společností otevřený úvěrový rámec</w:t>
      </w:r>
    </w:p>
    <w:p w14:paraId="59B5D9F5" w14:textId="77777777" w:rsidR="000D12EC" w:rsidRDefault="000D12EC">
      <w:pPr>
        <w:spacing w:after="0"/>
      </w:pPr>
    </w:p>
    <w:p w14:paraId="72791F62" w14:textId="77777777" w:rsidR="000D12EC" w:rsidRDefault="00DE0762">
      <w:pPr>
        <w:pStyle w:val="Nadpis1"/>
      </w:pPr>
      <w:bookmarkStart w:id="45" w:name="_Toc438216080"/>
      <w:bookmarkStart w:id="46" w:name="_Toc441137339"/>
      <w:r>
        <w:t>Rozčlenění tržeb z prodeje zboží, výrobků a služeb</w:t>
      </w:r>
      <w:bookmarkEnd w:id="45"/>
      <w:bookmarkEnd w:id="46"/>
    </w:p>
    <w:p w14:paraId="7DE8BDE3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64C9AF17" w14:textId="0A164DA8" w:rsidR="000D12EC" w:rsidRDefault="001A4515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 xml:space="preserve">Tržby </w:t>
      </w:r>
      <w:r w:rsidR="00B82D40">
        <w:rPr>
          <w:rFonts w:cs="Calibri"/>
          <w:bCs/>
        </w:rPr>
        <w:t>tvoří především krátkodobé a dlouhodobé pron</w:t>
      </w:r>
      <w:r w:rsidR="00213C99">
        <w:rPr>
          <w:rFonts w:cs="Calibri"/>
          <w:bCs/>
        </w:rPr>
        <w:t>ájmy</w:t>
      </w:r>
    </w:p>
    <w:p w14:paraId="284EE87D" w14:textId="77777777" w:rsidR="000D12EC" w:rsidRDefault="000D12EC">
      <w:pPr>
        <w:autoSpaceDE w:val="0"/>
        <w:spacing w:after="0" w:line="240" w:lineRule="auto"/>
        <w:rPr>
          <w:rFonts w:cs="Calibri"/>
          <w:bCs/>
        </w:rPr>
      </w:pPr>
    </w:p>
    <w:p w14:paraId="20F2FF93" w14:textId="77777777" w:rsidR="000D12EC" w:rsidRDefault="00DE0762">
      <w:pPr>
        <w:pStyle w:val="Nadpis1"/>
      </w:pPr>
      <w:bookmarkStart w:id="47" w:name="_Toc438216081"/>
      <w:bookmarkStart w:id="48" w:name="_Toc441137340"/>
      <w:r>
        <w:t>Celkové odměny účtované auditorem</w:t>
      </w:r>
      <w:bookmarkEnd w:id="47"/>
      <w:bookmarkEnd w:id="48"/>
    </w:p>
    <w:p w14:paraId="254380CC" w14:textId="77777777" w:rsidR="000D12EC" w:rsidRDefault="000D12EC">
      <w:pPr>
        <w:spacing w:after="0"/>
      </w:pPr>
    </w:p>
    <w:tbl>
      <w:tblPr>
        <w:tblW w:w="8141" w:type="dxa"/>
        <w:tblInd w:w="4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9"/>
        <w:gridCol w:w="4252"/>
      </w:tblGrid>
      <w:tr w:rsidR="000D12EC" w14:paraId="1F32D77C" w14:textId="77777777">
        <w:trPr>
          <w:trHeight w:val="315"/>
        </w:trPr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0D625" w14:textId="77777777" w:rsidR="000D12EC" w:rsidRDefault="00DE0762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cs-CZ"/>
              </w:rPr>
            </w:pPr>
            <w:r>
              <w:rPr>
                <w:rFonts w:eastAsia="Times New Roman" w:cs="Calibri"/>
                <w:b/>
                <w:color w:val="000000"/>
                <w:lang w:eastAsia="cs-CZ"/>
              </w:rPr>
              <w:t>Druh služby</w:t>
            </w:r>
          </w:p>
        </w:tc>
        <w:tc>
          <w:tcPr>
            <w:tcW w:w="42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142096" w14:textId="77777777" w:rsidR="000D12EC" w:rsidRDefault="00DE0762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cs-CZ"/>
              </w:rPr>
            </w:pPr>
            <w:r>
              <w:rPr>
                <w:rFonts w:eastAsia="Times New Roman" w:cs="Calibri"/>
                <w:b/>
                <w:color w:val="000000"/>
                <w:lang w:eastAsia="cs-CZ"/>
              </w:rPr>
              <w:t>Náklad</w:t>
            </w:r>
          </w:p>
        </w:tc>
      </w:tr>
      <w:tr w:rsidR="000D12EC" w14:paraId="2B63F3CF" w14:textId="77777777">
        <w:trPr>
          <w:trHeight w:val="300"/>
        </w:trPr>
        <w:tc>
          <w:tcPr>
            <w:tcW w:w="3889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C818457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Povinný audit roční účetní závěrky</w:t>
            </w:r>
          </w:p>
        </w:tc>
        <w:tc>
          <w:tcPr>
            <w:tcW w:w="4252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FBEF259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</w:p>
        </w:tc>
      </w:tr>
      <w:tr w:rsidR="000D12EC" w14:paraId="6D37B6A4" w14:textId="77777777">
        <w:trPr>
          <w:trHeight w:val="300"/>
        </w:trPr>
        <w:tc>
          <w:tcPr>
            <w:tcW w:w="3889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48D1DDF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Jiné ověřovací služby</w:t>
            </w:r>
          </w:p>
        </w:tc>
        <w:tc>
          <w:tcPr>
            <w:tcW w:w="4252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4BFCD67" w14:textId="3BF8F08A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  <w:r w:rsidR="006F5141">
              <w:rPr>
                <w:rFonts w:eastAsia="Times New Roman" w:cs="Calibri"/>
                <w:color w:val="000000"/>
                <w:lang w:eastAsia="cs-CZ"/>
              </w:rPr>
              <w:t>90</w:t>
            </w:r>
            <w:r w:rsidR="00BF1564">
              <w:rPr>
                <w:rFonts w:eastAsia="Times New Roman" w:cs="Calibri"/>
                <w:color w:val="000000"/>
                <w:lang w:eastAsia="cs-CZ"/>
              </w:rPr>
              <w:t xml:space="preserve"> 000</w:t>
            </w:r>
          </w:p>
        </w:tc>
      </w:tr>
      <w:tr w:rsidR="000D12EC" w14:paraId="3D3BE755" w14:textId="77777777">
        <w:trPr>
          <w:trHeight w:val="300"/>
        </w:trPr>
        <w:tc>
          <w:tcPr>
            <w:tcW w:w="3889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D66A3B3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Daňové poradenství</w:t>
            </w:r>
          </w:p>
        </w:tc>
        <w:tc>
          <w:tcPr>
            <w:tcW w:w="4252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5A2AFB8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</w:p>
        </w:tc>
      </w:tr>
      <w:tr w:rsidR="000D12EC" w14:paraId="2975201F" w14:textId="77777777">
        <w:trPr>
          <w:trHeight w:val="315"/>
        </w:trPr>
        <w:tc>
          <w:tcPr>
            <w:tcW w:w="3889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E267847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Jiné neauditorské služby</w:t>
            </w:r>
          </w:p>
        </w:tc>
        <w:tc>
          <w:tcPr>
            <w:tcW w:w="425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4E111CF" w14:textId="77777777" w:rsidR="000D12EC" w:rsidRDefault="00DE0762">
            <w:pPr>
              <w:spacing w:after="0" w:line="240" w:lineRule="auto"/>
              <w:rPr>
                <w:rFonts w:eastAsia="Times New Roman" w:cs="Calibri"/>
                <w:color w:val="000000"/>
                <w:lang w:eastAsia="cs-CZ"/>
              </w:rPr>
            </w:pPr>
            <w:r>
              <w:rPr>
                <w:rFonts w:eastAsia="Times New Roman" w:cs="Calibri"/>
                <w:color w:val="000000"/>
                <w:lang w:eastAsia="cs-CZ"/>
              </w:rPr>
              <w:t> </w:t>
            </w:r>
          </w:p>
        </w:tc>
      </w:tr>
    </w:tbl>
    <w:p w14:paraId="0D5E0AA6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BCB3D6C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6F003E22" w14:textId="77777777" w:rsidR="000D12EC" w:rsidRDefault="00DE0762">
      <w:pPr>
        <w:pStyle w:val="Nadpis1"/>
      </w:pPr>
      <w:bookmarkStart w:id="49" w:name="_Toc438216082"/>
      <w:bookmarkStart w:id="50" w:name="_Toc441137341"/>
      <w:r>
        <w:t>Významné události mezi rozvahovým dnem a okamžikem sestavení účetní závěrky</w:t>
      </w:r>
      <w:bookmarkEnd w:id="49"/>
      <w:bookmarkEnd w:id="50"/>
    </w:p>
    <w:p w14:paraId="775C9FC0" w14:textId="77777777" w:rsidR="000D12EC" w:rsidRDefault="000D12EC">
      <w:pPr>
        <w:autoSpaceDE w:val="0"/>
        <w:spacing w:after="0" w:line="240" w:lineRule="auto"/>
        <w:jc w:val="both"/>
        <w:rPr>
          <w:rFonts w:cs="Calibri"/>
          <w:bCs/>
        </w:rPr>
      </w:pPr>
    </w:p>
    <w:p w14:paraId="37697D44" w14:textId="0F1C6A0A" w:rsidR="000D12EC" w:rsidRDefault="00BF1564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Nemá náplň</w:t>
      </w:r>
    </w:p>
    <w:p w14:paraId="501CCA16" w14:textId="77777777" w:rsidR="00BF1564" w:rsidRDefault="00BF1564">
      <w:pPr>
        <w:autoSpaceDE w:val="0"/>
        <w:spacing w:after="0" w:line="240" w:lineRule="auto"/>
        <w:rPr>
          <w:rFonts w:cs="Calibri"/>
          <w:bCs/>
        </w:rPr>
      </w:pPr>
    </w:p>
    <w:p w14:paraId="4A1FF29D" w14:textId="5C3E8CB0" w:rsidR="000D12EC" w:rsidRDefault="004F0442">
      <w:pPr>
        <w:autoSpaceDE w:val="0"/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 xml:space="preserve">Sestaveno dne: </w:t>
      </w:r>
      <w:r w:rsidR="006746AF">
        <w:rPr>
          <w:rFonts w:cs="Calibri"/>
          <w:bCs/>
        </w:rPr>
        <w:t>27</w:t>
      </w:r>
      <w:r>
        <w:rPr>
          <w:rFonts w:cs="Calibri"/>
          <w:bCs/>
        </w:rPr>
        <w:t>.0</w:t>
      </w:r>
      <w:r w:rsidR="006746AF">
        <w:rPr>
          <w:rFonts w:cs="Calibri"/>
          <w:bCs/>
        </w:rPr>
        <w:t>2</w:t>
      </w:r>
      <w:r w:rsidR="00DE0762">
        <w:rPr>
          <w:rFonts w:cs="Calibri"/>
          <w:bCs/>
        </w:rPr>
        <w:t>.202</w:t>
      </w:r>
      <w:r w:rsidR="006746AF">
        <w:rPr>
          <w:rFonts w:cs="Calibri"/>
          <w:bCs/>
        </w:rPr>
        <w:t>6</w:t>
      </w:r>
    </w:p>
    <w:p w14:paraId="33CECBC6" w14:textId="4DD6B1DE" w:rsidR="000D12EC" w:rsidRDefault="00DE0762">
      <w:pPr>
        <w:autoSpaceDE w:val="0"/>
        <w:spacing w:after="0" w:line="240" w:lineRule="auto"/>
      </w:pPr>
      <w:r>
        <w:rPr>
          <w:rFonts w:cs="Calibri"/>
          <w:bCs/>
        </w:rPr>
        <w:t>Sestavil:</w:t>
      </w:r>
      <w:r w:rsidR="004F0442">
        <w:rPr>
          <w:rFonts w:cs="Calibri"/>
          <w:bCs/>
        </w:rPr>
        <w:t xml:space="preserve"> </w:t>
      </w:r>
      <w:r w:rsidR="00B82D40">
        <w:rPr>
          <w:rFonts w:cs="Calibri"/>
          <w:bCs/>
        </w:rPr>
        <w:t>Ing. Eva Lehocká</w:t>
      </w:r>
    </w:p>
    <w:sectPr w:rsidR="000D12E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C5017" w14:textId="77777777" w:rsidR="00086578" w:rsidRDefault="00086578">
      <w:pPr>
        <w:spacing w:after="0" w:line="240" w:lineRule="auto"/>
      </w:pPr>
      <w:r>
        <w:separator/>
      </w:r>
    </w:p>
  </w:endnote>
  <w:endnote w:type="continuationSeparator" w:id="0">
    <w:p w14:paraId="1BF32DD1" w14:textId="77777777" w:rsidR="00086578" w:rsidRDefault="0008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929F9" w14:textId="77777777" w:rsidR="001D5E29" w:rsidRDefault="00DE0762">
    <w:pPr>
      <w:pStyle w:val="Zpat"/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4F0442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  <w:p w14:paraId="3E1C0302" w14:textId="77777777" w:rsidR="001D5E29" w:rsidRDefault="00213C9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C3470" w14:textId="77777777" w:rsidR="00086578" w:rsidRDefault="0008657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A0D063" w14:textId="77777777" w:rsidR="00086578" w:rsidRDefault="0008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98C65" w14:textId="77777777" w:rsidR="001D5E29" w:rsidRDefault="00DE0762">
    <w:pPr>
      <w:pStyle w:val="Zhlav"/>
      <w:tabs>
        <w:tab w:val="left" w:pos="2580"/>
        <w:tab w:val="left" w:pos="2985"/>
      </w:tabs>
      <w:spacing w:after="120" w:line="276" w:lineRule="auto"/>
      <w:jc w:val="right"/>
    </w:pPr>
    <w:r>
      <w:rPr>
        <w:b/>
        <w:bCs/>
        <w:sz w:val="18"/>
        <w:szCs w:val="18"/>
      </w:rPr>
      <w:t>Příloha v účetní závěrce v plném rozsahu</w:t>
    </w:r>
  </w:p>
  <w:p w14:paraId="2ADBC13B" w14:textId="77777777" w:rsidR="001D5E29" w:rsidRDefault="00DE0762">
    <w:pPr>
      <w:pStyle w:val="Zhlav"/>
      <w:tabs>
        <w:tab w:val="left" w:pos="2580"/>
        <w:tab w:val="left" w:pos="2985"/>
      </w:tabs>
      <w:spacing w:after="120" w:line="276" w:lineRule="auto"/>
      <w:jc w:val="right"/>
    </w:pPr>
    <w:r>
      <w:rPr>
        <w:sz w:val="18"/>
        <w:szCs w:val="18"/>
      </w:rPr>
      <w:t>Korporace Mosmota s.r.o.</w:t>
    </w:r>
  </w:p>
  <w:p w14:paraId="4B90B34C" w14:textId="4C494A8B" w:rsidR="001D5E29" w:rsidRPr="00035031" w:rsidRDefault="00DE0762" w:rsidP="00035031">
    <w:pPr>
      <w:pStyle w:val="Zhlav"/>
      <w:pBdr>
        <w:bottom w:val="single" w:sz="4" w:space="1" w:color="A5A5A5"/>
      </w:pBdr>
      <w:tabs>
        <w:tab w:val="left" w:pos="2580"/>
        <w:tab w:val="left" w:pos="2985"/>
      </w:tabs>
      <w:spacing w:after="120" w:line="276" w:lineRule="auto"/>
      <w:jc w:val="right"/>
      <w:rPr>
        <w:sz w:val="18"/>
        <w:szCs w:val="18"/>
      </w:rPr>
    </w:pPr>
    <w:r>
      <w:rPr>
        <w:sz w:val="18"/>
        <w:szCs w:val="18"/>
      </w:rPr>
      <w:t>ke dni 3</w:t>
    </w:r>
    <w:r w:rsidR="00035031">
      <w:rPr>
        <w:sz w:val="18"/>
        <w:szCs w:val="18"/>
      </w:rPr>
      <w:t>1</w:t>
    </w:r>
    <w:r w:rsidR="001204BA">
      <w:rPr>
        <w:sz w:val="18"/>
        <w:szCs w:val="18"/>
      </w:rPr>
      <w:t>.</w:t>
    </w:r>
    <w:r w:rsidR="00035031">
      <w:rPr>
        <w:sz w:val="18"/>
        <w:szCs w:val="18"/>
      </w:rPr>
      <w:t>12</w:t>
    </w:r>
    <w:r>
      <w:rPr>
        <w:sz w:val="18"/>
        <w:szCs w:val="18"/>
      </w:rPr>
      <w:t>.202</w:t>
    </w:r>
    <w:r w:rsidR="00392C1D">
      <w:rPr>
        <w:sz w:val="18"/>
        <w:szCs w:val="18"/>
      </w:rPr>
      <w:t>5</w:t>
    </w:r>
  </w:p>
  <w:p w14:paraId="093B53AA" w14:textId="77777777" w:rsidR="001D5E29" w:rsidRDefault="00213C9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AF4"/>
    <w:multiLevelType w:val="multilevel"/>
    <w:tmpl w:val="F8266B9C"/>
    <w:styleLink w:val="WWOutlineListStyle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B7B1E6F"/>
    <w:multiLevelType w:val="multilevel"/>
    <w:tmpl w:val="77F0C670"/>
    <w:styleLink w:val="WWOutlineListStyl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0CAC4432"/>
    <w:multiLevelType w:val="multilevel"/>
    <w:tmpl w:val="F50ECD02"/>
    <w:styleLink w:val="WWOutlineListStyl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0E7D01F2"/>
    <w:multiLevelType w:val="multilevel"/>
    <w:tmpl w:val="BD82BFD8"/>
    <w:styleLink w:val="WWOutlineListStyle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0E976045"/>
    <w:multiLevelType w:val="multilevel"/>
    <w:tmpl w:val="FF003604"/>
    <w:styleLink w:val="WWOutlineListStyle1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14CD313C"/>
    <w:multiLevelType w:val="multilevel"/>
    <w:tmpl w:val="EE8023C4"/>
    <w:styleLink w:val="WWOutlineListStyl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29183945"/>
    <w:multiLevelType w:val="multilevel"/>
    <w:tmpl w:val="7B5623CE"/>
    <w:styleLink w:val="WWOutlineListStyle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29CF1847"/>
    <w:multiLevelType w:val="multilevel"/>
    <w:tmpl w:val="29AC2020"/>
    <w:styleLink w:val="WWOutlineListStyle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2E372F2E"/>
    <w:multiLevelType w:val="multilevel"/>
    <w:tmpl w:val="5DDC1F9C"/>
    <w:styleLink w:val="WWOutlineList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337B3507"/>
    <w:multiLevelType w:val="multilevel"/>
    <w:tmpl w:val="1A86EC00"/>
    <w:styleLink w:val="WWOutlineListStyle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4EF64E8"/>
    <w:multiLevelType w:val="multilevel"/>
    <w:tmpl w:val="E1CCCEC8"/>
    <w:styleLink w:val="WWOutlineListStyl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35CB7B1D"/>
    <w:multiLevelType w:val="multilevel"/>
    <w:tmpl w:val="D85E12F8"/>
    <w:styleLink w:val="WWOutlineListStyle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37AC6FE5"/>
    <w:multiLevelType w:val="multilevel"/>
    <w:tmpl w:val="CFE4E08C"/>
    <w:styleLink w:val="WWOutlineListStyle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3" w15:restartNumberingAfterBreak="0">
    <w:nsid w:val="3DAA5F4D"/>
    <w:multiLevelType w:val="multilevel"/>
    <w:tmpl w:val="AA307844"/>
    <w:styleLink w:val="WWOutlineListStyle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4887164D"/>
    <w:multiLevelType w:val="multilevel"/>
    <w:tmpl w:val="788E4460"/>
    <w:styleLink w:val="WWOutlineListStyle1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49517949"/>
    <w:multiLevelType w:val="multilevel"/>
    <w:tmpl w:val="5894A3A0"/>
    <w:styleLink w:val="WWOutlineListStyle2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6" w15:restartNumberingAfterBreak="0">
    <w:nsid w:val="4A060DA8"/>
    <w:multiLevelType w:val="multilevel"/>
    <w:tmpl w:val="378C5274"/>
    <w:styleLink w:val="WWOutlineListStyle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7" w15:restartNumberingAfterBreak="0">
    <w:nsid w:val="4BA40740"/>
    <w:multiLevelType w:val="multilevel"/>
    <w:tmpl w:val="A95E24E6"/>
    <w:styleLink w:val="WWOutlineListStyle2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8" w15:restartNumberingAfterBreak="0">
    <w:nsid w:val="4CE77020"/>
    <w:multiLevelType w:val="multilevel"/>
    <w:tmpl w:val="9A7639D8"/>
    <w:styleLink w:val="WWOutlineListStyle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9" w15:restartNumberingAfterBreak="0">
    <w:nsid w:val="4EF603AE"/>
    <w:multiLevelType w:val="multilevel"/>
    <w:tmpl w:val="906614EE"/>
    <w:styleLink w:val="WWOutlineListStyle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568B4B61"/>
    <w:multiLevelType w:val="multilevel"/>
    <w:tmpl w:val="1924F962"/>
    <w:styleLink w:val="Outlin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21" w15:restartNumberingAfterBreak="0">
    <w:nsid w:val="5EBB7592"/>
    <w:multiLevelType w:val="multilevel"/>
    <w:tmpl w:val="51C0CC66"/>
    <w:styleLink w:val="WWOutlineListStyl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2" w15:restartNumberingAfterBreak="0">
    <w:nsid w:val="61DE4F2B"/>
    <w:multiLevelType w:val="multilevel"/>
    <w:tmpl w:val="B0F2CADE"/>
    <w:styleLink w:val="WWOutlineListStyle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3" w15:restartNumberingAfterBreak="0">
    <w:nsid w:val="62F51269"/>
    <w:multiLevelType w:val="multilevel"/>
    <w:tmpl w:val="ECDE8BD8"/>
    <w:styleLink w:val="WWOutlineListStyl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4" w15:restartNumberingAfterBreak="0">
    <w:nsid w:val="633C3ED9"/>
    <w:multiLevelType w:val="multilevel"/>
    <w:tmpl w:val="944CCB72"/>
    <w:styleLink w:val="WWOutlineListStyl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5" w15:restartNumberingAfterBreak="0">
    <w:nsid w:val="64B82AAE"/>
    <w:multiLevelType w:val="multilevel"/>
    <w:tmpl w:val="12C444EE"/>
    <w:styleLink w:val="WWOutlineListStyle2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6" w15:restartNumberingAfterBreak="0">
    <w:nsid w:val="6ABC78BD"/>
    <w:multiLevelType w:val="multilevel"/>
    <w:tmpl w:val="9998E9BA"/>
    <w:styleLink w:val="WWOutlineListStyle1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7" w15:restartNumberingAfterBreak="0">
    <w:nsid w:val="74B638D9"/>
    <w:multiLevelType w:val="multilevel"/>
    <w:tmpl w:val="468E4168"/>
    <w:styleLink w:val="WWOutlineListStyle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8" w15:restartNumberingAfterBreak="0">
    <w:nsid w:val="760730CA"/>
    <w:multiLevelType w:val="multilevel"/>
    <w:tmpl w:val="009A4C3E"/>
    <w:styleLink w:val="WWOutlineListStyle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9" w15:restartNumberingAfterBreak="0">
    <w:nsid w:val="7702510B"/>
    <w:multiLevelType w:val="multilevel"/>
    <w:tmpl w:val="CBB2216C"/>
    <w:styleLink w:val="WWOutlineListStyl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0" w15:restartNumberingAfterBreak="0">
    <w:nsid w:val="77C06484"/>
    <w:multiLevelType w:val="multilevel"/>
    <w:tmpl w:val="ABFC7400"/>
    <w:styleLink w:val="WWOutlineListStyle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9CE23CB"/>
    <w:multiLevelType w:val="multilevel"/>
    <w:tmpl w:val="B30C41DA"/>
    <w:styleLink w:val="WWOutlineListStyle30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624" w:hanging="624"/>
      </w:pPr>
      <w:rPr>
        <w:b/>
      </w:rPr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31"/>
  </w:num>
  <w:num w:numId="2">
    <w:abstractNumId w:val="25"/>
  </w:num>
  <w:num w:numId="3">
    <w:abstractNumId w:val="28"/>
  </w:num>
  <w:num w:numId="4">
    <w:abstractNumId w:val="7"/>
  </w:num>
  <w:num w:numId="5">
    <w:abstractNumId w:val="30"/>
  </w:num>
  <w:num w:numId="6">
    <w:abstractNumId w:val="15"/>
  </w:num>
  <w:num w:numId="7">
    <w:abstractNumId w:val="18"/>
  </w:num>
  <w:num w:numId="8">
    <w:abstractNumId w:val="17"/>
  </w:num>
  <w:num w:numId="9">
    <w:abstractNumId w:val="29"/>
  </w:num>
  <w:num w:numId="10">
    <w:abstractNumId w:val="16"/>
  </w:num>
  <w:num w:numId="11">
    <w:abstractNumId w:val="22"/>
  </w:num>
  <w:num w:numId="12">
    <w:abstractNumId w:val="4"/>
  </w:num>
  <w:num w:numId="13">
    <w:abstractNumId w:val="24"/>
  </w:num>
  <w:num w:numId="14">
    <w:abstractNumId w:val="14"/>
  </w:num>
  <w:num w:numId="15">
    <w:abstractNumId w:val="20"/>
  </w:num>
  <w:num w:numId="16">
    <w:abstractNumId w:val="23"/>
  </w:num>
  <w:num w:numId="17">
    <w:abstractNumId w:val="9"/>
  </w:num>
  <w:num w:numId="18">
    <w:abstractNumId w:val="12"/>
  </w:num>
  <w:num w:numId="19">
    <w:abstractNumId w:val="26"/>
  </w:num>
  <w:num w:numId="20">
    <w:abstractNumId w:val="0"/>
  </w:num>
  <w:num w:numId="21">
    <w:abstractNumId w:val="19"/>
  </w:num>
  <w:num w:numId="22">
    <w:abstractNumId w:val="6"/>
  </w:num>
  <w:num w:numId="23">
    <w:abstractNumId w:val="27"/>
  </w:num>
  <w:num w:numId="24">
    <w:abstractNumId w:val="21"/>
  </w:num>
  <w:num w:numId="25">
    <w:abstractNumId w:val="3"/>
  </w:num>
  <w:num w:numId="26">
    <w:abstractNumId w:val="10"/>
  </w:num>
  <w:num w:numId="27">
    <w:abstractNumId w:val="13"/>
  </w:num>
  <w:num w:numId="28">
    <w:abstractNumId w:val="5"/>
  </w:num>
  <w:num w:numId="29">
    <w:abstractNumId w:val="11"/>
  </w:num>
  <w:num w:numId="30">
    <w:abstractNumId w:val="2"/>
  </w:num>
  <w:num w:numId="31">
    <w:abstractNumId w:val="8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2EC"/>
    <w:rsid w:val="00035031"/>
    <w:rsid w:val="00086578"/>
    <w:rsid w:val="000D12EC"/>
    <w:rsid w:val="001204BA"/>
    <w:rsid w:val="001213F3"/>
    <w:rsid w:val="001A4515"/>
    <w:rsid w:val="001E0168"/>
    <w:rsid w:val="00213C99"/>
    <w:rsid w:val="00220190"/>
    <w:rsid w:val="00333866"/>
    <w:rsid w:val="00392C1D"/>
    <w:rsid w:val="004F0442"/>
    <w:rsid w:val="004F30F2"/>
    <w:rsid w:val="00503EC1"/>
    <w:rsid w:val="006746AF"/>
    <w:rsid w:val="006C7CCA"/>
    <w:rsid w:val="006F5141"/>
    <w:rsid w:val="00A5583D"/>
    <w:rsid w:val="00B82D40"/>
    <w:rsid w:val="00BD4647"/>
    <w:rsid w:val="00BF1564"/>
    <w:rsid w:val="00C202C5"/>
    <w:rsid w:val="00C46DA6"/>
    <w:rsid w:val="00C56327"/>
    <w:rsid w:val="00DE0762"/>
    <w:rsid w:val="00DF25EA"/>
    <w:rsid w:val="00EA3F0F"/>
    <w:rsid w:val="00FA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673C"/>
  <w15:docId w15:val="{3673FE1D-066A-4058-A73D-7EA3F713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cs-CZ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pPr>
      <w:suppressAutoHyphens/>
    </w:pPr>
  </w:style>
  <w:style w:type="paragraph" w:styleId="Nadpis1">
    <w:name w:val="heading 1"/>
    <w:basedOn w:val="Odstavecseseznamem"/>
    <w:next w:val="Normln"/>
    <w:pPr>
      <w:numPr>
        <w:numId w:val="1"/>
      </w:numPr>
      <w:autoSpaceDE w:val="0"/>
      <w:spacing w:after="0" w:line="240" w:lineRule="auto"/>
      <w:outlineLvl w:val="0"/>
    </w:pPr>
    <w:rPr>
      <w:rFonts w:cs="Calibri"/>
      <w:b/>
      <w:bCs/>
    </w:rPr>
  </w:style>
  <w:style w:type="paragraph" w:styleId="Nadpis2">
    <w:name w:val="heading 2"/>
    <w:basedOn w:val="Odstavecseseznamem"/>
    <w:next w:val="Normln"/>
    <w:pPr>
      <w:numPr>
        <w:ilvl w:val="1"/>
        <w:numId w:val="1"/>
      </w:numPr>
      <w:autoSpaceDE w:val="0"/>
      <w:spacing w:after="0" w:line="240" w:lineRule="auto"/>
      <w:outlineLvl w:val="1"/>
    </w:pPr>
    <w:rPr>
      <w:rFonts w:cs="Calibri"/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WWOutlineListStyle30">
    <w:name w:val="WW_OutlineListStyle_30"/>
    <w:basedOn w:val="Bezseznamu"/>
    <w:pPr>
      <w:numPr>
        <w:numId w:val="1"/>
      </w:numPr>
    </w:pPr>
  </w:style>
  <w:style w:type="paragraph" w:styleId="Obsah1">
    <w:name w:val="toc 1"/>
    <w:basedOn w:val="Normln"/>
    <w:next w:val="Normln"/>
    <w:autoRedefine/>
    <w:pPr>
      <w:tabs>
        <w:tab w:val="left" w:pos="660"/>
        <w:tab w:val="right" w:leader="dot" w:pos="9062"/>
      </w:tabs>
      <w:spacing w:after="100"/>
    </w:pPr>
    <w:rPr>
      <w:sz w:val="18"/>
      <w:szCs w:val="18"/>
    </w:r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Zhlav">
    <w:name w:val="header"/>
    <w:basedOn w:val="Normln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pPr>
      <w:tabs>
        <w:tab w:val="center" w:pos="4536"/>
        <w:tab w:val="right" w:pos="9072"/>
      </w:tabs>
      <w:spacing w:after="0" w:line="240" w:lineRule="auto"/>
    </w:pPr>
  </w:style>
  <w:style w:type="paragraph" w:styleId="Textbubliny">
    <w:name w:val="Balloon Text"/>
    <w:basedOn w:val="Normln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styleId="Odstavecseseznamem">
    <w:name w:val="List Paragraph"/>
    <w:basedOn w:val="Normln"/>
    <w:pPr>
      <w:ind w:left="720"/>
    </w:pPr>
  </w:style>
  <w:style w:type="paragraph" w:styleId="Bezmezer">
    <w:name w:val="No Spacing"/>
    <w:pPr>
      <w:suppressAutoHyphens/>
      <w:spacing w:after="0" w:line="240" w:lineRule="auto"/>
    </w:pPr>
  </w:style>
  <w:style w:type="paragraph" w:customStyle="1" w:styleId="ContentsHeading">
    <w:name w:val="Contents Heading"/>
    <w:basedOn w:val="Nadpis1"/>
    <w:next w:val="Normln"/>
    <w:pPr>
      <w:keepNext/>
      <w:keepLines/>
      <w:numPr>
        <w:numId w:val="0"/>
      </w:numPr>
      <w:autoSpaceDE/>
      <w:spacing w:before="480" w:after="200" w:line="276" w:lineRule="auto"/>
    </w:pPr>
    <w:rPr>
      <w:rFonts w:ascii="Cambria" w:eastAsia="Times New Roman" w:hAnsi="Cambria" w:cs="Times New Roman"/>
      <w:color w:val="365F91"/>
      <w:sz w:val="28"/>
      <w:szCs w:val="28"/>
      <w:lang w:eastAsia="cs-CZ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Normln"/>
    <w:next w:val="Normln"/>
    <w:autoRedefine/>
    <w:pPr>
      <w:tabs>
        <w:tab w:val="left" w:pos="567"/>
        <w:tab w:val="right" w:leader="dot" w:pos="9062"/>
      </w:tabs>
      <w:spacing w:after="100" w:line="240" w:lineRule="auto"/>
    </w:pPr>
    <w:rPr>
      <w:sz w:val="18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ZhlavChar">
    <w:name w:val="Záhlaví Char"/>
    <w:basedOn w:val="Standardnpsmoodstavce"/>
  </w:style>
  <w:style w:type="character" w:customStyle="1" w:styleId="ZpatChar">
    <w:name w:val="Zápatí Char"/>
    <w:basedOn w:val="Standardnpsmoodstavce"/>
  </w:style>
  <w:style w:type="character" w:customStyle="1" w:styleId="TextbublinyChar">
    <w:name w:val="Text bubliny Char"/>
    <w:basedOn w:val="Standardnpsmoodstavce"/>
    <w:rPr>
      <w:rFonts w:ascii="Tahoma" w:eastAsia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rPr>
      <w:rFonts w:cs="Calibri"/>
      <w:b/>
      <w:bCs/>
    </w:rPr>
  </w:style>
  <w:style w:type="character" w:customStyle="1" w:styleId="Nadpis2Char">
    <w:name w:val="Nadpis 2 Char"/>
    <w:basedOn w:val="Standardnpsmoodstavce"/>
    <w:rPr>
      <w:rFonts w:cs="Calibri"/>
      <w:b/>
      <w:bCs/>
    </w:rPr>
  </w:style>
  <w:style w:type="character" w:customStyle="1" w:styleId="BezmezerChar">
    <w:name w:val="Bez mezer Char"/>
    <w:basedOn w:val="Standardnpsmoodstavce"/>
  </w:style>
  <w:style w:type="character" w:styleId="Hypertextovodkaz">
    <w:name w:val="Hyperlink"/>
    <w:basedOn w:val="Standardnpsmoodstavce"/>
    <w:rPr>
      <w:color w:val="0000FF"/>
      <w:u w:val="single"/>
    </w:rPr>
  </w:style>
  <w:style w:type="numbering" w:customStyle="1" w:styleId="WWOutlineListStyle29">
    <w:name w:val="WW_OutlineListStyle_29"/>
    <w:basedOn w:val="Bezseznamu"/>
    <w:pPr>
      <w:numPr>
        <w:numId w:val="2"/>
      </w:numPr>
    </w:pPr>
  </w:style>
  <w:style w:type="numbering" w:customStyle="1" w:styleId="WWOutlineListStyle28">
    <w:name w:val="WW_OutlineListStyle_28"/>
    <w:basedOn w:val="Bezseznamu"/>
    <w:pPr>
      <w:numPr>
        <w:numId w:val="3"/>
      </w:numPr>
    </w:pPr>
  </w:style>
  <w:style w:type="numbering" w:customStyle="1" w:styleId="WWOutlineListStyle27">
    <w:name w:val="WW_OutlineListStyle_27"/>
    <w:basedOn w:val="Bezseznamu"/>
    <w:pPr>
      <w:numPr>
        <w:numId w:val="4"/>
      </w:numPr>
    </w:pPr>
  </w:style>
  <w:style w:type="numbering" w:customStyle="1" w:styleId="WWOutlineListStyle26">
    <w:name w:val="WW_OutlineListStyle_26"/>
    <w:basedOn w:val="Bezseznamu"/>
    <w:pPr>
      <w:numPr>
        <w:numId w:val="5"/>
      </w:numPr>
    </w:pPr>
  </w:style>
  <w:style w:type="numbering" w:customStyle="1" w:styleId="WWOutlineListStyle25">
    <w:name w:val="WW_OutlineListStyle_25"/>
    <w:basedOn w:val="Bezseznamu"/>
    <w:pPr>
      <w:numPr>
        <w:numId w:val="6"/>
      </w:numPr>
    </w:pPr>
  </w:style>
  <w:style w:type="numbering" w:customStyle="1" w:styleId="WWOutlineListStyle24">
    <w:name w:val="WW_OutlineListStyle_24"/>
    <w:basedOn w:val="Bezseznamu"/>
    <w:pPr>
      <w:numPr>
        <w:numId w:val="7"/>
      </w:numPr>
    </w:pPr>
  </w:style>
  <w:style w:type="numbering" w:customStyle="1" w:styleId="WWOutlineListStyle23">
    <w:name w:val="WW_OutlineListStyle_23"/>
    <w:basedOn w:val="Bezseznamu"/>
    <w:pPr>
      <w:numPr>
        <w:numId w:val="8"/>
      </w:numPr>
    </w:pPr>
  </w:style>
  <w:style w:type="numbering" w:customStyle="1" w:styleId="WWOutlineListStyle22">
    <w:name w:val="WW_OutlineListStyle_22"/>
    <w:basedOn w:val="Bezseznamu"/>
    <w:pPr>
      <w:numPr>
        <w:numId w:val="9"/>
      </w:numPr>
    </w:pPr>
  </w:style>
  <w:style w:type="numbering" w:customStyle="1" w:styleId="WWOutlineListStyle21">
    <w:name w:val="WW_OutlineListStyle_21"/>
    <w:basedOn w:val="Bezseznamu"/>
    <w:pPr>
      <w:numPr>
        <w:numId w:val="10"/>
      </w:numPr>
    </w:pPr>
  </w:style>
  <w:style w:type="numbering" w:customStyle="1" w:styleId="WWOutlineListStyle20">
    <w:name w:val="WW_OutlineListStyle_20"/>
    <w:basedOn w:val="Bezseznamu"/>
    <w:pPr>
      <w:numPr>
        <w:numId w:val="11"/>
      </w:numPr>
    </w:pPr>
  </w:style>
  <w:style w:type="numbering" w:customStyle="1" w:styleId="WWOutlineListStyle19">
    <w:name w:val="WW_OutlineListStyle_19"/>
    <w:basedOn w:val="Bezseznamu"/>
    <w:pPr>
      <w:numPr>
        <w:numId w:val="12"/>
      </w:numPr>
    </w:pPr>
  </w:style>
  <w:style w:type="numbering" w:customStyle="1" w:styleId="WWOutlineListStyle18">
    <w:name w:val="WW_OutlineListStyle_18"/>
    <w:basedOn w:val="Bezseznamu"/>
    <w:pPr>
      <w:numPr>
        <w:numId w:val="13"/>
      </w:numPr>
    </w:pPr>
  </w:style>
  <w:style w:type="numbering" w:customStyle="1" w:styleId="WWOutlineListStyle17">
    <w:name w:val="WW_OutlineListStyle_17"/>
    <w:basedOn w:val="Bezseznamu"/>
    <w:pPr>
      <w:numPr>
        <w:numId w:val="14"/>
      </w:numPr>
    </w:pPr>
  </w:style>
  <w:style w:type="numbering" w:customStyle="1" w:styleId="Outline">
    <w:name w:val="Outline"/>
    <w:basedOn w:val="Bezseznamu"/>
    <w:pPr>
      <w:numPr>
        <w:numId w:val="15"/>
      </w:numPr>
    </w:pPr>
  </w:style>
  <w:style w:type="numbering" w:customStyle="1" w:styleId="WWOutlineListStyle16">
    <w:name w:val="WW_OutlineListStyle_16"/>
    <w:basedOn w:val="Bezseznamu"/>
    <w:pPr>
      <w:numPr>
        <w:numId w:val="16"/>
      </w:numPr>
    </w:pPr>
  </w:style>
  <w:style w:type="numbering" w:customStyle="1" w:styleId="WWOutlineListStyle15">
    <w:name w:val="WW_OutlineListStyle_15"/>
    <w:basedOn w:val="Bezseznamu"/>
    <w:pPr>
      <w:numPr>
        <w:numId w:val="17"/>
      </w:numPr>
    </w:pPr>
  </w:style>
  <w:style w:type="numbering" w:customStyle="1" w:styleId="WWOutlineListStyle14">
    <w:name w:val="WW_OutlineListStyle_14"/>
    <w:basedOn w:val="Bezseznamu"/>
    <w:pPr>
      <w:numPr>
        <w:numId w:val="18"/>
      </w:numPr>
    </w:pPr>
  </w:style>
  <w:style w:type="numbering" w:customStyle="1" w:styleId="WWOutlineListStyle13">
    <w:name w:val="WW_OutlineListStyle_13"/>
    <w:basedOn w:val="Bezseznamu"/>
    <w:pPr>
      <w:numPr>
        <w:numId w:val="19"/>
      </w:numPr>
    </w:pPr>
  </w:style>
  <w:style w:type="numbering" w:customStyle="1" w:styleId="WWOutlineListStyle12">
    <w:name w:val="WW_OutlineListStyle_12"/>
    <w:basedOn w:val="Bezseznamu"/>
    <w:pPr>
      <w:numPr>
        <w:numId w:val="20"/>
      </w:numPr>
    </w:pPr>
  </w:style>
  <w:style w:type="numbering" w:customStyle="1" w:styleId="WWOutlineListStyle11">
    <w:name w:val="WW_OutlineListStyle_11"/>
    <w:basedOn w:val="Bezseznamu"/>
    <w:pPr>
      <w:numPr>
        <w:numId w:val="21"/>
      </w:numPr>
    </w:pPr>
  </w:style>
  <w:style w:type="numbering" w:customStyle="1" w:styleId="WWOutlineListStyle10">
    <w:name w:val="WW_OutlineListStyle_10"/>
    <w:basedOn w:val="Bezseznamu"/>
    <w:pPr>
      <w:numPr>
        <w:numId w:val="22"/>
      </w:numPr>
    </w:pPr>
  </w:style>
  <w:style w:type="numbering" w:customStyle="1" w:styleId="WWOutlineListStyle9">
    <w:name w:val="WW_OutlineListStyle_9"/>
    <w:basedOn w:val="Bezseznamu"/>
    <w:pPr>
      <w:numPr>
        <w:numId w:val="23"/>
      </w:numPr>
    </w:pPr>
  </w:style>
  <w:style w:type="numbering" w:customStyle="1" w:styleId="WWOutlineListStyle8">
    <w:name w:val="WW_OutlineListStyle_8"/>
    <w:basedOn w:val="Bezseznamu"/>
    <w:pPr>
      <w:numPr>
        <w:numId w:val="24"/>
      </w:numPr>
    </w:pPr>
  </w:style>
  <w:style w:type="numbering" w:customStyle="1" w:styleId="WWOutlineListStyle7">
    <w:name w:val="WW_OutlineListStyle_7"/>
    <w:basedOn w:val="Bezseznamu"/>
    <w:pPr>
      <w:numPr>
        <w:numId w:val="25"/>
      </w:numPr>
    </w:pPr>
  </w:style>
  <w:style w:type="numbering" w:customStyle="1" w:styleId="WWOutlineListStyle6">
    <w:name w:val="WW_OutlineListStyle_6"/>
    <w:basedOn w:val="Bezseznamu"/>
    <w:pPr>
      <w:numPr>
        <w:numId w:val="26"/>
      </w:numPr>
    </w:pPr>
  </w:style>
  <w:style w:type="numbering" w:customStyle="1" w:styleId="WWOutlineListStyle5">
    <w:name w:val="WW_OutlineListStyle_5"/>
    <w:basedOn w:val="Bezseznamu"/>
    <w:pPr>
      <w:numPr>
        <w:numId w:val="27"/>
      </w:numPr>
    </w:pPr>
  </w:style>
  <w:style w:type="numbering" w:customStyle="1" w:styleId="WWOutlineListStyle4">
    <w:name w:val="WW_OutlineListStyle_4"/>
    <w:basedOn w:val="Bezseznamu"/>
    <w:pPr>
      <w:numPr>
        <w:numId w:val="28"/>
      </w:numPr>
    </w:pPr>
  </w:style>
  <w:style w:type="numbering" w:customStyle="1" w:styleId="WWOutlineListStyle3">
    <w:name w:val="WW_OutlineListStyle_3"/>
    <w:basedOn w:val="Bezseznamu"/>
    <w:pPr>
      <w:numPr>
        <w:numId w:val="29"/>
      </w:numPr>
    </w:pPr>
  </w:style>
  <w:style w:type="numbering" w:customStyle="1" w:styleId="WWOutlineListStyle2">
    <w:name w:val="WW_OutlineListStyle_2"/>
    <w:basedOn w:val="Bezseznamu"/>
    <w:pPr>
      <w:numPr>
        <w:numId w:val="30"/>
      </w:numPr>
    </w:pPr>
  </w:style>
  <w:style w:type="numbering" w:customStyle="1" w:styleId="WWOutlineListStyle1">
    <w:name w:val="WW_OutlineListStyle_1"/>
    <w:basedOn w:val="Bezseznamu"/>
    <w:pPr>
      <w:numPr>
        <w:numId w:val="31"/>
      </w:numPr>
    </w:pPr>
  </w:style>
  <w:style w:type="numbering" w:customStyle="1" w:styleId="WWOutlineListStyle">
    <w:name w:val="WW_OutlineListStyle"/>
    <w:basedOn w:val="Bezseznamu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824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dni 31. 12. 2010</dc:creator>
  <cp:lastModifiedBy>HP Monika</cp:lastModifiedBy>
  <cp:revision>5</cp:revision>
  <cp:lastPrinted>2011-06-29T10:13:00Z</cp:lastPrinted>
  <dcterms:created xsi:type="dcterms:W3CDTF">2026-04-23T09:36:00Z</dcterms:created>
  <dcterms:modified xsi:type="dcterms:W3CDTF">2026-04-23T10:28:00Z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0x0101009A3F5716E4BCDD4181534066BBDEAA99</vt:lpwstr>
  </property>
</Properties>
</file>