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Urgent B6 Computational Package — David Deliverable Instructions</w:t>
      </w:r>
    </w:p>
    <w:p>
      <w:pPr>
        <w:jc w:val="center"/>
      </w:pPr>
      <w:r>
        <w:rPr>
          <w:i/>
          <w:color w:val="505050"/>
          <w:sz w:val="20"/>
        </w:rPr>
        <w:t>Please return the completed templates and requested outputs by Tuesday local close of business (Eastern Time).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/>
            <w:r>
              <w:rPr>
                <w:b/>
                <w:color w:val="17365D"/>
                <w:sz w:val="20"/>
              </w:rPr>
              <w:t>Immediate confirmation requested</w:t>
            </w:r>
          </w:p>
        </w:tc>
      </w:tr>
      <w:tr>
        <w:tc>
          <w:tcPr>
            <w:tcW w:type="dxa" w:w="10080"/>
            <w:shd w:fill="F7F9FB"/>
            <w:vAlign w:val="center"/>
          </w:tcPr>
          <w:p>
            <w:r/>
            <w:r>
              <w:rPr>
                <w:b w:val="0"/>
                <w:sz w:val="20"/>
              </w:rPr>
              <w:t>After reviewing this request, please send Chris a short confirmation email stating: (1) that you understand the requested tasks and deadline; (2) whether you expect to complete them by Tuesday local COB; and (3) the main missing input or technical issue you foresee, if any.</w:t>
            </w:r>
          </w:p>
        </w:tc>
      </w:tr>
    </w:tbl>
    <w:p/>
    <w:p>
      <w:pPr>
        <w:pStyle w:val="Heading1"/>
      </w:pPr>
      <w:r>
        <w:rPr>
          <w:color w:val="0F6B6D"/>
        </w:rPr>
        <w:t>Frozen scope</w:t>
      </w:r>
    </w:p>
    <w:p>
      <w:r>
        <w:t>This is an urgent, tightly scoped computational package. Use one frozen repository commit and one common 2020 data pipeline. Do not work on scenario-based dispatch, scenario counts, new forecasting models, 2019/2021 extensions, grid charging, degradation, cost-model development, or reconciliation of older 1.73%, 2.97%, 13.95%, and 14.83% result sets.</w:t>
      </w:r>
    </w:p>
    <w:p>
      <w:pPr>
        <w:pStyle w:val="Heading1"/>
      </w:pPr>
      <w:r>
        <w:rPr>
          <w:color w:val="0F6B6D"/>
        </w:rPr>
        <w:t>Required email attachments</w:t>
      </w:r>
    </w:p>
    <w:p>
      <w:pPr>
        <w:pStyle w:val="ListBullet"/>
      </w:pPr>
      <w:r>
        <w:t>Completed `David_B6_Run_Configuration_and_Reproducibility_Template.docx`.</w:t>
      </w:r>
    </w:p>
    <w:p>
      <w:pPr>
        <w:pStyle w:val="ListBullet"/>
      </w:pPr>
      <w:r>
        <w:t>Completed `David_B6_Run_Results_and_QA_Template.xlsx`.</w:t>
      </w:r>
    </w:p>
    <w:p>
      <w:pPr>
        <w:pStyle w:val="ListBullet"/>
      </w:pPr>
      <w:r>
        <w:t>Six hourly output CSV files using the prescribed filenames.</w:t>
      </w:r>
    </w:p>
    <w:p>
      <w:pPr>
        <w:pStyle w:val="ListBullet"/>
      </w:pPr>
      <w:r>
        <w:t>One command/config/log package, preferably `David_B6_Commands_Configs_and_Logs.zip`.</w:t>
      </w:r>
    </w:p>
    <w:p>
      <w:pPr>
        <w:pStyle w:val="ListBullet"/>
      </w:pPr>
      <w:r>
        <w:t>A GitHub commit hash and repository URL. A repository ZIP is not required if all code changes and compact outputs are committed and publicly accessible.</w:t>
      </w:r>
    </w:p>
    <w:p>
      <w:pPr>
        <w:pStyle w:val="Heading1"/>
      </w:pPr>
      <w:r>
        <w:rPr>
          <w:color w:val="0F6B6D"/>
        </w:rPr>
        <w:t>Public repository check</w:t>
      </w:r>
    </w:p>
    <w:p>
      <w:r>
        <w:t>The current public repository already lists long historical processed datasets, including 2020 price files, and a Jan. 6-12, 2020 Nora comparison folder with hourly results, summary files, and the N+1 SOC setup. Please confirm the exact authoritative input files and commit used for this package. If the original MATLAB input files are not actually committed, note that explicitly; do not assume that a derived hourly-results CSV is identical to the original input package.</w:t>
      </w:r>
    </w:p>
    <w:p>
      <w:pPr>
        <w:pStyle w:val="Heading1"/>
      </w:pPr>
      <w:r>
        <w:rPr>
          <w:color w:val="0F6B6D"/>
        </w:rPr>
        <w:t>Required experiment</w:t>
      </w:r>
    </w:p>
    <w:p>
      <w:r>
        <w:t>Run exactly six 2020 cases using the same data, constraints, scoring, and solver settings: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6B6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Run ID</w:t>
            </w:r>
          </w:p>
        </w:tc>
        <w:tc>
          <w:tcPr>
            <w:tcW w:type="dxa" w:w="2016"/>
            <w:shd w:fill="0F6B6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2016"/>
            <w:shd w:fill="0F6B6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Power</w:t>
            </w:r>
          </w:p>
        </w:tc>
        <w:tc>
          <w:tcPr>
            <w:tcW w:type="dxa" w:w="2016"/>
            <w:shd w:fill="0F6B6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Energy</w:t>
            </w:r>
          </w:p>
        </w:tc>
        <w:tc>
          <w:tcPr>
            <w:tcW w:type="dxa" w:w="2016"/>
            <w:shd w:fill="0F6B6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Workflow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A_ORACLE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600 MWh (6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Full-year perfect-information oracle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A_CAUSAL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600 MWh (6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Frozen causal rolling-horizon 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B_ORACLE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200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600 MWh (3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Full-year perfect-information oracle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B_CAUSAL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200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600 MWh (3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Frozen causal rolling-horizon 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C_ORACLE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1000 MWh (10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Full-year perfect-information oracle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C_CAUSAL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 MW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1000 MWh (10 h)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Frozen causal rolling-horizon reference</w:t>
            </w:r>
          </w:p>
        </w:tc>
      </w:tr>
    </w:tbl>
    <w:p>
      <w:pPr>
        <w:pStyle w:val="Heading1"/>
      </w:pPr>
      <w:r>
        <w:rPr>
          <w:color w:val="0F6B6D"/>
        </w:rPr>
        <w:t>Required frozen causal reference</w:t>
      </w:r>
    </w:p>
    <w:p>
      <w:pPr>
        <w:pStyle w:val="ListBullet"/>
      </w:pPr>
      <w:r>
        <w:t>Year: 2020 only.</w:t>
      </w:r>
    </w:p>
    <w:p>
      <w:pPr>
        <w:pStyle w:val="ListBullet"/>
      </w:pPr>
      <w:r>
        <w:t>Planning horizon: 48 hours.</w:t>
      </w:r>
    </w:p>
    <w:p>
      <w:pPr>
        <w:pStyle w:val="ListBullet"/>
      </w:pPr>
      <w:r>
        <w:t>Execution / replanning step: 24 hours.</w:t>
      </w:r>
    </w:p>
    <w:p>
      <w:pPr>
        <w:pStyle w:val="ListBullet"/>
      </w:pPr>
      <w:r>
        <w:t>Forecasts choose the schedule; actual wind and actual raw price score the realized result.</w:t>
      </w:r>
    </w:p>
    <w:p>
      <w:pPr>
        <w:pStyle w:val="ListBullet"/>
      </w:pPr>
      <w:r>
        <w:t>Chronological SOC carryover between executed windows.</w:t>
      </w:r>
    </w:p>
    <w:p>
      <w:pPr>
        <w:pStyle w:val="ListBullet"/>
      </w:pPr>
      <w:r>
        <w:t>Wind-only charging; no grid charging.</w:t>
      </w:r>
    </w:p>
    <w:p>
      <w:pPr>
        <w:pStyle w:val="ListBullet"/>
      </w:pPr>
      <w:r>
        <w:t>Same grid export cap, efficiency convention, SOC fractions, terminal policy, solver tolerances, and data treatment across A/B/C.</w:t>
      </w:r>
    </w:p>
    <w:p>
      <w:pPr>
        <w:pStyle w:val="ListBullet"/>
      </w:pPr>
      <w:r>
        <w:t>Initial SOC must scale with architecture capacity using one common fraction confirmed by Nora.</w:t>
      </w:r>
    </w:p>
    <w:p>
      <w:pPr>
        <w:pStyle w:val="Heading1"/>
      </w:pPr>
      <w:r>
        <w:rPr>
          <w:color w:val="0F6B6D"/>
        </w:rPr>
        <w:t>Primary metric</w:t>
      </w:r>
    </w:p>
    <w:p>
      <w:r>
        <w:t>The primary metric is raw realized revenue in USD: sum of raw realized LMP in USD/MWh multiplied by realized delivered energy. Do not use capped price, normalized price, COVE, or profit as the primary architecture-comparison metric. Preserve negative raw prices. If the current causal pipeline cannot score raw realized LMP without changing other logic, stop and notify Chris before substituting another metric.</w:t>
      </w:r>
    </w:p>
    <w:p>
      <w:pPr>
        <w:pStyle w:val="Heading1"/>
      </w:pPr>
      <w:r>
        <w:rPr>
          <w:color w:val="0F6B6D"/>
        </w:rPr>
        <w:t>Required QA sequence</w:t>
      </w:r>
    </w:p>
    <w:p>
      <w:pPr>
        <w:pStyle w:val="ListNumber"/>
      </w:pPr>
      <w:r>
        <w:t>Freeze and record the commit hash, environment, Python version, Gurobi version, input file paths, and exact commands.</w:t>
      </w:r>
    </w:p>
    <w:p>
      <w:pPr>
        <w:pStyle w:val="ListNumber"/>
      </w:pPr>
      <w:r>
        <w:t>Confirm that the Jan. 6-12, 2020 Nora case can be reproduced or explain the current difference.</w:t>
      </w:r>
    </w:p>
    <w:p>
      <w:pPr>
        <w:pStyle w:val="ListNumber"/>
      </w:pPr>
      <w:r>
        <w:t>Run A_ORACLE and A_CAUSAL first as smoke tests.</w:t>
      </w:r>
    </w:p>
    <w:p>
      <w:pPr>
        <w:pStyle w:val="ListNumber"/>
      </w:pPr>
      <w:r>
        <w:t>Verify SOC bounds, chronological carryover, initial/final SOC handling, wind-only charging, grid cap, energy balance, and zero charge/discharge simultaneity violations.</w:t>
      </w:r>
    </w:p>
    <w:p>
      <w:pPr>
        <w:pStyle w:val="ListNumber"/>
      </w:pPr>
      <w:r>
        <w:t>After the smoke tests pass, run B_ORACLE, B_CAUSAL, C_ORACLE, and C_CAUSAL without changing any common setting.</w:t>
      </w:r>
    </w:p>
    <w:p>
      <w:pPr>
        <w:pStyle w:val="ListNumber"/>
      </w:pPr>
      <w:r>
        <w:t>Complete the XLSX, attach the six hourly CSV files, and include command/config/log files.</w:t>
      </w:r>
    </w:p>
    <w:p>
      <w:pPr>
        <w:pStyle w:val="Heading1"/>
      </w:pPr>
      <w:r>
        <w:rPr>
          <w:color w:val="0F6B6D"/>
        </w:rPr>
        <w:t>Prescribed hourly filenames</w:t>
      </w:r>
    </w:p>
    <w:p>
      <w:pPr>
        <w:pStyle w:val="ListBullet"/>
      </w:pPr>
      <w:r>
        <w:t>David_B6_A_ORACLE_2020_Hourly.csv</w:t>
      </w:r>
    </w:p>
    <w:p>
      <w:pPr>
        <w:pStyle w:val="ListBullet"/>
      </w:pPr>
      <w:r>
        <w:t>David_B6_A_CAUSAL_2020_Hourly.csv</w:t>
      </w:r>
    </w:p>
    <w:p>
      <w:pPr>
        <w:pStyle w:val="ListBullet"/>
      </w:pPr>
      <w:r>
        <w:t>David_B6_B_ORACLE_2020_Hourly.csv</w:t>
      </w:r>
    </w:p>
    <w:p>
      <w:pPr>
        <w:pStyle w:val="ListBullet"/>
      </w:pPr>
      <w:r>
        <w:t>David_B6_B_CAUSAL_2020_Hourly.csv</w:t>
      </w:r>
    </w:p>
    <w:p>
      <w:pPr>
        <w:pStyle w:val="ListBullet"/>
      </w:pPr>
      <w:r>
        <w:t>David_B6_C_ORACLE_2020_Hourly.csv</w:t>
      </w:r>
    </w:p>
    <w:p>
      <w:pPr>
        <w:pStyle w:val="ListBullet"/>
      </w:pPr>
      <w:r>
        <w:t>David_B6_C_CAUSAL_2020_Hourly.csv</w:t>
      </w:r>
    </w:p>
    <w:p>
      <w:pPr>
        <w:pStyle w:val="Heading1"/>
      </w:pPr>
      <w:r>
        <w:rPr>
          <w:color w:val="0F6B6D"/>
        </w:rPr>
        <w:t>Minimum hourly columns</w:t>
      </w:r>
    </w:p>
    <w:p>
      <w:r>
        <w:t>timestamp, actual_wind_MW, actual_raw_price_USD_per_MWh, forecast_wind_MW, forecast_price_USD_per_MWh, direct_wind_MW, charge_MW, discharge_MW, delivered_power_MW, SOC_start_MWh, SOC_end_MWh, curtailed_wind_MW, hourly_raw_revenue_USD, solver_status_or_window_id.</w:t>
      </w:r>
    </w:p>
    <w:p>
      <w:pPr>
        <w:pStyle w:val="Heading1"/>
      </w:pPr>
      <w:r>
        <w:rPr>
          <w:color w:val="0F6B6D"/>
        </w:rPr>
        <w:t>Submission note</w:t>
      </w:r>
    </w:p>
    <w:p>
      <w:r>
        <w:t>Please attach the completed DOCX and XLSX to your reply email. Compact outputs may also be committed to the repository, but the filled templates and requested CSV/log attachments should be included in the email so that the package is self-contained.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Completed B6 Computational Package Response</w:t>
      </w:r>
    </w:p>
    <w:p>
      <w:r>
        <w:t>This section completes the requested B6 package using one frozen repository commit, one common 2020 data pipeline, the six specified A/B/C oracle and causal cases, and raw realized revenue in USD as the primary metric.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Completed B6 value</w:t>
            </w:r>
          </w:p>
        </w:tc>
      </w:tr>
      <w:tr>
        <w:tc>
          <w:tcPr>
            <w:tcW w:type="dxa" w:w="5040"/>
          </w:tcPr>
          <w:p>
            <w:r>
              <w:t>Repository URL</w:t>
            </w:r>
          </w:p>
        </w:tc>
        <w:tc>
          <w:tcPr>
            <w:tcW w:type="dxa" w:w="5040"/>
          </w:tcPr>
          <w:p>
            <w:r>
              <w:t>https://github.com/davidvalenta-dev/deep-wind-model-dispatch.git</w:t>
            </w:r>
          </w:p>
        </w:tc>
      </w:tr>
      <w:tr>
        <w:tc>
          <w:tcPr>
            <w:tcW w:type="dxa" w:w="5040"/>
          </w:tcPr>
          <w:p>
            <w:r>
              <w:t>Frozen commit hash</w:t>
            </w:r>
          </w:p>
        </w:tc>
        <w:tc>
          <w:tcPr>
            <w:tcW w:type="dxa" w:w="5040"/>
          </w:tcPr>
          <w:p>
            <w:r>
              <w:t>b14f5d183c4df1824a75d3da3bdbbb0062f6a110</w:t>
            </w:r>
          </w:p>
        </w:tc>
      </w:tr>
      <w:tr>
        <w:tc>
          <w:tcPr>
            <w:tcW w:type="dxa" w:w="5040"/>
          </w:tcPr>
          <w:p>
            <w:r>
              <w:t>Git status at run time</w:t>
            </w:r>
          </w:p>
        </w:tc>
        <w:tc>
          <w:tcPr>
            <w:tcW w:type="dxa" w:w="5040"/>
          </w:tcPr>
          <w:p>
            <w:r>
              <w:t>Clean</w:t>
            </w:r>
          </w:p>
        </w:tc>
      </w:tr>
      <w:tr>
        <w:tc>
          <w:tcPr>
            <w:tcW w:type="dxa" w:w="5040"/>
          </w:tcPr>
          <w:p>
            <w:r>
              <w:t>Python version</w:t>
            </w:r>
          </w:p>
        </w:tc>
        <w:tc>
          <w:tcPr>
            <w:tcW w:type="dxa" w:w="5040"/>
          </w:tcPr>
          <w:p>
            <w:r>
              <w:t>3.11.9 (v3.11.9:de54cf5be3, Apr  2 2024, 07:12:50)</w:t>
            </w:r>
          </w:p>
        </w:tc>
      </w:tr>
      <w:tr>
        <w:tc>
          <w:tcPr>
            <w:tcW w:type="dxa" w:w="5040"/>
          </w:tcPr>
          <w:p>
            <w:r>
              <w:t>Gurobi version</w:t>
            </w:r>
          </w:p>
        </w:tc>
        <w:tc>
          <w:tcPr>
            <w:tcW w:type="dxa" w:w="5040"/>
          </w:tcPr>
          <w:p>
            <w:r>
              <w:t>13.0.2</w:t>
            </w:r>
          </w:p>
        </w:tc>
      </w:tr>
      <w:tr>
        <w:tc>
          <w:tcPr>
            <w:tcW w:type="dxa" w:w="5040"/>
          </w:tcPr>
          <w:p>
            <w:r>
              <w:t>Primary metric</w:t>
            </w:r>
          </w:p>
        </w:tc>
        <w:tc>
          <w:tcPr>
            <w:tcW w:type="dxa" w:w="5040"/>
          </w:tcPr>
          <w:p>
            <w:r>
              <w:t>raw realized revenue USD = sum(delivered_power_MW * actual_raw_price_USD_per_MWh)</w:t>
            </w:r>
          </w:p>
        </w:tc>
      </w:tr>
      <w:tr>
        <w:tc>
          <w:tcPr>
            <w:tcW w:type="dxa" w:w="5040"/>
          </w:tcPr>
          <w:p>
            <w:r>
              <w:t>Data coverage</w:t>
            </w:r>
          </w:p>
        </w:tc>
        <w:tc>
          <w:tcPr>
            <w:tcW w:type="dxa" w:w="5040"/>
          </w:tcPr>
          <w:p>
            <w:r>
              <w:t>Aligned 2020 wind and price series both contain 8784 hourly records, 2020-01-01 00:00:00 through 2020-12-31 23:00:00.</w:t>
            </w:r>
          </w:p>
        </w:tc>
      </w:tr>
      <w:tr>
        <w:tc>
          <w:tcPr>
            <w:tcW w:type="dxa" w:w="5040"/>
          </w:tcPr>
          <w:p>
            <w:r>
              <w:t>Wind input file</w:t>
            </w:r>
          </w:p>
        </w:tc>
        <w:tc>
          <w:tcPr>
            <w:tcW w:type="dxa" w:w="5040"/>
          </w:tcPr>
          <w:p>
            <w:r>
              <w:t>/Users/davidvalenta/deep-wind-model-dispatch/data/processed/pyron_power.csv</w:t>
            </w:r>
          </w:p>
        </w:tc>
      </w:tr>
      <w:tr>
        <w:tc>
          <w:tcPr>
            <w:tcW w:type="dxa" w:w="5040"/>
          </w:tcPr>
          <w:p>
            <w:r>
              <w:t>Raw LMP input file</w:t>
            </w:r>
          </w:p>
        </w:tc>
        <w:tc>
          <w:tcPr>
            <w:tcW w:type="dxa" w:w="5040"/>
          </w:tcPr>
          <w:p>
            <w:r>
              <w:t>/Users/davidvalenta/deep-wind-model-dispatch/data/raw/prices/12cfb125-8fa9-4401-8b0f-9d928544b721.csv</w:t>
            </w:r>
          </w:p>
        </w:tc>
      </w:tr>
      <w:tr>
        <w:tc>
          <w:tcPr>
            <w:tcW w:type="dxa" w:w="5040"/>
          </w:tcPr>
          <w:p>
            <w:r>
              <w:t>Forecast method</w:t>
            </w:r>
          </w:p>
        </w:tc>
        <w:tc>
          <w:tcPr>
            <w:tcW w:type="dxa" w:w="5040"/>
          </w:tcPr>
          <w:p>
            <w:r>
              <w:t>existing-style causal ridge lag/calendar direct forecast trained on /Users/davidvalenta/deep-wind-model-dispatch/data/processed/dataset_2018-21.csv.</w:t>
            </w:r>
          </w:p>
        </w:tc>
      </w:tr>
    </w:tbl>
    <w:p>
      <w:pPr>
        <w:pStyle w:val="Heading1"/>
      </w:pPr>
      <w:r>
        <w:t>Chris Follow-Up Confirmations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Completed B6 value</w:t>
            </w:r>
          </w:p>
        </w:tc>
      </w:tr>
      <w:tr>
        <w:tc>
          <w:tcPr>
            <w:tcW w:type="dxa" w:w="5040"/>
          </w:tcPr>
          <w:p>
            <w:r>
              <w:t>Complete 2020 wind file used</w:t>
            </w:r>
          </w:p>
        </w:tc>
        <w:tc>
          <w:tcPr>
            <w:tcW w:type="dxa" w:w="5040"/>
          </w:tcPr>
          <w:p>
            <w:r>
              <w:t>/Users/davidvalenta/deep-wind-model-dispatch/data/processed/pyron_power.csv (8784 hourly 2020 records).</w:t>
            </w:r>
          </w:p>
        </w:tc>
      </w:tr>
      <w:tr>
        <w:tc>
          <w:tcPr>
            <w:tcW w:type="dxa" w:w="5040"/>
          </w:tcPr>
          <w:p>
            <w:r>
              <w:t>Complete 2020 raw price file used</w:t>
            </w:r>
          </w:p>
        </w:tc>
        <w:tc>
          <w:tcPr>
            <w:tcW w:type="dxa" w:w="5040"/>
          </w:tcPr>
          <w:p>
            <w:r>
              <w:t>/Users/davidvalenta/deep-wind-model-dispatch/data/raw/prices/12cfb125-8fa9-4401-8b0f-9d928544b721.csv (8784 hourly 2020 records).</w:t>
            </w:r>
          </w:p>
        </w:tc>
      </w:tr>
      <w:tr>
        <w:tc>
          <w:tcPr>
            <w:tcW w:type="dxa" w:w="5040"/>
          </w:tcPr>
          <w:p>
            <w:r>
              <w:t>Older combined file not used</w:t>
            </w:r>
          </w:p>
        </w:tc>
        <w:tc>
          <w:tcPr>
            <w:tcW w:type="dxa" w:w="5040"/>
          </w:tcPr>
          <w:p>
            <w:r>
              <w:t>/Users/davidvalenta/deep-wind-model-dispatch/data/processed/dataset_1980-2023_withloads_fix.csv</w:t>
            </w:r>
          </w:p>
        </w:tc>
      </w:tr>
      <w:tr>
        <w:tc>
          <w:tcPr>
            <w:tcW w:type="dxa" w:w="5040"/>
          </w:tcPr>
          <w:p>
            <w:r>
              <w:t>Missing timestamp in older combined file</w:t>
            </w:r>
          </w:p>
        </w:tc>
        <w:tc>
          <w:tcPr>
            <w:tcW w:type="dxa" w:w="5040"/>
          </w:tcPr>
          <w:p>
            <w:r>
              <w:t>2020-11-15 23:00:00; older combined file has 8783 records for 2020, not 8,784.</w:t>
            </w:r>
          </w:p>
        </w:tc>
      </w:tr>
      <w:tr>
        <w:tc>
          <w:tcPr>
            <w:tcW w:type="dxa" w:w="5040"/>
          </w:tcPr>
          <w:p>
            <w:r>
              <w:t>Primary revenue calculation</w:t>
            </w:r>
          </w:p>
        </w:tc>
        <w:tc>
          <w:tcPr>
            <w:tcW w:type="dxa" w:w="5040"/>
          </w:tcPr>
          <w:p>
            <w:r>
              <w:t>hourly_raw_revenue_USD = delivered_power_MW * actual_raw_price_USD_per_MWh.</w:t>
            </w:r>
          </w:p>
        </w:tc>
      </w:tr>
      <w:tr>
        <w:tc>
          <w:tcPr>
            <w:tcW w:type="dxa" w:w="5040"/>
          </w:tcPr>
          <w:p>
            <w:r>
              <w:t>Raw price treatment</w:t>
            </w:r>
          </w:p>
        </w:tc>
        <w:tc>
          <w:tcPr>
            <w:tcW w:type="dxa" w:w="5040"/>
          </w:tcPr>
          <w:p>
            <w:r>
              <w:t>The primary metric uses raw, uncapped, unnormalized USD/MWh LMP; negative prices are preserved.</w:t>
            </w:r>
          </w:p>
        </w:tc>
      </w:tr>
      <w:tr>
        <w:tc>
          <w:tcPr>
            <w:tcW w:type="dxa" w:w="5040"/>
          </w:tcPr>
          <w:p>
            <w:r>
              <w:t>Same frozen configuration</w:t>
            </w:r>
          </w:p>
        </w:tc>
        <w:tc>
          <w:tcPr>
            <w:tcW w:type="dxa" w:w="5040"/>
          </w:tcPr>
          <w:p>
            <w:r>
              <w:t>All six A/B/C oracle and causal runs use the same data alignment, storage constraints, raw price scoring, grid cap, RTE, SoC fractions, and solver tolerances.</w:t>
            </w:r>
          </w:p>
        </w:tc>
      </w:tr>
    </w:tbl>
    <w:p>
      <w:pPr>
        <w:pStyle w:val="Heading1"/>
      </w:pPr>
      <w:r>
        <w:t>Frozen Model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Completed B6 value</w:t>
            </w:r>
          </w:p>
        </w:tc>
      </w:tr>
      <w:tr>
        <w:tc>
          <w:tcPr>
            <w:tcW w:type="dxa" w:w="5040"/>
          </w:tcPr>
          <w:p>
            <w:r>
              <w:t>Architectures</w:t>
            </w:r>
          </w:p>
        </w:tc>
        <w:tc>
          <w:tcPr>
            <w:tcW w:type="dxa" w:w="5040"/>
          </w:tcPr>
          <w:p>
            <w:r>
              <w:t>A = 100 MW / 600 MWh; B = 200 MW / 600 MWh; C = 100 MW / 1000 MWh.</w:t>
            </w:r>
          </w:p>
        </w:tc>
      </w:tr>
      <w:tr>
        <w:tc>
          <w:tcPr>
            <w:tcW w:type="dxa" w:w="5040"/>
          </w:tcPr>
          <w:p>
            <w:r>
              <w:t>Causal horizon and execution</w:t>
            </w:r>
          </w:p>
        </w:tc>
        <w:tc>
          <w:tcPr>
            <w:tcW w:type="dxa" w:w="5040"/>
          </w:tcPr>
          <w:p>
            <w:r>
              <w:t>48 h planning horizon; 24 h execution/replanning step.</w:t>
            </w:r>
          </w:p>
        </w:tc>
      </w:tr>
      <w:tr>
        <w:tc>
          <w:tcPr>
            <w:tcW w:type="dxa" w:w="5040"/>
          </w:tcPr>
          <w:p>
            <w:r>
              <w:t>Storage type and RTE</w:t>
            </w:r>
          </w:p>
        </w:tc>
        <w:tc>
          <w:tcPr>
            <w:tcW w:type="dxa" w:w="5040"/>
          </w:tcPr>
          <w:p>
            <w:r>
              <w:t>CAES, RTE = 0.55.</w:t>
            </w:r>
          </w:p>
        </w:tc>
      </w:tr>
      <w:tr>
        <w:tc>
          <w:tcPr>
            <w:tcW w:type="dxa" w:w="5040"/>
          </w:tcPr>
          <w:p>
            <w:r>
              <w:t>Depth of discharge / min SoC</w:t>
            </w:r>
          </w:p>
        </w:tc>
        <w:tc>
          <w:tcPr>
            <w:tcW w:type="dxa" w:w="5040"/>
          </w:tcPr>
          <w:p>
            <w:r>
              <w:t>DoD = 0.8; minimum SoC fraction = 0.2.</w:t>
            </w:r>
          </w:p>
        </w:tc>
      </w:tr>
      <w:tr>
        <w:tc>
          <w:tcPr>
            <w:tcW w:type="dxa" w:w="5040"/>
          </w:tcPr>
          <w:p>
            <w:r>
              <w:t>Initial SoC fraction</w:t>
            </w:r>
          </w:p>
        </w:tc>
        <w:tc>
          <w:tcPr>
            <w:tcW w:type="dxa" w:w="5040"/>
          </w:tcPr>
          <w:p>
            <w:r>
              <w:t>0.6 of each architecture's energy capacity.</w:t>
            </w:r>
          </w:p>
        </w:tc>
      </w:tr>
      <w:tr>
        <w:tc>
          <w:tcPr>
            <w:tcW w:type="dxa" w:w="5040"/>
          </w:tcPr>
          <w:p>
            <w:r>
              <w:t>Terminal policy</w:t>
            </w:r>
          </w:p>
        </w:tc>
        <w:tc>
          <w:tcPr>
            <w:tcW w:type="dxa" w:w="5040"/>
          </w:tcPr>
          <w:p>
            <w:r>
              <w:t>equal initial SOC for each optimization horizon; causal executed SOC carries chronologically</w:t>
            </w:r>
          </w:p>
        </w:tc>
      </w:tr>
      <w:tr>
        <w:tc>
          <w:tcPr>
            <w:tcW w:type="dxa" w:w="5040"/>
          </w:tcPr>
          <w:p>
            <w:r>
              <w:t>Grid export cap</w:t>
            </w:r>
          </w:p>
        </w:tc>
        <w:tc>
          <w:tcPr>
            <w:tcW w:type="dxa" w:w="5040"/>
          </w:tcPr>
          <w:p>
            <w:r>
              <w:t>249.0 MW.</w:t>
            </w:r>
          </w:p>
        </w:tc>
      </w:tr>
      <w:tr>
        <w:tc>
          <w:tcPr>
            <w:tcW w:type="dxa" w:w="5040"/>
          </w:tcPr>
          <w:p>
            <w:r>
              <w:t>Charging policy</w:t>
            </w:r>
          </w:p>
        </w:tc>
        <w:tc>
          <w:tcPr>
            <w:tcW w:type="dxa" w:w="5040"/>
          </w:tcPr>
          <w:p>
            <w:r>
              <w:t>wind-only; no grid charging</w:t>
            </w:r>
          </w:p>
        </w:tc>
      </w:tr>
      <w:tr>
        <w:tc>
          <w:tcPr>
            <w:tcW w:type="dxa" w:w="5040"/>
          </w:tcPr>
          <w:p>
            <w:r>
              <w:t>Solver tolerances</w:t>
            </w:r>
          </w:p>
        </w:tc>
        <w:tc>
          <w:tcPr>
            <w:tcW w:type="dxa" w:w="5040"/>
          </w:tcPr>
          <w:p>
            <w:r>
              <w:t>MIPGap = 1e-06; oracle time limit = 1800.0 s; causal window time limit = 120.0 s.</w:t>
            </w:r>
          </w:p>
        </w:tc>
      </w:tr>
    </w:tbl>
    <w:p>
      <w:r>
        <w:br w:type="page"/>
      </w:r>
    </w:p>
    <w:p>
      <w:pPr>
        <w:pStyle w:val="Heading1"/>
      </w:pPr>
      <w:r>
        <w:t>Run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Revenue</w:t>
            </w:r>
          </w:p>
        </w:tc>
        <w:tc>
          <w:tcPr>
            <w:tcW w:type="dxa" w:w="1440"/>
          </w:tcPr>
          <w:p>
            <w:r>
              <w:t>Rows</w:t>
            </w:r>
          </w:p>
        </w:tc>
        <w:tc>
          <w:tcPr>
            <w:tcW w:type="dxa" w:w="1440"/>
          </w:tcPr>
          <w:p>
            <w:r>
              <w:t>Violations</w:t>
            </w:r>
          </w:p>
        </w:tc>
      </w:tr>
      <w:tr>
        <w:tc>
          <w:tcPr>
            <w:tcW w:type="dxa" w:w="1440"/>
          </w:tcPr>
          <w:p>
            <w:r>
              <w:t>A_ORACLE</w:t>
            </w:r>
          </w:p>
        </w:tc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100 MW</w:t>
            </w:r>
          </w:p>
        </w:tc>
        <w:tc>
          <w:tcPr>
            <w:tcW w:type="dxa" w:w="1440"/>
          </w:tcPr>
          <w:p>
            <w:r>
              <w:t>600 MWh</w:t>
            </w:r>
          </w:p>
        </w:tc>
        <w:tc>
          <w:tcPr>
            <w:tcW w:type="dxa" w:w="1440"/>
          </w:tcPr>
          <w:p>
            <w:r>
              <w:t>$12,927,584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A_CAUSAL</w:t>
            </w:r>
          </w:p>
        </w:tc>
        <w:tc>
          <w:tcPr>
            <w:tcW w:type="dxa" w:w="1440"/>
          </w:tcPr>
          <w:p>
            <w:r>
              <w:t>Causal</w:t>
            </w:r>
          </w:p>
        </w:tc>
        <w:tc>
          <w:tcPr>
            <w:tcW w:type="dxa" w:w="1440"/>
          </w:tcPr>
          <w:p>
            <w:r>
              <w:t>100 MW</w:t>
            </w:r>
          </w:p>
        </w:tc>
        <w:tc>
          <w:tcPr>
            <w:tcW w:type="dxa" w:w="1440"/>
          </w:tcPr>
          <w:p>
            <w:r>
              <w:t>600 MWh</w:t>
            </w:r>
          </w:p>
        </w:tc>
        <w:tc>
          <w:tcPr>
            <w:tcW w:type="dxa" w:w="1440"/>
          </w:tcPr>
          <w:p>
            <w:r>
              <w:t>$10,557,976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B_ORACLE</w:t>
            </w:r>
          </w:p>
        </w:tc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200 MW</w:t>
            </w:r>
          </w:p>
        </w:tc>
        <w:tc>
          <w:tcPr>
            <w:tcW w:type="dxa" w:w="1440"/>
          </w:tcPr>
          <w:p>
            <w:r>
              <w:t>600 MWh</w:t>
            </w:r>
          </w:p>
        </w:tc>
        <w:tc>
          <w:tcPr>
            <w:tcW w:type="dxa" w:w="1440"/>
          </w:tcPr>
          <w:p>
            <w:r>
              <w:t>$13,810,034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B_CAUSAL</w:t>
            </w:r>
          </w:p>
        </w:tc>
        <w:tc>
          <w:tcPr>
            <w:tcW w:type="dxa" w:w="1440"/>
          </w:tcPr>
          <w:p>
            <w:r>
              <w:t>Causal</w:t>
            </w:r>
          </w:p>
        </w:tc>
        <w:tc>
          <w:tcPr>
            <w:tcW w:type="dxa" w:w="1440"/>
          </w:tcPr>
          <w:p>
            <w:r>
              <w:t>200 MW</w:t>
            </w:r>
          </w:p>
        </w:tc>
        <w:tc>
          <w:tcPr>
            <w:tcW w:type="dxa" w:w="1440"/>
          </w:tcPr>
          <w:p>
            <w:r>
              <w:t>600 MWh</w:t>
            </w:r>
          </w:p>
        </w:tc>
        <w:tc>
          <w:tcPr>
            <w:tcW w:type="dxa" w:w="1440"/>
          </w:tcPr>
          <w:p>
            <w:r>
              <w:t>$10,518,683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C_ORACLE</w:t>
            </w:r>
          </w:p>
        </w:tc>
        <w:tc>
          <w:tcPr>
            <w:tcW w:type="dxa" w:w="1440"/>
          </w:tcPr>
          <w:p>
            <w:r>
              <w:t>Oracle</w:t>
            </w:r>
          </w:p>
        </w:tc>
        <w:tc>
          <w:tcPr>
            <w:tcW w:type="dxa" w:w="1440"/>
          </w:tcPr>
          <w:p>
            <w:r>
              <w:t>100 MW</w:t>
            </w:r>
          </w:p>
        </w:tc>
        <w:tc>
          <w:tcPr>
            <w:tcW w:type="dxa" w:w="1440"/>
          </w:tcPr>
          <w:p>
            <w:r>
              <w:t>1000 MWh</w:t>
            </w:r>
          </w:p>
        </w:tc>
        <w:tc>
          <w:tcPr>
            <w:tcW w:type="dxa" w:w="1440"/>
          </w:tcPr>
          <w:p>
            <w:r>
              <w:t>$13,398,120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C_CAUSAL</w:t>
            </w:r>
          </w:p>
        </w:tc>
        <w:tc>
          <w:tcPr>
            <w:tcW w:type="dxa" w:w="1440"/>
          </w:tcPr>
          <w:p>
            <w:r>
              <w:t>Causal</w:t>
            </w:r>
          </w:p>
        </w:tc>
        <w:tc>
          <w:tcPr>
            <w:tcW w:type="dxa" w:w="1440"/>
          </w:tcPr>
          <w:p>
            <w:r>
              <w:t>100 MW</w:t>
            </w:r>
          </w:p>
        </w:tc>
        <w:tc>
          <w:tcPr>
            <w:tcW w:type="dxa" w:w="1440"/>
          </w:tcPr>
          <w:p>
            <w:r>
              <w:t>1000 MWh</w:t>
            </w:r>
          </w:p>
        </w:tc>
        <w:tc>
          <w:tcPr>
            <w:tcW w:type="dxa" w:w="1440"/>
          </w:tcPr>
          <w:p>
            <w:r>
              <w:t>$10,736,544</w:t>
            </w:r>
          </w:p>
        </w:tc>
        <w:tc>
          <w:tcPr>
            <w:tcW w:type="dxa" w:w="1440"/>
          </w:tcPr>
          <w:p>
            <w:r>
              <w:t>8784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All six runs solved to OPTIMAL status. Each hourly CSV contains 8784 data rows for leap-year 2020, starting at 2020-01-01 00:00:00 and ending at 2020-12-31 23:00:00.</w:t>
      </w:r>
    </w:p>
    <w:p>
      <w:pPr>
        <w:pStyle w:val="Heading1"/>
      </w:pPr>
      <w:r>
        <w:t>QA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Completed B6 value</w:t>
            </w:r>
          </w:p>
        </w:tc>
      </w:tr>
      <w:tr>
        <w:tc>
          <w:tcPr>
            <w:tcW w:type="dxa" w:w="5040"/>
          </w:tcPr>
          <w:p>
            <w:r>
              <w:t>SOC bounds</w:t>
            </w:r>
          </w:p>
        </w:tc>
        <w:tc>
          <w:tcPr>
            <w:tcW w:type="dxa" w:w="5040"/>
          </w:tcPr>
          <w:p>
            <w:r>
              <w:t>0 below-minimum violations and 0 above-maximum violations in all six runs.</w:t>
            </w:r>
          </w:p>
        </w:tc>
      </w:tr>
      <w:tr>
        <w:tc>
          <w:tcPr>
            <w:tcW w:type="dxa" w:w="5040"/>
          </w:tcPr>
          <w:p>
            <w:r>
              <w:t>Simultaneous charge/discharge</w:t>
            </w:r>
          </w:p>
        </w:tc>
        <w:tc>
          <w:tcPr>
            <w:tcW w:type="dxa" w:w="5040"/>
          </w:tcPr>
          <w:p>
            <w:r>
              <w:t>0 violations in all six runs.</w:t>
            </w:r>
          </w:p>
        </w:tc>
      </w:tr>
      <w:tr>
        <w:tc>
          <w:tcPr>
            <w:tcW w:type="dxa" w:w="5040"/>
          </w:tcPr>
          <w:p>
            <w:r>
              <w:t>Wind-only charging</w:t>
            </w:r>
          </w:p>
        </w:tc>
        <w:tc>
          <w:tcPr>
            <w:tcW w:type="dxa" w:w="5040"/>
          </w:tcPr>
          <w:p>
            <w:r>
              <w:t>0 violations in all six runs.</w:t>
            </w:r>
          </w:p>
        </w:tc>
      </w:tr>
      <w:tr>
        <w:tc>
          <w:tcPr>
            <w:tcW w:type="dxa" w:w="5040"/>
          </w:tcPr>
          <w:p>
            <w:r>
              <w:t>Grid export cap</w:t>
            </w:r>
          </w:p>
        </w:tc>
        <w:tc>
          <w:tcPr>
            <w:tcW w:type="dxa" w:w="5040"/>
          </w:tcPr>
          <w:p>
            <w:r>
              <w:t>0 violations in all six runs.</w:t>
            </w:r>
          </w:p>
        </w:tc>
      </w:tr>
      <w:tr>
        <w:tc>
          <w:tcPr>
            <w:tcW w:type="dxa" w:w="5040"/>
          </w:tcPr>
          <w:p>
            <w:r>
              <w:t>Energy availability</w:t>
            </w:r>
          </w:p>
        </w:tc>
        <w:tc>
          <w:tcPr>
            <w:tcW w:type="dxa" w:w="5040"/>
          </w:tcPr>
          <w:p>
            <w:r>
              <w:t>0 discharge availability violations in all six runs.</w:t>
            </w:r>
          </w:p>
        </w:tc>
      </w:tr>
      <w:tr>
        <w:tc>
          <w:tcPr>
            <w:tcW w:type="dxa" w:w="5040"/>
          </w:tcPr>
          <w:p>
            <w:r>
              <w:t>Energy balance</w:t>
            </w:r>
          </w:p>
        </w:tc>
        <w:tc>
          <w:tcPr>
            <w:tcW w:type="dxa" w:w="5040"/>
          </w:tcPr>
          <w:p>
            <w:r>
              <w:t>Maximum SoC-update residual is numerical tolerance only; see David_B6_QA_summary.csv.</w:t>
            </w:r>
          </w:p>
        </w:tc>
      </w:tr>
      <w:tr>
        <w:tc>
          <w:tcPr>
            <w:tcW w:type="dxa" w:w="5040"/>
          </w:tcPr>
          <w:p>
            <w:r>
              <w:t>Revenue check</w:t>
            </w:r>
          </w:p>
        </w:tc>
        <w:tc>
          <w:tcPr>
            <w:tcW w:type="dxa" w:w="5040"/>
          </w:tcPr>
          <w:p>
            <w:r>
              <w:t>Hourly revenue sums exactly to each run-summary revenue within recorded tolerance.</w:t>
            </w:r>
          </w:p>
        </w:tc>
      </w:tr>
    </w:tbl>
    <w:p>
      <w:pPr>
        <w:pStyle w:val="Heading1"/>
      </w:pPr>
      <w:r>
        <w:t>Data and Nora Comparison Note</w:t>
      </w:r>
    </w:p>
    <w:p>
      <w:r>
        <w:t>The B6 package uses the committed Pyron 2020 wind/power file and the committed raw PYR_PYRON1 price file. The aligned wind and price series each contain all 8,784 hourly records for leap-year 2020. The raw local source labels include daylight-saving skip/repeat behavior, so the B6 runner aligns power and raw LMP by chronological 2020 row order onto a continuous 8784-hour 2020 output index.</w:t>
      </w:r>
    </w:p>
    <w:p>
      <w:r>
        <w:t>The older combined file /Users/davidvalenta/deep-wind-model-dispatch/data/processed/dataset_1980-2023_withloads_fix.csv was not used for B6 because its 2020 slice has 8783 records and is missing 2020-11-15 23:00:00. The repo also contains derived Nora weekly comparison results, including the N+1 SoC setup outputs. The original authoritative weekly Excel/MATLAB input file used in the earlier Nora exchange was local in Downloads and is not committed in the public repository; this is noted explicitly in the XLSX audit.</w:t>
      </w:r>
    </w:p>
    <w:p>
      <w:pPr>
        <w:pStyle w:val="Heading1"/>
      </w:pPr>
      <w:r>
        <w:t>Files Included</w:t>
      </w:r>
    </w:p>
    <w:p>
      <w:pPr>
        <w:pStyle w:val="ListBullet"/>
      </w:pPr>
      <w:r>
        <w:t>David_B6_Run_Configuration_and_Reproducibility_Completed.docx</w:t>
      </w:r>
    </w:p>
    <w:p>
      <w:pPr>
        <w:pStyle w:val="ListBullet"/>
      </w:pPr>
      <w:r>
        <w:t>David_B6_Run_Results_and_QA_Completed.xlsx</w:t>
      </w:r>
    </w:p>
    <w:p>
      <w:pPr>
        <w:pStyle w:val="ListBullet"/>
      </w:pPr>
      <w:r>
        <w:t>David_B6_A_ORACLE_2020_Hourly.csv</w:t>
      </w:r>
    </w:p>
    <w:p>
      <w:pPr>
        <w:pStyle w:val="ListBullet"/>
      </w:pPr>
      <w:r>
        <w:t>David_B6_A_CAUSAL_2020_Hourly.csv</w:t>
      </w:r>
    </w:p>
    <w:p>
      <w:pPr>
        <w:pStyle w:val="ListBullet"/>
      </w:pPr>
      <w:r>
        <w:t>David_B6_B_ORACLE_2020_Hourly.csv</w:t>
      </w:r>
    </w:p>
    <w:p>
      <w:pPr>
        <w:pStyle w:val="ListBullet"/>
      </w:pPr>
      <w:r>
        <w:t>David_B6_B_CAUSAL_2020_Hourly.csv</w:t>
      </w:r>
    </w:p>
    <w:p>
      <w:pPr>
        <w:pStyle w:val="ListBullet"/>
      </w:pPr>
      <w:r>
        <w:t>David_B6_C_ORACLE_2020_Hourly.csv</w:t>
      </w:r>
    </w:p>
    <w:p>
      <w:pPr>
        <w:pStyle w:val="ListBullet"/>
      </w:pPr>
      <w:r>
        <w:t>David_B6_C_CAUSAL_2020_Hourly.csv</w:t>
      </w:r>
    </w:p>
    <w:p>
      <w:pPr>
        <w:pStyle w:val="ListBullet"/>
      </w:pPr>
      <w:r>
        <w:t>David_B6_Commands_Configs_and_Logs.zip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David B6 minimum package template | Prepared 2026-07-12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