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d'accompagnement de l'offre</w:t>
      </w:r>
    </w:p>
    <w:p>
      <w:r>
        <w:t>Marché de fournitures – Signalétique promotionnelle et scénographique éco-responsable – Marché conjoint Ville de Mons et CPAS de Mons</w:t>
      </w:r>
    </w:p>
    <w:p>
      <w:r>
        <w:t>Référence : BO.F.2026/Signalétique int &amp; ext/GC – Procédure négociée directe avec publication préalable</w:t>
      </w:r>
    </w:p>
    <w:p>
      <w:r>
        <w:t>Soumissionnaire : BUNKER Gallery, Kester – info@bunker.gallery</w:t>
      </w:r>
    </w:p>
    <w:p>
      <w:r>
        <w:t>Lots présentés : Lot 1 (Signalétique extérieure) et Lot 2 (Signalétique intérieure)</w:t>
      </w:r>
    </w:p>
    <w:p>
      <w:pPr>
        <w:pStyle w:val="Heading1"/>
      </w:pPr>
      <w:r>
        <w:t>1. Notre offre en bref</w:t>
      </w:r>
    </w:p>
    <w:p>
      <w:pPr>
        <w:pStyle w:val="ListBullet"/>
      </w:pPr>
      <w:r>
        <w:t>Nous remettons une offre pour les deux lots, sur la base des inventaires complétés (prix unitaires HTVA, 2 décimales) et du formulaire d'offre.</w:t>
      </w:r>
    </w:p>
    <w:p>
      <w:pPr>
        <w:pStyle w:val="ListBullet"/>
      </w:pPr>
      <w:r>
        <w:t>Les prix sont fermes, exprimés en euros hors TVA, et incluent tous les frais énumérés au cahier spécial des charges : emballage, transport et livraison à la Grand Place, 22 à 7000 Mons, déchargement, œillets, ourlets, gaines et finitions, sacs de transport, documentation et frais de réception.</w:t>
      </w:r>
    </w:p>
    <w:p>
      <w:pPr>
        <w:pStyle w:val="ListBullet"/>
      </w:pPr>
      <w:r>
        <w:t>Nous acceptons sans réserve le cahier spécial des charges et ses annexes, ainsi que la clause de révision des prix (indice des prix à la consommation) prévue au point 1.4.</w:t>
      </w:r>
    </w:p>
    <w:p>
      <w:pPr>
        <w:pStyle w:val="ListBullet"/>
      </w:pPr>
      <w:r>
        <w:t>Aucune variante ni option libre n'est proposée. Validité de l'offre : 120 jours de calendrier à compter de la date limite de remise des offres.</w:t>
      </w:r>
    </w:p>
    <w:p>
      <w:pPr>
        <w:pStyle w:val="Heading1"/>
      </w:pPr>
      <w:r>
        <w:t>2. Compréhension de la mission</w:t>
      </w:r>
    </w:p>
    <w:p>
      <w:r>
        <w:t>Le marché porte sur la production de supports de signalétique extérieure (bâches, kakémonos, roll-ups, beach flags, stickers, panneaux) et intérieure (impressions sur toile, Forex, plexi, Dibond, carton, vinyle, lettrage découpé, cartels) pour les campagnes de communication, les musées et les expositions de la Ville de Mons et du CPAS. Les quantités varient d'une année à l'autre ; nous organisons notre production pour traiter aussi bien de petites séries (cartels) que des formats monumentaux (bâches de 3 x 4 m et plus).</w:t>
      </w:r>
    </w:p>
    <w:p>
      <w:pPr>
        <w:pStyle w:val="Heading1"/>
      </w:pPr>
      <w:r>
        <w:t>3. Méthode de travail et qualité</w:t>
      </w:r>
    </w:p>
    <w:p>
      <w:pPr>
        <w:pStyle w:val="ListBullet"/>
      </w:pPr>
      <w:r>
        <w:t>Réception des fichiers « ready to print » et accusé de réception écrit dès le jour de la commande.</w:t>
      </w:r>
    </w:p>
    <w:p>
      <w:pPr>
        <w:pStyle w:val="ListBullet"/>
      </w:pPr>
      <w:r>
        <w:t>Vérification préalable des fichiers (formats, fonds perdus, marges d'œillets et de gaines) et signalement des corrections nécessaires avant impression.</w:t>
      </w:r>
    </w:p>
    <w:p>
      <w:pPr>
        <w:pStyle w:val="ListBullet"/>
      </w:pPr>
      <w:r>
        <w:t>Épreuve ou validation de couleur sur demande pour les campagnes sensibles.</w:t>
      </w:r>
    </w:p>
    <w:p>
      <w:pPr>
        <w:pStyle w:val="ListBullet"/>
      </w:pPr>
      <w:r>
        <w:t>Contrôle qualité avant expédition (dimensions, finitions, couleurs) et bordereau de livraison mentionnant fournitures, quantités, dates et lieux de livraison, comme exigé.</w:t>
      </w:r>
    </w:p>
    <w:p>
      <w:pPr>
        <w:pStyle w:val="ListBullet"/>
      </w:pPr>
      <w:r>
        <w:t>Interlocuteur unique pour chaque commande ; réponse aux demandes dans la journée ouvrable.</w:t>
      </w:r>
    </w:p>
    <w:p>
      <w:pPr>
        <w:pStyle w:val="Heading1"/>
      </w:pPr>
      <w:r>
        <w:t>4. Délais de livraison</w:t>
      </w:r>
    </w:p>
    <w:p>
      <w:r>
        <w:t>Le pouvoir adjudicateur n'ayant pas fixé de délai, nous nous engageons, poste par poste, sur les délais indiqués dans la colonne « Délai » de chaque inventaire, exprimés en jours ouvrables et plafonnés à 10 jours ouvrables à compter de la remise des fichiers « ready to print », le délai courant à partir du lendemain de l'envoi du bon de commande. Ces délais deviennent contractuels en cas d'attribution.</w:t>
      </w:r>
    </w:p>
    <w:tbl>
      <w:tblPr>
        <w:tblStyle w:val="LightGrid-Accent1"/>
        <w:tblW w:type="auto" w:w="0"/>
        <w:tblLook w:firstColumn="1" w:firstRow="1" w:lastColumn="0" w:lastRow="0" w:noHBand="0" w:noVBand="1" w:val="04A0"/>
      </w:tblPr>
      <w:tblGrid>
        <w:gridCol w:w="4320"/>
        <w:gridCol w:w="4320"/>
      </w:tblGrid>
      <w:tr>
        <w:tc>
          <w:tcPr>
            <w:tcW w:type="dxa" w:w="4320"/>
          </w:tcPr>
          <w:p>
            <w:r>
              <w:t>Catégorie</w:t>
            </w:r>
          </w:p>
        </w:tc>
        <w:tc>
          <w:tcPr>
            <w:tcW w:type="dxa" w:w="4320"/>
          </w:tcPr>
          <w:p>
            <w:r>
              <w:t>Délai (jours ouvrables)</w:t>
            </w:r>
          </w:p>
        </w:tc>
      </w:tr>
      <w:tr>
        <w:tc>
          <w:tcPr>
            <w:tcW w:type="dxa" w:w="4320"/>
          </w:tcPr>
          <w:p>
            <w:r>
              <w:t>Lot 1 – bâches, kakémonos, bannières, panneaux</w:t>
            </w:r>
          </w:p>
        </w:tc>
        <w:tc>
          <w:tcPr>
            <w:tcW w:type="dxa" w:w="4320"/>
          </w:tcPr>
          <w:p>
            <w:r>
              <w:t>6 à 8</w:t>
            </w:r>
          </w:p>
        </w:tc>
      </w:tr>
      <w:tr>
        <w:tc>
          <w:tcPr>
            <w:tcW w:type="dxa" w:w="4320"/>
          </w:tcPr>
          <w:p>
            <w:r>
              <w:t>Lot 1 – stickers, élastiques</w:t>
            </w:r>
          </w:p>
        </w:tc>
        <w:tc>
          <w:tcPr>
            <w:tcW w:type="dxa" w:w="4320"/>
          </w:tcPr>
          <w:p>
            <w:r>
              <w:t>3 à 5</w:t>
            </w:r>
          </w:p>
        </w:tc>
      </w:tr>
      <w:tr>
        <w:tc>
          <w:tcPr>
            <w:tcW w:type="dxa" w:w="4320"/>
          </w:tcPr>
          <w:p>
            <w:r>
              <w:t>Lot 1 – beach flags</w:t>
            </w:r>
          </w:p>
        </w:tc>
        <w:tc>
          <w:tcPr>
            <w:tcW w:type="dxa" w:w="4320"/>
          </w:tcPr>
          <w:p>
            <w:r>
              <w:t>10</w:t>
            </w:r>
          </w:p>
        </w:tc>
      </w:tr>
      <w:tr>
        <w:tc>
          <w:tcPr>
            <w:tcW w:type="dxa" w:w="4320"/>
          </w:tcPr>
          <w:p>
            <w:r>
              <w:t>Lot 1 – placement avec élévateur</w:t>
            </w:r>
          </w:p>
        </w:tc>
        <w:tc>
          <w:tcPr>
            <w:tcW w:type="dxa" w:w="4320"/>
          </w:tcPr>
          <w:p>
            <w:r>
              <w:t>5</w:t>
            </w:r>
          </w:p>
        </w:tc>
      </w:tr>
      <w:tr>
        <w:tc>
          <w:tcPr>
            <w:tcW w:type="dxa" w:w="4320"/>
          </w:tcPr>
          <w:p>
            <w:r>
              <w:t>Lot 2 – tous supports imprimés</w:t>
            </w:r>
          </w:p>
        </w:tc>
        <w:tc>
          <w:tcPr>
            <w:tcW w:type="dxa" w:w="4320"/>
          </w:tcPr>
          <w:p>
            <w:r>
              <w:t>6</w:t>
            </w:r>
          </w:p>
        </w:tc>
      </w:tr>
      <w:tr>
        <w:tc>
          <w:tcPr>
            <w:tcW w:type="dxa" w:w="4320"/>
          </w:tcPr>
          <w:p>
            <w:r>
              <w:t>Lot 2 – accessoires de fixation, déplacement, livraison</w:t>
            </w:r>
          </w:p>
        </w:tc>
        <w:tc>
          <w:tcPr>
            <w:tcW w:type="dxa" w:w="4320"/>
          </w:tcPr>
          <w:p>
            <w:r>
              <w:t>3 à 6</w:t>
            </w:r>
          </w:p>
        </w:tc>
      </w:tr>
    </w:tbl>
    <w:p>
      <w:pPr>
        <w:pStyle w:val="Heading1"/>
      </w:pPr>
      <w:r>
        <w:t>5. Encres éco-responsables (exigence technique I.3)</w:t>
      </w:r>
    </w:p>
    <w:p>
      <w:r>
        <w:t xml:space="preserve">Pour tous les postes nécessitant de l'encre, nous utilisons des encres latex dépourvues de solvants, </w:t>
      </w:r>
      <w:r>
        <w:rPr>
          <w:highlight w:val="yellow"/>
        </w:rPr>
        <w:t>[À CONFIRMER : marque et modèle des encres / imprimante utilisés]</w:t>
      </w:r>
      <w:r>
        <w:t>. La fiche technique des encres est jointe à l'offre en annexe, conformément à l'exigence du cahier spécial des charges (son absence rendrait l'offre irrégulière).</w:t>
      </w:r>
    </w:p>
    <w:p>
      <w:pPr>
        <w:pStyle w:val="Heading1"/>
      </w:pPr>
      <w:r>
        <w:t>6. Principe DNSH, clauses éthiques et non-discrimination</w:t>
      </w:r>
    </w:p>
    <w:p>
      <w:r>
        <w:t>Nous nous engageons à respecter le principe « Do No Significant Harm » (annexe 1.14), les cinq normes fondamentales de l'OIT tout au long de la chaîne de production, les clauses de non-discrimination, la charte contre le dumping social de la Ville de Mons (déclaration sur l'honneur jointe) et le RGPD pour les données personnelles traitées dans le cadre du marché. Aucune sous-traitance n'est prévue.</w:t>
      </w:r>
    </w:p>
    <w:p>
      <w:pPr>
        <w:pStyle w:val="Heading1"/>
      </w:pPr>
      <w:r>
        <w:t>7. Capacité technique et professionnelle</w:t>
      </w:r>
    </w:p>
    <w:p>
      <w:r>
        <w:t>Le cahier des charges exige, par lot, au minimum 3 livraisons en rapport avec l'objet sur les trois dernières années (Lot 1 : marchés atteignant au moins 25.000 € HTVA ; Lot 2 : au moins 15.000 € HTVA) et au minimum 2 attestations de satisfaction par lot. Liste des principales fournitures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Lot</w:t>
            </w:r>
          </w:p>
        </w:tc>
        <w:tc>
          <w:tcPr>
            <w:tcW w:type="dxa" w:w="1728"/>
          </w:tcPr>
          <w:p>
            <w:r>
              <w:t>Client (public/privé)</w:t>
            </w:r>
          </w:p>
        </w:tc>
        <w:tc>
          <w:tcPr>
            <w:tcW w:type="dxa" w:w="1728"/>
          </w:tcPr>
          <w:p>
            <w:r>
              <w:t>Objet</w:t>
            </w:r>
          </w:p>
        </w:tc>
        <w:tc>
          <w:tcPr>
            <w:tcW w:type="dxa" w:w="1728"/>
          </w:tcPr>
          <w:p>
            <w:r>
              <w:t>Date</w:t>
            </w:r>
          </w:p>
        </w:tc>
        <w:tc>
          <w:tcPr>
            <w:tcW w:type="dxa" w:w="1728"/>
          </w:tcPr>
          <w:p>
            <w:r>
              <w:t>Montant HTVA</w:t>
            </w:r>
          </w:p>
        </w:tc>
      </w:tr>
      <w:tr>
        <w:tc>
          <w:tcPr>
            <w:tcW w:type="dxa" w:w="1728"/>
          </w:tcPr>
          <w:p>
            <w:r>
              <w:t>1</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r>
        <w:tc>
          <w:tcPr>
            <w:tcW w:type="dxa" w:w="1728"/>
          </w:tcPr>
          <w:p>
            <w:r>
              <w:t>1</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r>
        <w:tc>
          <w:tcPr>
            <w:tcW w:type="dxa" w:w="1728"/>
          </w:tcPr>
          <w:p>
            <w:r>
              <w:t>1</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r>
        <w:tc>
          <w:tcPr>
            <w:tcW w:type="dxa" w:w="1728"/>
          </w:tcPr>
          <w:p>
            <w:r>
              <w:t>2</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r>
        <w:tc>
          <w:tcPr>
            <w:tcW w:type="dxa" w:w="1728"/>
          </w:tcPr>
          <w:p>
            <w:r>
              <w:t>2</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r>
        <w:tc>
          <w:tcPr>
            <w:tcW w:type="dxa" w:w="1728"/>
          </w:tcPr>
          <w:p>
            <w:r>
              <w:t>2</w:t>
            </w:r>
          </w:p>
        </w:tc>
        <w:tc>
          <w:tcPr>
            <w:tcW w:type="dxa" w:w="1728"/>
          </w:tcPr>
          <w:p>
            <w:r>
              <w:t>[À COMPLÉTER]</w:t>
            </w:r>
          </w:p>
        </w:tc>
        <w:tc>
          <w:tcPr>
            <w:tcW w:type="dxa" w:w="1728"/>
          </w:tcPr>
          <w:p>
            <w:r>
              <w:t>[À COMPLÉTER]</w:t>
            </w:r>
          </w:p>
        </w:tc>
        <w:tc>
          <w:tcPr>
            <w:tcW w:type="dxa" w:w="1728"/>
          </w:tcPr>
          <w:p>
            <w:r>
              <w:t>[À COMPLÉTER]</w:t>
            </w:r>
          </w:p>
        </w:tc>
        <w:tc>
          <w:tcPr>
            <w:tcW w:type="dxa" w:w="1728"/>
          </w:tcPr>
          <w:p>
            <w:r>
              <w:t>[À COMPLÉTER]</w:t>
            </w:r>
          </w:p>
        </w:tc>
      </w:tr>
    </w:tbl>
    <w:p>
      <w:r>
        <w:t xml:space="preserve">Attestations de satisfaction jointes : </w:t>
      </w:r>
      <w:r>
        <w:rPr>
          <w:highlight w:val="yellow"/>
        </w:rPr>
        <w:t>[À COMPLÉTER : références disponibles pour chaque lot]</w:t>
      </w:r>
    </w:p>
    <w:p>
      <w:pPr>
        <w:pStyle w:val="Heading1"/>
      </w:pPr>
      <w:r>
        <w:t>8. Liste des documents joints à l'offre</w:t>
      </w:r>
    </w:p>
    <w:p>
      <w:pPr>
        <w:pStyle w:val="ListBullet"/>
      </w:pPr>
      <w:r>
        <w:t>Formulaire d'offre complété et signé (rapport de dépôt avec signature électronique qualifiée)</w:t>
      </w:r>
    </w:p>
    <w:p>
      <w:pPr>
        <w:pStyle w:val="ListBullet"/>
      </w:pPr>
      <w:r>
        <w:t>Inventaire Lot 1 et Inventaire Lot 2 (fichiers Excel complétés)</w:t>
      </w:r>
    </w:p>
    <w:p>
      <w:pPr>
        <w:pStyle w:val="ListBullet"/>
      </w:pPr>
      <w:r>
        <w:t>Déclaration sur l'honneur relative à la charte contre le dumping social (Ville de Mons)</w:t>
      </w:r>
    </w:p>
    <w:p>
      <w:pPr>
        <w:pStyle w:val="ListBullet"/>
      </w:pPr>
      <w:r>
        <w:t>Documents de sélection qualitative : liste des fournitures et attestations de satisfaction</w:t>
      </w:r>
    </w:p>
    <w:p>
      <w:pPr>
        <w:pStyle w:val="ListBullet"/>
      </w:pPr>
      <w:r>
        <w:t>Fiche technique des encres utilisées (encres latex sans solvants)</w:t>
      </w:r>
    </w:p>
    <w:p>
      <w:pPr>
        <w:pStyle w:val="ListBullet"/>
      </w:pPr>
      <w:r>
        <w:t>Statuts / actes de société et pouvoirs du signataire</w:t>
      </w:r>
    </w:p>
    <w:p>
      <w:pPr>
        <w:pStyle w:val="ListBullet"/>
      </w:pPr>
      <w:r>
        <w:t>Extrait de casier judiciaire de moins de 6 mois (recommandé)</w:t>
      </w:r>
    </w:p>
    <w:p>
      <w:r>
        <w:t>Fait à Kester, le [DATE]. Signature : [NOM ET FONCTION DU SIGNATAIRE]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