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21. Devuelve las oficinas donde no trabajan ninguno de los empleados que hayan sido 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representantes de ventas de algún cliente que haya realizado la compra de algún producto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 la gama Frutales.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22. Devuelve un listado con los clientes que han realizado algún pedido pero no han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realizado ningún pago.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23. Devuelve un listado con los datos de los empleados que no tienen clientes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asociados y el nombre de su jefe asociado.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Consultas resumen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24. ¿Cuántos empleados hay en la compañía?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1447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25. ¿Cuántos clientes tiene cada país?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2771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26. ¿Cuál fue el pago medio en 2009?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16192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27. ¿Cuántos pedidos hay en cada estado? Ordena el resultado de forma descendente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por el número de pedidos.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24955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28. Calcula el precio de venta del producto más caro y más barato en una misma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consulta.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29. Calcula el número de clientes que tiene la empresa.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1524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30. ¿Cuántos clientes existen con domicilio en la ciudad de Madrid?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1457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