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31. ¿Calcula cuántos clientes tiene cada una de las ciudades que empiezan por 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24574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32. Devuelve el nombre de los representantes de ventas y el número de clientes 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 atiende cada uno.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33. Calcula el número de clientes que no tiene asignado representante de ventas.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962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34. Calcula la fecha del primer y último pago realizado por cada uno de los clientes.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listado deberá mostrar el nombre y los apellidos de cada cliente.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35. Calcula el número de productos diferentes que hay en cada uno de los pedidos.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6096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36. Calcula la suma de la cantidad total de todos los productos que aparecen en cada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uno de los pedidos.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65722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37. Devuelve un listado de los 20 productos más vendidos y el número total 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unidades que se han vendido de cada uno. El listado deberá estar ordenado por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número total de unidades vendidas.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40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38. La facturación que ha tenido la empresa en toda la historia, indicando la base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imponible, el IVA y el total facturado. La base imponible se calcula sumando 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coste del producto por el número de unidades vendidas de la tabla detalle_pedido.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IVA es el 21 % de la base imponible, y el total la suma de los dos campos anteriores.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39. La misma información que en la pregunta anterior, pero agrupada por código 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producto.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67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40. La misma información que en la pregunta anterior, pero agrupada por código 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producto filtrada por los códigos que empiecen por OR.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54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41. Lista las ventas totales de los productos que hayan facturado más de 3000 euros.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mostrará el nombre, unidades vendidas, total facturado y total facturado con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impuestos (21% IVA).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42. Muestre la suma total de todos los pagos que se realizaron para cada uno de los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años que aparecen en la tabla pagos.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3762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