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WazeCargo — How the Congestion Index Is Calculated</w:t>
      </w:r>
    </w:p>
    <w:p>
      <w:r>
        <w:t>This document explains how the Congestion Index (CI) displayed in the WazeCargo Port Intelligence dashboard is computed. The CI is a two-stage metric: a historical composite index built in SQL, followed by a machine-learning forecast projected onto 2026.</w:t>
      </w:r>
    </w:p>
    <w:p>
      <w:pPr>
        <w:pStyle w:val="Heading1"/>
      </w:pPr>
      <w:r>
        <w:t>Stage 1: Historical Congestion Index (SQL)</w:t>
      </w:r>
    </w:p>
    <w:p>
      <w:r>
        <w:t>The congestion index is a weighted composite of min-max normalized port metrics, scaled from 0 to 1. It is computed per port, per direction (import / export), across the port's entire history (2005–2025). A value of 0% means the port is at its quietest month on record; 100% means it is at its historical peak load.</w:t>
      </w:r>
    </w:p>
    <w:p>
      <w:pPr>
        <w:pStyle w:val="Heading2"/>
      </w:pPr>
      <w:r>
        <w:t>Input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Normalization</w:t>
            </w:r>
          </w:p>
        </w:tc>
      </w:tr>
      <w:tr>
        <w:tc>
          <w:tcPr>
            <w:tcW w:type="dxa" w:w="2880"/>
          </w:tcPr>
          <w:p>
            <w:r>
              <w:t>sc_norm</w:t>
            </w:r>
          </w:p>
        </w:tc>
        <w:tc>
          <w:tcPr>
            <w:tcW w:type="dxa" w:w="2880"/>
          </w:tcPr>
          <w:p>
            <w:r>
              <w:t>Shipment count (number of trade operations)</w:t>
            </w:r>
          </w:p>
        </w:tc>
        <w:tc>
          <w:tcPr>
            <w:tcW w:type="dxa" w:w="2880"/>
          </w:tcPr>
          <w:p>
            <w:r>
              <w:t>Min-max over port history</w:t>
            </w:r>
          </w:p>
        </w:tc>
      </w:tr>
      <w:tr>
        <w:tc>
          <w:tcPr>
            <w:tcW w:type="dxa" w:w="2880"/>
          </w:tcPr>
          <w:p>
            <w:r>
              <w:t>v_norm</w:t>
            </w:r>
          </w:p>
        </w:tc>
        <w:tc>
          <w:tcPr>
            <w:tcW w:type="dxa" w:w="2880"/>
          </w:tcPr>
          <w:p>
            <w:r>
              <w:t>Total trade value (CIF USD for imports, FOB USD for exports)</w:t>
            </w:r>
          </w:p>
        </w:tc>
        <w:tc>
          <w:tcPr>
            <w:tcW w:type="dxa" w:w="2880"/>
          </w:tcPr>
          <w:p>
            <w:r>
              <w:t>Min-max over port history</w:t>
            </w:r>
          </w:p>
        </w:tc>
      </w:tr>
      <w:tr>
        <w:tc>
          <w:tcPr>
            <w:tcW w:type="dxa" w:w="2880"/>
          </w:tcPr>
          <w:p>
            <w:r>
              <w:t>w_norm</w:t>
            </w:r>
          </w:p>
        </w:tc>
        <w:tc>
          <w:tcPr>
            <w:tcW w:type="dxa" w:w="2880"/>
          </w:tcPr>
          <w:p>
            <w:r>
              <w:t>Total weight in metric tons (exports only)</w:t>
            </w:r>
          </w:p>
        </w:tc>
        <w:tc>
          <w:tcPr>
            <w:tcW w:type="dxa" w:w="2880"/>
          </w:tcPr>
          <w:p>
            <w:r>
              <w:t>Min-max over port history</w:t>
            </w:r>
          </w:p>
        </w:tc>
      </w:tr>
      <w:tr>
        <w:tc>
          <w:tcPr>
            <w:tcW w:type="dxa" w:w="2880"/>
          </w:tcPr>
          <w:p>
            <w:r>
              <w:t>cd_norm</w:t>
            </w:r>
          </w:p>
        </w:tc>
        <w:tc>
          <w:tcPr>
            <w:tcW w:type="dxa" w:w="2880"/>
          </w:tcPr>
          <w:p>
            <w:r>
              <w:t>Commodity diversity (distinct HS2 chapters handled)</w:t>
            </w:r>
          </w:p>
        </w:tc>
        <w:tc>
          <w:tcPr>
            <w:tcW w:type="dxa" w:w="2880"/>
          </w:tcPr>
          <w:p>
            <w:r>
              <w:t>Min-max over port history</w:t>
            </w:r>
          </w:p>
        </w:tc>
      </w:tr>
      <w:tr>
        <w:tc>
          <w:tcPr>
            <w:tcW w:type="dxa" w:w="2880"/>
          </w:tcPr>
          <w:p>
            <w:r>
              <w:t>pct_container / pct_refrigerated</w:t>
            </w:r>
          </w:p>
        </w:tc>
        <w:tc>
          <w:tcPr>
            <w:tcW w:type="dxa" w:w="2880"/>
          </w:tcPr>
          <w:p>
            <w:r>
              <w:t>Share of containerized cargo (imports) or refrigerated cargo (exports)</w:t>
            </w:r>
          </w:p>
        </w:tc>
        <w:tc>
          <w:tcPr>
            <w:tcW w:type="dxa" w:w="2880"/>
          </w:tcPr>
          <w:p>
            <w:r>
              <w:t>Raw ratio (0–1), not normalized</w:t>
            </w:r>
          </w:p>
        </w:tc>
      </w:tr>
    </w:tbl>
    <w:p/>
    <w:p>
      <w:pPr>
        <w:pStyle w:val="Heading2"/>
      </w:pPr>
      <w:r>
        <w:t>Formula</w:t>
      </w:r>
    </w:p>
    <w:p>
      <w:r>
        <w:rPr>
          <w:b/>
        </w:rPr>
        <w:t>For imports:</w:t>
      </w:r>
    </w:p>
    <w:p>
      <w:pPr>
        <w:pStyle w:val="NoSpacing"/>
      </w:pPr>
      <w:r>
        <w:t>CI = 0.40 × sc_norm + 0.30 × v_norm + 0.20 × cd_norm + 0.10 × pct_container</w:t>
      </w:r>
    </w:p>
    <w:p>
      <w:r>
        <w:rPr>
          <w:b/>
        </w:rPr>
        <w:t>For exports:</w:t>
      </w:r>
    </w:p>
    <w:p>
      <w:pPr>
        <w:pStyle w:val="NoSpacing"/>
      </w:pPr>
      <w:r>
        <w:t>CI = 0.40 × w_norm + 0.30 × sc_norm + 0.20 × v_norm + 0.10 × pct_refrigerated</w:t>
      </w:r>
    </w:p>
    <w:p/>
    <w:p>
      <w:r>
        <w:t>Interpretation: the index measures how busy a port is in a given month relative to its own historical range. The dominant signal (40% weight) is shipment count for imports and cargo weight for exports, reflecting the different bottleneck drivers for each direction. Trade value, cargo-mix diversity, and specialized cargo type (containers or reefer) add secondary dimensions.</w:t>
      </w:r>
    </w:p>
    <w:p>
      <w:pPr>
        <w:pStyle w:val="Heading2"/>
      </w:pPr>
      <w:r>
        <w:t>Data Sources</w:t>
      </w:r>
    </w:p>
    <w:p>
      <w:r>
        <w:t>The raw data comes from Chilean customs records (maritime.clean_maritime_imports and maritime.clean_maritime_exports in RDS), aggregated monthly into ml.port_monthly_agg. Feature engineering adds lag variables, rolling means, year-over-year growth, COVID flags, and seasonal encodings into ml.port_features_indexed.</w:t>
      </w:r>
    </w:p>
    <w:p>
      <w:pPr>
        <w:pStyle w:val="Heading1"/>
      </w:pPr>
      <w:r>
        <w:t>Stage 2: 2026 Forecast (ML Pipeline)</w:t>
      </w:r>
    </w:p>
    <w:p>
      <w:r>
        <w:t>The dashboard does not display the raw historical CI. Instead, it shows a 12-month forecast for 2026 — predicted shipment counts re-normalized against the port's historical min/max to produce a forward-looking congestion index.</w:t>
      </w:r>
    </w:p>
    <w:p>
      <w:pPr>
        <w:pStyle w:val="Heading2"/>
      </w:pPr>
      <w:r>
        <w:t>Hybrid Ensemble Strategy</w:t>
      </w:r>
    </w:p>
    <w:p>
      <w:r>
        <w:t>The pipeline (modeling/04_ml_congestion.py) uses a hybrid model selection approach, informed by walk-forward cross-validation on four temporal folds: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Port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</w:tr>
      <w:tr>
        <w:tc>
          <w:tcPr>
            <w:tcW w:type="dxa" w:w="4320"/>
          </w:tcPr>
          <w:p>
            <w:r>
              <w:t>Big ports (&gt;= 500 ships/month avg)</w:t>
            </w:r>
          </w:p>
        </w:tc>
        <w:tc>
          <w:tcPr>
            <w:tcW w:type="dxa" w:w="4320"/>
          </w:tcPr>
          <w:p>
            <w:r>
              <w:t>Baseline Seasonal Naive (lag-12 + capped YoY growth)</w:t>
            </w:r>
          </w:p>
        </w:tc>
      </w:tr>
      <w:tr>
        <w:tc>
          <w:tcPr>
            <w:tcW w:type="dxa" w:w="4320"/>
          </w:tcPr>
          <w:p>
            <w:r>
              <w:t>Small ports (&lt; 500 ships/month avg)</w:t>
            </w:r>
          </w:p>
        </w:tc>
        <w:tc>
          <w:tcPr>
            <w:tcW w:type="dxa" w:w="4320"/>
          </w:tcPr>
          <w:p>
            <w:r>
              <w:t>Best ML model per port, selected by CV (LightGBM, XGBoost, Random Forest, Ridge, Lasso, or ElasticNet)</w:t>
            </w:r>
          </w:p>
        </w:tc>
      </w:tr>
    </w:tbl>
    <w:p/>
    <w:p>
      <w:r>
        <w:t>The rationale: large ports have stable, seasonal patterns where the naive baseline is hard to beat; small ports have more irregular traffic where ML models can capture non-obvious patterns.</w:t>
      </w:r>
    </w:p>
    <w:p>
      <w:pPr>
        <w:pStyle w:val="Heading2"/>
      </w:pPr>
      <w:r>
        <w:t>Walk-Forward Cross-Validation</w:t>
      </w:r>
    </w:p>
    <w:p>
      <w:r>
        <w:t>Models are evaluated on four temporal folds: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 up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year</w:t>
            </w:r>
          </w:p>
        </w:tc>
      </w:tr>
      <w:tr>
        <w:tc>
          <w:tcPr>
            <w:tcW w:type="dxa" w:w="2880"/>
          </w:tcPr>
          <w:p>
            <w:r>
              <w:t>1 — Pre-COVID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2 — Post-COVID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3 — Recovery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4 — Most recent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</w:tbl>
    <w:p/>
    <w:p>
      <w:r>
        <w:t>COVID years (2020–2022) receive reduced sample weights (0.1, 0.2, 0.4 respectively) during training, and lag features use COVID-aware substitution (skipping back to pre-COVID lags when the 12-month lag falls in a COVID year).</w:t>
      </w:r>
    </w:p>
    <w:p>
      <w:pPr>
        <w:pStyle w:val="Heading2"/>
      </w:pPr>
      <w:r>
        <w:t>Recursive 12-Step Forecast</w:t>
      </w:r>
    </w:p>
    <w:p>
      <w:r>
        <w:t>For 2026, the selected model is trained on all data through 2025, then predicts one month at a time recursively. Each predicted month is fed back as input (updating lag_1, lag_2, lag_3, rolling means) for the next month's prediction. This produces 12 monthly shipment-count forecasts per port per direction.</w:t>
      </w:r>
    </w:p>
    <w:p>
      <w:pPr>
        <w:pStyle w:val="Heading2"/>
      </w:pPr>
      <w:r>
        <w:t>Features Used by ML Models</w:t>
      </w:r>
    </w:p>
    <w:p>
      <w:r>
        <w:t>The feature set (26 columns) includes:</w:t>
      </w:r>
    </w:p>
    <w:p>
      <w:pPr>
        <w:pStyle w:val="ListBullet"/>
      </w:pPr>
      <w:r>
        <w:t>Lag variables: lag_1, lag_2, lag_3, lag_12_clean (COVID-aware), lag_value_12, lag_weight_12</w:t>
      </w:r>
    </w:p>
    <w:p>
      <w:pPr>
        <w:pStyle w:val="ListBullet"/>
      </w:pPr>
      <w:r>
        <w:t>Growth rates: yoy_growth_clean, yoy_value_growth</w:t>
      </w:r>
    </w:p>
    <w:p>
      <w:pPr>
        <w:pStyle w:val="ListBullet"/>
      </w:pPr>
      <w:r>
        <w:t>Seasonal encoding: month_sin, month_cos, quarter, year_index</w:t>
      </w:r>
    </w:p>
    <w:p>
      <w:pPr>
        <w:pStyle w:val="ListBullet"/>
      </w:pPr>
      <w:r>
        <w:t>Cargo-mix: commodity_diversity, hs4_diversity, country_diversity, continent_diversity</w:t>
      </w:r>
    </w:p>
    <w:p>
      <w:pPr>
        <w:pStyle w:val="ListBullet"/>
      </w:pPr>
      <w:r>
        <w:t>Cargo-type shares: pct_general, pct_bulk, pct_refrigerated, pct_container</w:t>
      </w:r>
    </w:p>
    <w:p>
      <w:pPr>
        <w:pStyle w:val="ListBullet"/>
      </w:pPr>
      <w:r>
        <w:t>Per-shipment averages: avg_value_per_shipment_usd, weight_per_shipment_mt, avg_quantity_per_shipment</w:t>
      </w:r>
    </w:p>
    <w:p>
      <w:pPr>
        <w:pStyle w:val="ListBullet"/>
      </w:pPr>
      <w:r>
        <w:t>Rolling means: rolling_3_mean, rolling_12_mean, rolling_value_12_mean (past-only windows)</w:t>
      </w:r>
    </w:p>
    <w:p>
      <w:pPr>
        <w:pStyle w:val="ListBullet"/>
      </w:pPr>
      <w:r>
        <w:t>COVID flags: is_covid_shock, is_covid_rebound, is_covid_aftershock, lag_12_is_covid</w:t>
      </w:r>
    </w:p>
    <w:p>
      <w:r>
        <w:t>Note: the min-max normalized columns (sc_norm, v_norm, w_norm, cd_norm) are deliberately excluded from ML features because they leak future information (computed over the full history partition). They are only used for the CI formula itself.</w:t>
      </w:r>
    </w:p>
    <w:p>
      <w:pPr>
        <w:pStyle w:val="Heading1"/>
      </w:pPr>
      <w:r>
        <w:t>Stage 3: Weather Adjustment (ci_adjusted)</w:t>
      </w:r>
    </w:p>
    <w:p>
      <w:r>
        <w:t>The dashboard offers two congestion views: "trade-only" (ci_raw) and "weather-adjusted" (ci_adjusted). The weather adjustment applies a multiplier based on historical port-closure data from swell and wind conditions.</w:t>
      </w:r>
    </w:p>
    <w:p>
      <w:r>
        <w:t>When a port has weather coverage, the adjusted CI incorporates the percentage of hours the port is typically closed by weather in each month. This pushes the effective congestion higher during storm-prone months, reflecting the real-world impact of weather on port throughput. The gap between the dashed (trade-only) and solid (weather-adjusted) lines on the chart represents the weather impact.</w:t>
      </w:r>
    </w:p>
    <w:p>
      <w:pPr>
        <w:pStyle w:val="Heading1"/>
      </w:pPr>
      <w:r>
        <w:t>Reading the Dashboard Chart</w:t>
      </w:r>
    </w:p>
    <w:p>
      <w:r>
        <w:t>The "Congestion forecast (trade-only)" chart in the dashboard shows ci_raw — the 2026 forecasted shipment counts re-normalized to the port's historical range. For example, a value of 66% in July means: "July 2026 is forecast to be at 66% of this port's historical peak load, driven purely by trade demand."</w:t>
      </w:r>
    </w:p>
    <w:p>
      <w:r>
        <w:t>In "Combined" mode, the chart overlays both the trade-only (dashed) and weather-adjusted (solid) lines, making the weather penalty visible as the gap between the two curves.</w:t>
      </w:r>
    </w:p>
    <w:p>
      <w:pPr>
        <w:pStyle w:val="Heading1"/>
      </w:pPr>
      <w:r>
        <w:t>Source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modeling/04_ml_congestion.py</w:t>
            </w:r>
          </w:p>
        </w:tc>
        <w:tc>
          <w:tcPr>
            <w:tcW w:type="dxa" w:w="4320"/>
          </w:tcPr>
          <w:p>
            <w:r>
              <w:t>Full ML pipeline: aggregation, feature engineering, CV, model selection, 2026 forecast</w:t>
            </w:r>
          </w:p>
        </w:tc>
      </w:tr>
      <w:tr>
        <w:tc>
          <w:tcPr>
            <w:tcW w:type="dxa" w:w="4320"/>
          </w:tcPr>
          <w:p>
            <w:r>
              <w:t>modeling/wz_ml_utils.py</w:t>
            </w:r>
          </w:p>
        </w:tc>
        <w:tc>
          <w:tcPr>
            <w:tcW w:type="dxa" w:w="4320"/>
          </w:tcPr>
          <w:p>
            <w:r>
              <w:t>Shared utilities: feature list, walk-forward CV, scoring, recursive forecast logic</w:t>
            </w:r>
          </w:p>
        </w:tc>
      </w:tr>
      <w:tr>
        <w:tc>
          <w:tcPr>
            <w:tcW w:type="dxa" w:w="4320"/>
          </w:tcPr>
          <w:p>
            <w:r>
              <w:t>dashboard-2.0/src/App.jsx</w:t>
            </w:r>
          </w:p>
        </w:tc>
        <w:tc>
          <w:tcPr>
            <w:tcW w:type="dxa" w:w="4320"/>
          </w:tcPr>
          <w:p>
            <w:r>
              <w:t>Dashboard rendering: CI color/label thresholds, weather adjustment display</w:t>
            </w:r>
          </w:p>
        </w:tc>
      </w:tr>
      <w:tr>
        <w:tc>
          <w:tcPr>
            <w:tcW w:type="dxa" w:w="4320"/>
          </w:tcPr>
          <w:p>
            <w:r>
              <w:t>dashboard-2.0/src/refData.js</w:t>
            </w:r>
          </w:p>
        </w:tc>
        <w:tc>
          <w:tcPr>
            <w:tcW w:type="dxa" w:w="4320"/>
          </w:tcPr>
          <w:p>
            <w:r>
              <w:t>Embedded reference data: port coordinates, weather seasonal data, port metadata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