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left"/>
      </w:pPr>
      <w:r>
        <w:rPr>
          <w:rFonts w:ascii="Bookman Old Style" w:hAnsi="Bookman Old Style"/>
          <w:b/>
          <w:color w:val="000000"/>
          <w:sz w:val="24"/>
        </w:rPr>
        <w:t>CHAPTER 13. FORECASTING ARCHITECTURE</w:t>
      </w:r>
    </w:p>
    <w:p>
      <w:pPr>
        <w:spacing w:before="240" w:line="360" w:lineRule="auto"/>
        <w:jc w:val="left"/>
      </w:pPr>
      <w:r>
        <w:rPr>
          <w:rFonts w:ascii="Bookman Old Style" w:hAnsi="Bookman Old Style"/>
          <w:b/>
          <w:color w:val="000000"/>
        </w:rPr>
        <w:t>13.1 Architecture Overview</w:t>
      </w:r>
    </w:p>
    <w:p>
      <w:pPr>
        <w:spacing w:before="240" w:line="360" w:lineRule="auto"/>
        <w:jc w:val="both"/>
      </w:pPr>
      <w:r>
        <w:rPr>
          <w:rFonts w:ascii="Bookman Old Style" w:hAnsi="Bookman Old Style"/>
          <w:color w:val="000000"/>
        </w:rPr>
        <w:t>The forecasting system is implemented as three sequential shell scripts executed on an EC2 instance, each building on the output of the previous one. No orchestrator or scheduler is required, the scripts are designed to be run in order, and each is fully self-contained: it fetches its own database credentials from AWS Secrets Manager, connects to RDS PostgreSQL over SSL, executes its work, and writes results back to the database.</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Bookman Old Style" w:hAnsi="Bookman Old Style"/>
                <w:b/>
                <w:sz w:val="18"/>
              </w:rPr>
              <w:t>Order</w:t>
            </w:r>
          </w:p>
        </w:tc>
        <w:tc>
          <w:tcPr>
            <w:tcW w:type="dxa" w:w="1881"/>
          </w:tcPr>
          <w:p>
            <w:pPr>
              <w:jc w:val="center"/>
            </w:pPr>
            <w:r>
              <w:rPr>
                <w:rFonts w:ascii="Bookman Old Style" w:hAnsi="Bookman Old Style"/>
                <w:b/>
                <w:sz w:val="18"/>
              </w:rPr>
              <w:t>Script</w:t>
            </w:r>
          </w:p>
        </w:tc>
        <w:tc>
          <w:tcPr>
            <w:tcW w:type="dxa" w:w="1881"/>
          </w:tcPr>
          <w:p>
            <w:pPr>
              <w:jc w:val="center"/>
            </w:pPr>
            <w:r>
              <w:rPr>
                <w:rFonts w:ascii="Bookman Old Style" w:hAnsi="Bookman Old Style"/>
                <w:b/>
                <w:sz w:val="18"/>
              </w:rPr>
              <w:t>Language</w:t>
            </w:r>
          </w:p>
        </w:tc>
        <w:tc>
          <w:tcPr>
            <w:tcW w:type="dxa" w:w="1881"/>
          </w:tcPr>
          <w:p>
            <w:pPr>
              <w:jc w:val="center"/>
            </w:pPr>
            <w:r>
              <w:rPr>
                <w:rFonts w:ascii="Bookman Old Style" w:hAnsi="Bookman Old Style"/>
                <w:b/>
                <w:sz w:val="18"/>
              </w:rPr>
              <w:t>Input</w:t>
            </w:r>
          </w:p>
        </w:tc>
        <w:tc>
          <w:tcPr>
            <w:tcW w:type="dxa" w:w="1881"/>
          </w:tcPr>
          <w:p>
            <w:pPr>
              <w:jc w:val="center"/>
            </w:pPr>
            <w:r>
              <w:rPr>
                <w:rFonts w:ascii="Bookman Old Style" w:hAnsi="Bookman Old Style"/>
                <w:b/>
                <w:sz w:val="18"/>
              </w:rPr>
              <w:t>Output Schema</w:t>
            </w:r>
          </w:p>
        </w:tc>
      </w:tr>
      <w:tr>
        <w:tc>
          <w:tcPr>
            <w:tcW w:type="dxa" w:w="1881"/>
          </w:tcPr>
          <w:p>
            <w:r>
              <w:rPr>
                <w:rFonts w:ascii="Bookman Old Style" w:hAnsi="Bookman Old Style"/>
                <w:sz w:val="18"/>
              </w:rPr>
              <w:t>1st</w:t>
            </w:r>
          </w:p>
        </w:tc>
        <w:tc>
          <w:tcPr>
            <w:tcW w:type="dxa" w:w="1881"/>
          </w:tcPr>
          <w:p>
            <w:r>
              <w:rPr>
                <w:rFonts w:ascii="Bookman Old Style" w:hAnsi="Bookman Old Style"/>
                <w:sz w:val="18"/>
              </w:rPr>
              <w:t>03_rebuild_clean_maritime.sh</w:t>
            </w:r>
          </w:p>
        </w:tc>
        <w:tc>
          <w:tcPr>
            <w:tcW w:type="dxa" w:w="1881"/>
          </w:tcPr>
          <w:p>
            <w:r>
              <w:rPr>
                <w:rFonts w:ascii="Bookman Old Style" w:hAnsi="Bookman Old Style"/>
                <w:sz w:val="18"/>
              </w:rPr>
              <w:t>Bash + inline SQL</w:t>
            </w:r>
          </w:p>
        </w:tc>
        <w:tc>
          <w:tcPr>
            <w:tcW w:type="dxa" w:w="1881"/>
          </w:tcPr>
          <w:p>
            <w:r>
              <w:rPr>
                <w:rFonts w:ascii="Bookman Old Style" w:hAnsi="Bookman Old Style"/>
                <w:sz w:val="18"/>
              </w:rPr>
              <w:t>structured.all_imports</w:t>
              <w:br/>
              <w:t>structured.all_exports</w:t>
            </w:r>
          </w:p>
        </w:tc>
        <w:tc>
          <w:tcPr>
            <w:tcW w:type="dxa" w:w="1881"/>
          </w:tcPr>
          <w:p>
            <w:r>
              <w:rPr>
                <w:rFonts w:ascii="Bookman Old Style" w:hAnsi="Bookman Old Style"/>
                <w:sz w:val="18"/>
              </w:rPr>
              <w:t>maritime</w:t>
            </w:r>
          </w:p>
        </w:tc>
      </w:tr>
      <w:tr>
        <w:tc>
          <w:tcPr>
            <w:tcW w:type="dxa" w:w="1881"/>
          </w:tcPr>
          <w:p>
            <w:r>
              <w:rPr>
                <w:rFonts w:ascii="Bookman Old Style" w:hAnsi="Bookman Old Style"/>
                <w:sz w:val="18"/>
              </w:rPr>
              <w:t>2nd</w:t>
            </w:r>
          </w:p>
        </w:tc>
        <w:tc>
          <w:tcPr>
            <w:tcW w:type="dxa" w:w="1881"/>
          </w:tcPr>
          <w:p>
            <w:r>
              <w:rPr>
                <w:rFonts w:ascii="Bookman Old Style" w:hAnsi="Bookman Old Style"/>
                <w:sz w:val="18"/>
              </w:rPr>
              <w:t>04_ml_congestion.sh →</w:t>
              <w:br/>
              <w:t>04_ml_congestion.py</w:t>
            </w:r>
          </w:p>
        </w:tc>
        <w:tc>
          <w:tcPr>
            <w:tcW w:type="dxa" w:w="1881"/>
          </w:tcPr>
          <w:p>
            <w:r>
              <w:rPr>
                <w:rFonts w:ascii="Bookman Old Style" w:hAnsi="Bookman Old Style"/>
                <w:sz w:val="18"/>
              </w:rPr>
              <w:t>Bash + Python</w:t>
            </w:r>
          </w:p>
        </w:tc>
        <w:tc>
          <w:tcPr>
            <w:tcW w:type="dxa" w:w="1881"/>
          </w:tcPr>
          <w:p>
            <w:r>
              <w:rPr>
                <w:rFonts w:ascii="Bookman Old Style" w:hAnsi="Bookman Old Style"/>
                <w:sz w:val="18"/>
              </w:rPr>
              <w:t>maritime.clean_maritime_*</w:t>
            </w:r>
          </w:p>
        </w:tc>
        <w:tc>
          <w:tcPr>
            <w:tcW w:type="dxa" w:w="1881"/>
          </w:tcPr>
          <w:p>
            <w:r>
              <w:rPr>
                <w:rFonts w:ascii="Bookman Old Style" w:hAnsi="Bookman Old Style"/>
                <w:sz w:val="18"/>
              </w:rPr>
              <w:t>ml (port-level)</w:t>
            </w:r>
          </w:p>
        </w:tc>
      </w:tr>
      <w:tr>
        <w:tc>
          <w:tcPr>
            <w:tcW w:type="dxa" w:w="1881"/>
          </w:tcPr>
          <w:p>
            <w:r>
              <w:rPr>
                <w:rFonts w:ascii="Bookman Old Style" w:hAnsi="Bookman Old Style"/>
                <w:sz w:val="18"/>
              </w:rPr>
              <w:t>3rd</w:t>
            </w:r>
          </w:p>
        </w:tc>
        <w:tc>
          <w:tcPr>
            <w:tcW w:type="dxa" w:w="1881"/>
          </w:tcPr>
          <w:p>
            <w:r>
              <w:rPr>
                <w:rFonts w:ascii="Bookman Old Style" w:hAnsi="Bookman Old Style"/>
                <w:sz w:val="18"/>
              </w:rPr>
              <w:t>05_ml_commodity.sh →</w:t>
              <w:br/>
              <w:t>05_ml_commodity.py</w:t>
            </w:r>
          </w:p>
        </w:tc>
        <w:tc>
          <w:tcPr>
            <w:tcW w:type="dxa" w:w="1881"/>
          </w:tcPr>
          <w:p>
            <w:r>
              <w:rPr>
                <w:rFonts w:ascii="Bookman Old Style" w:hAnsi="Bookman Old Style"/>
                <w:sz w:val="18"/>
              </w:rPr>
              <w:t>Bash + Python</w:t>
            </w:r>
          </w:p>
        </w:tc>
        <w:tc>
          <w:tcPr>
            <w:tcW w:type="dxa" w:w="1881"/>
          </w:tcPr>
          <w:p>
            <w:r>
              <w:rPr>
                <w:rFonts w:ascii="Bookman Old Style" w:hAnsi="Bookman Old Style"/>
                <w:sz w:val="18"/>
              </w:rPr>
              <w:t>maritime.clean_maritime_*</w:t>
            </w:r>
          </w:p>
        </w:tc>
        <w:tc>
          <w:tcPr>
            <w:tcW w:type="dxa" w:w="1881"/>
          </w:tcPr>
          <w:p>
            <w:r>
              <w:rPr>
                <w:rFonts w:ascii="Bookman Old Style" w:hAnsi="Bookman Old Style"/>
                <w:sz w:val="18"/>
              </w:rPr>
              <w:t>ml (commodity-level)</w:t>
            </w:r>
          </w:p>
        </w:tc>
      </w:tr>
    </w:tbl>
    <w:p>
      <w:pPr>
        <w:spacing w:before="240" w:line="360" w:lineRule="auto"/>
        <w:jc w:val="both"/>
      </w:pPr>
    </w:p>
    <w:p>
      <w:pPr>
        <w:spacing w:before="240" w:line="360" w:lineRule="auto"/>
        <w:jc w:val="both"/>
      </w:pPr>
      <w:r>
        <w:rPr>
          <w:rFonts w:ascii="Bookman Old Style" w:hAnsi="Bookman Old Style"/>
          <w:color w:val="000000"/>
        </w:rPr>
        <w:t>Scripts 04 and 05 are independent of each other, both read from the maritime schema, and could in principle run in parallel. In practice they are run sequentially because both write to the same ml schema and both compete for database and compute resources on the EC2 instance.</w:t>
      </w:r>
    </w:p>
    <w:p>
      <w:pPr>
        <w:spacing w:before="240" w:line="360" w:lineRule="auto"/>
        <w:jc w:val="both"/>
      </w:pPr>
      <w:r>
        <w:rPr>
          <w:rFonts w:ascii="Bookman Old Style" w:hAnsi="Bookman Old Style"/>
          <w:color w:val="000000"/>
        </w:rPr>
        <w:t>The entire pipeline, from raw structured data to 2026 forecasts, produces ten output tables across two levels of granularity and can be re-executed end to end in under one hour.</w:t>
      </w:r>
    </w:p>
    <w:p>
      <w:pPr>
        <w:spacing w:before="240" w:line="360" w:lineRule="auto"/>
        <w:jc w:val="left"/>
      </w:pPr>
      <w:r>
        <w:rPr>
          <w:rFonts w:ascii="Bookman Old Style" w:hAnsi="Bookman Old Style"/>
          <w:b/>
          <w:color w:val="000000"/>
        </w:rPr>
        <w:t>13.2 Data Preparation Layer, Building the Clean Maritime Tables</w:t>
      </w:r>
    </w:p>
    <w:p>
      <w:pPr>
        <w:spacing w:before="240" w:line="360" w:lineRule="auto"/>
        <w:jc w:val="both"/>
      </w:pPr>
      <w:r>
        <w:rPr>
          <w:rFonts w:ascii="Bookman Old Style" w:hAnsi="Bookman Old Style"/>
          <w:color w:val="000000"/>
        </w:rPr>
        <w:t>Before any model can run, the raw customs data must be transformed from coded, semi-structured records into a clean analytical layer. This is the responsibility of 03_rebuild_clean_maritime.sh, the only script in the pipeline that contains no Python, it is pure Bash orchestration around a single large SQL block executed directly against PostgreSQL via psql.</w:t>
      </w:r>
    </w:p>
    <w:p>
      <w:pPr>
        <w:spacing w:before="240" w:line="360" w:lineRule="auto"/>
        <w:jc w:val="left"/>
      </w:pPr>
      <w:r>
        <w:rPr>
          <w:rFonts w:ascii="Bookman Old Style" w:hAnsi="Bookman Old Style"/>
          <w:b/>
          <w:color w:val="000000"/>
        </w:rPr>
        <w:t>13.2.1 Rationale for a Separate Rebuild Step</w:t>
      </w:r>
    </w:p>
    <w:p>
      <w:pPr>
        <w:spacing w:before="240" w:line="360" w:lineRule="auto"/>
        <w:jc w:val="both"/>
      </w:pPr>
      <w:r>
        <w:rPr>
          <w:rFonts w:ascii="Bookman Old Style" w:hAnsi="Bookman Old Style"/>
          <w:color w:val="000000"/>
        </w:rPr>
        <w:t>The upstream tables structured.all_imports and structured.all_exports contain raw customs fields exactly as published by the Servicio Nacional de Aduanas: every port, country, customs office, cargo type, and product is represented by a numeric code, and numeric values such as CIF and FOB are stored as text with comma decimal separators. A model trained directly on these tables would need to perform decoding and type casting at every step, making the SQL unreadable and the pipeline fragile. The rebuild step performs this transformation once and writes the result to two clean tables, maritime.clean_maritime_imports and maritime.clean_maritime_exports, that serve as the single source of truth for all downstream modelling.</w:t>
      </w:r>
    </w:p>
    <w:p>
      <w:pPr>
        <w:spacing w:before="240" w:line="360" w:lineRule="auto"/>
        <w:jc w:val="left"/>
      </w:pPr>
      <w:r>
        <w:rPr>
          <w:rFonts w:ascii="Bookman Old Style" w:hAnsi="Bookman Old Style"/>
          <w:b/>
          <w:color w:val="000000"/>
        </w:rPr>
        <w:t>13.2.2 Execution Strategy</w:t>
      </w:r>
    </w:p>
    <w:p>
      <w:pPr>
        <w:spacing w:before="240" w:line="360" w:lineRule="auto"/>
        <w:jc w:val="both"/>
      </w:pPr>
      <w:r>
        <w:rPr>
          <w:rFonts w:ascii="Bookman Old Style" w:hAnsi="Bookman Old Style"/>
          <w:color w:val="000000"/>
        </w:rPr>
        <w:t>The script truncates both target tables, then re-inserts data year by year using PL/pgSQL loops. The year-by-year strategy is deliberate: inserting the full 20-year history in a single statement would lock the database for minutes and risk timeout on the RDS instance, while processing one year at a time keeps each transaction small and produces progress logs that make failures easy to diagnose.</w:t>
      </w:r>
    </w:p>
    <w:p>
      <w:pPr>
        <w:spacing w:before="240" w:line="360" w:lineRule="auto"/>
        <w:jc w:val="both"/>
      </w:pPr>
      <w:r>
        <w:rPr>
          <w:rFonts w:ascii="Bookman Old Style" w:hAnsi="Bookman Old Style"/>
          <w:color w:val="000000"/>
        </w:rPr>
        <w:t>Each insert performs nine lookup joins that decode every coded field into human-readable labels: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Bookman Old Style" w:hAnsi="Bookman Old Style"/>
                <w:b/>
                <w:sz w:val="18"/>
              </w:rPr>
              <w:t>Lookup Table</w:t>
            </w:r>
          </w:p>
        </w:tc>
        <w:tc>
          <w:tcPr>
            <w:tcW w:type="dxa" w:w="3135"/>
          </w:tcPr>
          <w:p>
            <w:pPr>
              <w:jc w:val="center"/>
            </w:pPr>
            <w:r>
              <w:rPr>
                <w:rFonts w:ascii="Bookman Old Style" w:hAnsi="Bookman Old Style"/>
                <w:b/>
                <w:sz w:val="18"/>
              </w:rPr>
              <w:t>Decodes</w:t>
            </w:r>
          </w:p>
        </w:tc>
        <w:tc>
          <w:tcPr>
            <w:tcW w:type="dxa" w:w="3135"/>
          </w:tcPr>
          <w:p>
            <w:pPr>
              <w:jc w:val="center"/>
            </w:pPr>
            <w:r>
              <w:rPr>
                <w:rFonts w:ascii="Bookman Old Style" w:hAnsi="Bookman Old Style"/>
                <w:b/>
                <w:sz w:val="18"/>
              </w:rPr>
              <w:t>Example</w:t>
            </w:r>
          </w:p>
        </w:tc>
      </w:tr>
      <w:tr>
        <w:tc>
          <w:tcPr>
            <w:tcW w:type="dxa" w:w="3135"/>
          </w:tcPr>
          <w:p>
            <w:r>
              <w:rPr>
                <w:rFonts w:ascii="Bookman Old Style" w:hAnsi="Bookman Old Style"/>
                <w:sz w:val="18"/>
              </w:rPr>
              <w:t>lkp_aduanas</w:t>
            </w:r>
          </w:p>
        </w:tc>
        <w:tc>
          <w:tcPr>
            <w:tcW w:type="dxa" w:w="3135"/>
          </w:tcPr>
          <w:p>
            <w:r>
              <w:rPr>
                <w:rFonts w:ascii="Bookman Old Style" w:hAnsi="Bookman Old Style"/>
                <w:sz w:val="18"/>
              </w:rPr>
              <w:t>Customs office code → name</w:t>
            </w:r>
          </w:p>
        </w:tc>
        <w:tc>
          <w:tcPr>
            <w:tcW w:type="dxa" w:w="3135"/>
          </w:tcPr>
          <w:p>
            <w:r>
              <w:rPr>
                <w:rFonts w:ascii="Bookman Old Style" w:hAnsi="Bookman Old Style"/>
                <w:sz w:val="18"/>
              </w:rPr>
              <w:t>901 → SAN ANTONIO</w:t>
            </w:r>
          </w:p>
        </w:tc>
      </w:tr>
      <w:tr>
        <w:tc>
          <w:tcPr>
            <w:tcW w:type="dxa" w:w="3135"/>
          </w:tcPr>
          <w:p>
            <w:r>
              <w:rPr>
                <w:rFonts w:ascii="Bookman Old Style" w:hAnsi="Bookman Old Style"/>
                <w:sz w:val="18"/>
              </w:rPr>
              <w:t>lkp_puertos (×2)</w:t>
            </w:r>
          </w:p>
        </w:tc>
        <w:tc>
          <w:tcPr>
            <w:tcW w:type="dxa" w:w="3135"/>
          </w:tcPr>
          <w:p>
            <w:r>
              <w:rPr>
                <w:rFonts w:ascii="Bookman Old Style" w:hAnsi="Bookman Old Style"/>
                <w:sz w:val="18"/>
              </w:rPr>
              <w:t>Port code → name, geographic zone</w:t>
            </w:r>
          </w:p>
        </w:tc>
        <w:tc>
          <w:tcPr>
            <w:tcW w:type="dxa" w:w="3135"/>
          </w:tcPr>
          <w:p>
            <w:r>
              <w:rPr>
                <w:rFonts w:ascii="Bookman Old Style" w:hAnsi="Bookman Old Style"/>
                <w:sz w:val="18"/>
              </w:rPr>
              <w:t>901 → SAN ANTONIO, Zona Central</w:t>
            </w:r>
          </w:p>
        </w:tc>
      </w:tr>
      <w:tr>
        <w:tc>
          <w:tcPr>
            <w:tcW w:type="dxa" w:w="3135"/>
          </w:tcPr>
          <w:p>
            <w:r>
              <w:rPr>
                <w:rFonts w:ascii="Bookman Old Style" w:hAnsi="Bookman Old Style"/>
                <w:sz w:val="18"/>
              </w:rPr>
              <w:t>lkp_paises</w:t>
            </w:r>
          </w:p>
        </w:tc>
        <w:tc>
          <w:tcPr>
            <w:tcW w:type="dxa" w:w="3135"/>
          </w:tcPr>
          <w:p>
            <w:r>
              <w:rPr>
                <w:rFonts w:ascii="Bookman Old Style" w:hAnsi="Bookman Old Style"/>
                <w:sz w:val="18"/>
              </w:rPr>
              <w:t>Country code → name, continent</w:t>
            </w:r>
          </w:p>
        </w:tc>
        <w:tc>
          <w:tcPr>
            <w:tcW w:type="dxa" w:w="3135"/>
          </w:tcPr>
          <w:p>
            <w:r>
              <w:rPr>
                <w:rFonts w:ascii="Bookman Old Style" w:hAnsi="Bookman Old Style"/>
                <w:sz w:val="18"/>
              </w:rPr>
              <w:t>249 → CHINA, Asia</w:t>
            </w:r>
          </w:p>
        </w:tc>
      </w:tr>
      <w:tr>
        <w:tc>
          <w:tcPr>
            <w:tcW w:type="dxa" w:w="3135"/>
          </w:tcPr>
          <w:p>
            <w:r>
              <w:rPr>
                <w:rFonts w:ascii="Bookman Old Style" w:hAnsi="Bookman Old Style"/>
                <w:sz w:val="18"/>
              </w:rPr>
              <w:t>lkp_tipos_carga</w:t>
            </w:r>
          </w:p>
        </w:tc>
        <w:tc>
          <w:tcPr>
            <w:tcW w:type="dxa" w:w="3135"/>
          </w:tcPr>
          <w:p>
            <w:r>
              <w:rPr>
                <w:rFonts w:ascii="Bookman Old Style" w:hAnsi="Bookman Old Style"/>
                <w:sz w:val="18"/>
              </w:rPr>
              <w:t>Cargo type code → description</w:t>
            </w:r>
          </w:p>
        </w:tc>
        <w:tc>
          <w:tcPr>
            <w:tcW w:type="dxa" w:w="3135"/>
          </w:tcPr>
          <w:p>
            <w:r>
              <w:rPr>
                <w:rFonts w:ascii="Bookman Old Style" w:hAnsi="Bookman Old Style"/>
                <w:sz w:val="18"/>
              </w:rPr>
              <w:t>3 → CARGA CONTENEDORIZADA</w:t>
            </w:r>
          </w:p>
        </w:tc>
      </w:tr>
      <w:tr>
        <w:tc>
          <w:tcPr>
            <w:tcW w:type="dxa" w:w="3135"/>
          </w:tcPr>
          <w:p>
            <w:r>
              <w:rPr>
                <w:rFonts w:ascii="Bookman Old Style" w:hAnsi="Bookman Old Style"/>
                <w:sz w:val="18"/>
              </w:rPr>
              <w:t>lkp_clausulas</w:t>
            </w:r>
          </w:p>
        </w:tc>
        <w:tc>
          <w:tcPr>
            <w:tcW w:type="dxa" w:w="3135"/>
          </w:tcPr>
          <w:p>
            <w:r>
              <w:rPr>
                <w:rFonts w:ascii="Bookman Old Style" w:hAnsi="Bookman Old Style"/>
                <w:sz w:val="18"/>
              </w:rPr>
              <w:t>Trade clause code → name, abbreviation</w:t>
            </w:r>
          </w:p>
        </w:tc>
        <w:tc>
          <w:tcPr>
            <w:tcW w:type="dxa" w:w="3135"/>
          </w:tcPr>
          <w:p>
            <w:r>
              <w:rPr>
                <w:rFonts w:ascii="Bookman Old Style" w:hAnsi="Bookman Old Style"/>
                <w:sz w:val="18"/>
              </w:rPr>
              <w:t>1 → CIF, CIF</w:t>
            </w:r>
          </w:p>
        </w:tc>
      </w:tr>
      <w:tr>
        <w:tc>
          <w:tcPr>
            <w:tcW w:type="dxa" w:w="3135"/>
          </w:tcPr>
          <w:p>
            <w:r>
              <w:rPr>
                <w:rFonts w:ascii="Bookman Old Style" w:hAnsi="Bookman Old Style"/>
                <w:sz w:val="18"/>
              </w:rPr>
              <w:t>lkp_regimen_importacion</w:t>
            </w:r>
          </w:p>
        </w:tc>
        <w:tc>
          <w:tcPr>
            <w:tcW w:type="dxa" w:w="3135"/>
          </w:tcPr>
          <w:p>
            <w:r>
              <w:rPr>
                <w:rFonts w:ascii="Bookman Old Style" w:hAnsi="Bookman Old Style"/>
                <w:sz w:val="18"/>
              </w:rPr>
              <w:t>Import regime code → name (imports only)</w:t>
            </w:r>
          </w:p>
        </w:tc>
        <w:tc>
          <w:tcPr>
            <w:tcW w:type="dxa" w:w="3135"/>
          </w:tcPr>
          <w:p>
            <w:r>
              <w:rPr>
                <w:rFonts w:ascii="Bookman Old Style" w:hAnsi="Bookman Old Style"/>
                <w:sz w:val="18"/>
              </w:rPr>
              <w:t>1 → IMPORTACION</w:t>
            </w:r>
          </w:p>
        </w:tc>
      </w:tr>
      <w:tr>
        <w:tc>
          <w:tcPr>
            <w:tcW w:type="dxa" w:w="3135"/>
          </w:tcPr>
          <w:p>
            <w:r>
              <w:rPr>
                <w:rFonts w:ascii="Bookman Old Style" w:hAnsi="Bookman Old Style"/>
                <w:sz w:val="18"/>
              </w:rPr>
              <w:t>lkp_regiones</w:t>
            </w:r>
          </w:p>
        </w:tc>
        <w:tc>
          <w:tcPr>
            <w:tcW w:type="dxa" w:w="3135"/>
          </w:tcPr>
          <w:p>
            <w:r>
              <w:rPr>
                <w:rFonts w:ascii="Bookman Old Style" w:hAnsi="Bookman Old Style"/>
                <w:sz w:val="18"/>
              </w:rPr>
              <w:t>Region code → name (exports only)</w:t>
            </w:r>
          </w:p>
        </w:tc>
        <w:tc>
          <w:tcPr>
            <w:tcW w:type="dxa" w:w="3135"/>
          </w:tcPr>
          <w:p>
            <w:r>
              <w:rPr>
                <w:rFonts w:ascii="Bookman Old Style" w:hAnsi="Bookman Old Style"/>
                <w:sz w:val="18"/>
              </w:rPr>
              <w:t>5 → VALPARAISO</w:t>
            </w:r>
          </w:p>
        </w:tc>
      </w:tr>
      <w:tr>
        <w:tc>
          <w:tcPr>
            <w:tcW w:type="dxa" w:w="3135"/>
          </w:tcPr>
          <w:p>
            <w:r>
              <w:rPr>
                <w:rFonts w:ascii="Bookman Old Style" w:hAnsi="Bookman Old Style"/>
                <w:sz w:val="18"/>
              </w:rPr>
              <w:t>lkp_harmonized_system</w:t>
            </w:r>
          </w:p>
        </w:tc>
        <w:tc>
          <w:tcPr>
            <w:tcW w:type="dxa" w:w="3135"/>
          </w:tcPr>
          <w:p>
            <w:r>
              <w:rPr>
                <w:rFonts w:ascii="Bookman Old Style" w:hAnsi="Bookman Old Style"/>
                <w:sz w:val="18"/>
              </w:rPr>
              <w:t>HS code → product description</w:t>
            </w:r>
          </w:p>
        </w:tc>
        <w:tc>
          <w:tcPr>
            <w:tcW w:type="dxa" w:w="3135"/>
          </w:tcPr>
          <w:p>
            <w:r>
              <w:rPr>
                <w:rFonts w:ascii="Bookman Old Style" w:hAnsi="Bookman Old Style"/>
                <w:sz w:val="18"/>
              </w:rPr>
              <w:t>080610 → Fresh grapes</w:t>
            </w:r>
          </w:p>
        </w:tc>
      </w:tr>
      <w:tr>
        <w:tc>
          <w:tcPr>
            <w:tcW w:type="dxa" w:w="3135"/>
          </w:tcPr>
          <w:p>
            <w:r>
              <w:rPr>
                <w:rFonts w:ascii="Bookman Old Style" w:hAnsi="Bookman Old Style"/>
                <w:sz w:val="18"/>
              </w:rPr>
              <w:t>lkp_unidades_medida</w:t>
            </w:r>
          </w:p>
        </w:tc>
        <w:tc>
          <w:tcPr>
            <w:tcW w:type="dxa" w:w="3135"/>
          </w:tcPr>
          <w:p>
            <w:r>
              <w:rPr>
                <w:rFonts w:ascii="Bookman Old Style" w:hAnsi="Bookman Old Style"/>
                <w:sz w:val="18"/>
              </w:rPr>
              <w:t>Unit code → name, abbreviation</w:t>
            </w:r>
          </w:p>
        </w:tc>
        <w:tc>
          <w:tcPr>
            <w:tcW w:type="dxa" w:w="3135"/>
          </w:tcPr>
          <w:p>
            <w:r>
              <w:rPr>
                <w:rFonts w:ascii="Bookman Old Style" w:hAnsi="Bookman Old Style"/>
                <w:sz w:val="18"/>
              </w:rPr>
              <w:t>6 → KILOGRAMO, KG</w:t>
            </w:r>
          </w:p>
        </w:tc>
      </w:tr>
    </w:tbl>
    <w:p>
      <w:pPr>
        <w:spacing w:before="240" w:line="360" w:lineRule="auto"/>
        <w:jc w:val="both"/>
      </w:pPr>
    </w:p>
    <w:p>
      <w:pPr>
        <w:spacing w:before="240" w:line="360" w:lineRule="auto"/>
        <w:jc w:val="both"/>
      </w:pPr>
      <w:r>
        <w:rPr>
          <w:rFonts w:ascii="Bookman Old Style" w:hAnsi="Bookman Old Style"/>
          <w:color w:val="000000"/>
        </w:rPr>
        <w:t>The HS product description join deserves special mention. The primary lookup attempts to match at the 6-digit HS6 level, which provides the most specific description. When no HS6 match exists, which happens for a non-trivial fraction of records due to classification updates over the 20-year history, a LATERAL subquery falls back to the HS4 level, selecting the first HS6 description that shares the same 4-digit prefix. This fallback ensures that virtually every record receives a human-readable product description, even when the exact HS6 code has been deprecated or reclassified.</w:t>
      </w:r>
    </w:p>
    <w:p>
      <w:pPr>
        <w:spacing w:before="240" w:line="360" w:lineRule="auto"/>
        <w:jc w:val="left"/>
      </w:pPr>
      <w:r>
        <w:rPr>
          <w:rFonts w:ascii="Bookman Old Style" w:hAnsi="Bookman Old Style"/>
          <w:b/>
          <w:color w:val="000000"/>
        </w:rPr>
        <w:t>13.2.3 Additional Transformations</w:t>
      </w:r>
    </w:p>
    <w:p>
      <w:pPr>
        <w:spacing w:before="240" w:line="360" w:lineRule="auto"/>
        <w:jc w:val="both"/>
      </w:pPr>
      <w:r>
        <w:rPr>
          <w:rFonts w:ascii="Bookman Old Style" w:hAnsi="Bookman Old Style"/>
          <w:color w:val="000000"/>
        </w:rPr>
        <w:t>Dirty data cleanup. Raw fields frequently contain embedded commas from CSV parsing artefacts (e.g., a port code stored as "901,0" instead of 901). Every coded field is preprocessed with SPLIT_PART(TRIM(field), ',', 1) before casting to integer, extracting only the meaningful value.</w:t>
      </w:r>
    </w:p>
    <w:p>
      <w:pPr>
        <w:spacing w:before="240" w:line="360" w:lineRule="auto"/>
        <w:jc w:val="both"/>
      </w:pPr>
      <w:r>
        <w:rPr>
          <w:rFonts w:ascii="Bookman Old Style" w:hAnsi="Bookman Old Style"/>
          <w:color w:val="000000"/>
        </w:rPr>
        <w:t>Numeric type casting. Monetary and quantity fields are stored as text with comma decimal separators. The pattern NULLIF(NULLIF(REPLACE(field, ',', '.'), ''), 'NaN')::double precision handles three edge cases in one expression: comma-to-period conversion, empty string rejection, and explicit NaN values that appear in certain export years.</w:t>
      </w:r>
    </w:p>
    <w:p>
      <w:pPr>
        <w:spacing w:before="240" w:line="360" w:lineRule="auto"/>
        <w:jc w:val="both"/>
      </w:pPr>
      <w:r>
        <w:rPr>
          <w:rFonts w:ascii="Bookman Old Style" w:hAnsi="Bookman Old Style"/>
          <w:b/>
          <w:color w:val="000000"/>
          <w:sz w:val="20"/>
        </w:rPr>
        <w:t>Explanation of the numeric casting pattern:</w:t>
      </w:r>
    </w:p>
    <w:p>
      <w:pPr>
        <w:spacing w:after="40" w:before="240" w:line="360" w:lineRule="auto"/>
        <w:ind w:left="567"/>
        <w:jc w:val="both"/>
      </w:pPr>
      <w:r>
        <w:rPr>
          <w:rFonts w:ascii="Bookman Old Style" w:hAnsi="Bookman Old Style"/>
          <w:color w:val="000000"/>
          <w:sz w:val="18"/>
        </w:rPr>
        <w:t>REPLACE(field, ',', '.')   → converts '1234,56' to '1234.56'</w:t>
      </w:r>
    </w:p>
    <w:p>
      <w:pPr>
        <w:spacing w:after="40" w:before="240" w:line="360" w:lineRule="auto"/>
        <w:ind w:left="567"/>
        <w:jc w:val="both"/>
      </w:pPr>
      <w:r>
        <w:rPr>
          <w:rFonts w:ascii="Bookman Old Style" w:hAnsi="Bookman Old Style"/>
          <w:color w:val="000000"/>
          <w:sz w:val="18"/>
        </w:rPr>
        <w:t>NULLIF(..., '')            → converts empty strings to NULL (avoids cast errors)</w:t>
      </w:r>
    </w:p>
    <w:p>
      <w:pPr>
        <w:spacing w:after="40" w:before="240" w:line="360" w:lineRule="auto"/>
        <w:ind w:left="567"/>
        <w:jc w:val="both"/>
      </w:pPr>
      <w:r>
        <w:rPr>
          <w:rFonts w:ascii="Bookman Old Style" w:hAnsi="Bookman Old Style"/>
          <w:color w:val="000000"/>
          <w:sz w:val="18"/>
        </w:rPr>
        <w:t>NULLIF(..., 'NaN')        → converts literal 'NaN' text to NULL</w:t>
      </w:r>
    </w:p>
    <w:p>
      <w:pPr>
        <w:spacing w:after="40" w:before="240" w:line="360" w:lineRule="auto"/>
        <w:ind w:left="567"/>
        <w:jc w:val="both"/>
      </w:pPr>
      <w:r>
        <w:rPr>
          <w:rFonts w:ascii="Bookman Old Style" w:hAnsi="Bookman Old Style"/>
          <w:color w:val="000000"/>
          <w:sz w:val="18"/>
        </w:rPr>
        <w:t>::double precision        → casts the cleaned text to a numeric type</w:t>
      </w:r>
    </w:p>
    <w:p>
      <w:pPr>
        <w:spacing w:before="240" w:line="360" w:lineRule="auto"/>
        <w:jc w:val="both"/>
      </w:pPr>
      <w:r>
        <w:rPr>
          <w:rFonts w:ascii="Bookman Old Style" w:hAnsi="Bookman Old Style"/>
          <w:color w:val="000000"/>
        </w:rPr>
        <w:t>HS code derivation. The raw ITEM_SA field is an 8-digit string from which three hierarchical codes are derived:</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Bookman Old Style" w:hAnsi="Bookman Old Style"/>
                <w:b/>
                <w:sz w:val="18"/>
              </w:rPr>
              <w:t>Derived Code</w:t>
            </w:r>
          </w:p>
        </w:tc>
        <w:tc>
          <w:tcPr>
            <w:tcW w:type="dxa" w:w="2351"/>
          </w:tcPr>
          <w:p>
            <w:pPr>
              <w:jc w:val="center"/>
            </w:pPr>
            <w:r>
              <w:rPr>
                <w:rFonts w:ascii="Bookman Old Style" w:hAnsi="Bookman Old Style"/>
                <w:b/>
                <w:sz w:val="18"/>
              </w:rPr>
              <w:t>SQL Expression</w:t>
            </w:r>
          </w:p>
        </w:tc>
        <w:tc>
          <w:tcPr>
            <w:tcW w:type="dxa" w:w="2351"/>
          </w:tcPr>
          <w:p>
            <w:pPr>
              <w:jc w:val="center"/>
            </w:pPr>
            <w:r>
              <w:rPr>
                <w:rFonts w:ascii="Bookman Old Style" w:hAnsi="Bookman Old Style"/>
                <w:b/>
                <w:sz w:val="18"/>
              </w:rPr>
              <w:t>Meaning</w:t>
            </w:r>
          </w:p>
        </w:tc>
        <w:tc>
          <w:tcPr>
            <w:tcW w:type="dxa" w:w="2351"/>
          </w:tcPr>
          <w:p>
            <w:pPr>
              <w:jc w:val="center"/>
            </w:pPr>
            <w:r>
              <w:rPr>
                <w:rFonts w:ascii="Bookman Old Style" w:hAnsi="Bookman Old Style"/>
                <w:b/>
                <w:sz w:val="18"/>
              </w:rPr>
              <w:t>Example</w:t>
            </w:r>
          </w:p>
        </w:tc>
      </w:tr>
      <w:tr>
        <w:tc>
          <w:tcPr>
            <w:tcW w:type="dxa" w:w="2351"/>
          </w:tcPr>
          <w:p>
            <w:r>
              <w:rPr>
                <w:rFonts w:ascii="Bookman Old Style" w:hAnsi="Bookman Old Style"/>
                <w:sz w:val="18"/>
              </w:rPr>
              <w:t>HS2 (Chapter)</w:t>
            </w:r>
          </w:p>
        </w:tc>
        <w:tc>
          <w:tcPr>
            <w:tcW w:type="dxa" w:w="2351"/>
          </w:tcPr>
          <w:p>
            <w:r>
              <w:rPr>
                <w:rFonts w:ascii="Bookman Old Style" w:hAnsi="Bookman Old Style"/>
                <w:sz w:val="18"/>
              </w:rPr>
              <w:t>LEFT(ITEM_SA, 2)</w:t>
            </w:r>
          </w:p>
        </w:tc>
        <w:tc>
          <w:tcPr>
            <w:tcW w:type="dxa" w:w="2351"/>
          </w:tcPr>
          <w:p>
            <w:r>
              <w:rPr>
                <w:rFonts w:ascii="Bookman Old Style" w:hAnsi="Bookman Old Style"/>
                <w:sz w:val="18"/>
              </w:rPr>
              <w:t>Broad commodity group (98 chapters)</w:t>
            </w:r>
          </w:p>
        </w:tc>
        <w:tc>
          <w:tcPr>
            <w:tcW w:type="dxa" w:w="2351"/>
          </w:tcPr>
          <w:p>
            <w:r>
              <w:rPr>
                <w:rFonts w:ascii="Bookman Old Style" w:hAnsi="Bookman Old Style"/>
                <w:sz w:val="18"/>
              </w:rPr>
              <w:t>08 = Edible fruit and nuts</w:t>
            </w:r>
          </w:p>
        </w:tc>
      </w:tr>
      <w:tr>
        <w:tc>
          <w:tcPr>
            <w:tcW w:type="dxa" w:w="2351"/>
          </w:tcPr>
          <w:p>
            <w:r>
              <w:rPr>
                <w:rFonts w:ascii="Bookman Old Style" w:hAnsi="Bookman Old Style"/>
                <w:sz w:val="18"/>
              </w:rPr>
              <w:t>HS4 (Heading)</w:t>
            </w:r>
          </w:p>
        </w:tc>
        <w:tc>
          <w:tcPr>
            <w:tcW w:type="dxa" w:w="2351"/>
          </w:tcPr>
          <w:p>
            <w:r>
              <w:rPr>
                <w:rFonts w:ascii="Bookman Old Style" w:hAnsi="Bookman Old Style"/>
                <w:sz w:val="18"/>
              </w:rPr>
              <w:t>LEFT(ITEM_SA, 4)</w:t>
            </w:r>
          </w:p>
        </w:tc>
        <w:tc>
          <w:tcPr>
            <w:tcW w:type="dxa" w:w="2351"/>
          </w:tcPr>
          <w:p>
            <w:r>
              <w:rPr>
                <w:rFonts w:ascii="Bookman Old Style" w:hAnsi="Bookman Old Style"/>
                <w:sz w:val="18"/>
              </w:rPr>
              <w:t>More specific product category</w:t>
            </w:r>
          </w:p>
        </w:tc>
        <w:tc>
          <w:tcPr>
            <w:tcW w:type="dxa" w:w="2351"/>
          </w:tcPr>
          <w:p>
            <w:r>
              <w:rPr>
                <w:rFonts w:ascii="Bookman Old Style" w:hAnsi="Bookman Old Style"/>
                <w:sz w:val="18"/>
              </w:rPr>
              <w:t>0806 = Grapes</w:t>
            </w:r>
          </w:p>
        </w:tc>
      </w:tr>
      <w:tr>
        <w:tc>
          <w:tcPr>
            <w:tcW w:type="dxa" w:w="2351"/>
          </w:tcPr>
          <w:p>
            <w:r>
              <w:rPr>
                <w:rFonts w:ascii="Bookman Old Style" w:hAnsi="Bookman Old Style"/>
                <w:sz w:val="18"/>
              </w:rPr>
              <w:t>HS6 (Subheading)</w:t>
            </w:r>
          </w:p>
        </w:tc>
        <w:tc>
          <w:tcPr>
            <w:tcW w:type="dxa" w:w="2351"/>
          </w:tcPr>
          <w:p>
            <w:r>
              <w:rPr>
                <w:rFonts w:ascii="Bookman Old Style" w:hAnsi="Bookman Old Style"/>
                <w:sz w:val="18"/>
              </w:rPr>
              <w:t>LEFT(ITEM_SA, 6)</w:t>
            </w:r>
          </w:p>
        </w:tc>
        <w:tc>
          <w:tcPr>
            <w:tcW w:type="dxa" w:w="2351"/>
          </w:tcPr>
          <w:p>
            <w:r>
              <w:rPr>
                <w:rFonts w:ascii="Bookman Old Style" w:hAnsi="Bookman Old Style"/>
                <w:sz w:val="18"/>
              </w:rPr>
              <w:t>Detailed product classification</w:t>
            </w:r>
          </w:p>
        </w:tc>
        <w:tc>
          <w:tcPr>
            <w:tcW w:type="dxa" w:w="2351"/>
          </w:tcPr>
          <w:p>
            <w:r>
              <w:rPr>
                <w:rFonts w:ascii="Bookman Old Style" w:hAnsi="Bookman Old Style"/>
                <w:sz w:val="18"/>
              </w:rPr>
              <w:t>080610 = Fresh grapes</w:t>
            </w:r>
          </w:p>
        </w:tc>
      </w:tr>
    </w:tbl>
    <w:p>
      <w:pPr>
        <w:spacing w:before="240" w:line="360" w:lineRule="auto"/>
        <w:jc w:val="both"/>
      </w:pPr>
    </w:p>
    <w:p>
      <w:pPr>
        <w:spacing w:before="240" w:line="360" w:lineRule="auto"/>
        <w:jc w:val="both"/>
      </w:pPr>
      <w:r>
        <w:rPr>
          <w:rFonts w:ascii="Bookman Old Style" w:hAnsi="Bookman Old Style"/>
          <w:color w:val="000000"/>
        </w:rPr>
        <w:t>Airport filtering. The raw data is filtered for maritime transport only (cod_via_transporte = '1'), but a small number of airport records slip through this filter, likely due to multimodal shipments recorded under the maritime transport code. Two additional guards exclude these records: a check against the port type field (tipo_puerto &lt;&gt; 'Aeropuerto') and a pattern match on the port name (nombre_puerto NOT ILIKE 'AEROP%'). A verification query at the end of the script confirms that zero airport records remain in the output tables.</w:t>
      </w:r>
    </w:p>
    <w:p>
      <w:pPr>
        <w:spacing w:before="240" w:line="360" w:lineRule="auto"/>
        <w:jc w:val="both"/>
      </w:pPr>
      <w:r>
        <w:rPr>
          <w:rFonts w:ascii="Bookman Old Style" w:hAnsi="Bookman Old Style"/>
          <w:color w:val="000000"/>
        </w:rPr>
        <w:t>The script concludes with VACUUM ANALYZE on both tables, updating PostgreSQL's query planner statistics to ensure that the downstream SQL executed by the ML pipelines runs with optimal query plans.</w:t>
      </w:r>
    </w:p>
    <w:p>
      <w:pPr>
        <w:spacing w:before="240" w:line="360" w:lineRule="auto"/>
        <w:jc w:val="left"/>
      </w:pPr>
      <w:r>
        <w:rPr>
          <w:rFonts w:ascii="Bookman Old Style" w:hAnsi="Bookman Old Style"/>
          <w:b/>
          <w:color w:val="000000"/>
        </w:rPr>
        <w:t>13.3 Port Congestion ML Pipeline</w:t>
      </w:r>
    </w:p>
    <w:p>
      <w:pPr>
        <w:spacing w:before="240" w:line="360" w:lineRule="auto"/>
        <w:jc w:val="both"/>
      </w:pPr>
      <w:r>
        <w:rPr>
          <w:rFonts w:ascii="Bookman Old Style" w:hAnsi="Bookman Old Style"/>
          <w:color w:val="000000"/>
        </w:rPr>
        <w:t>The port congestion pipeline is the first of two ML pipelines and operates at the coarsest forecasting granularity: one prediction per port, per direction (import or export), per month. Its purpose is to answer the question: how busy will each Chilean port be in each month of 2026?</w:t>
      </w:r>
    </w:p>
    <w:p>
      <w:pPr>
        <w:spacing w:before="240" w:line="360" w:lineRule="auto"/>
        <w:jc w:val="both"/>
      </w:pPr>
      <w:r>
        <w:rPr>
          <w:rFonts w:ascii="Bookman Old Style" w:hAnsi="Bookman Old Style"/>
          <w:color w:val="000000"/>
        </w:rPr>
        <w:t>The pipeline is implemented in 04_ml_congestion.py, a single Python script that executes five sequential steps. It is launched via 04_ml_congestion.sh, a Bash wrapper that fetches database credentials from AWS Secrets Manager and exports them as environment variables before invoking the Python script. The Python script uses SQLAlchemy with the psycopg2 driver to connect to RDS PostgreSQL and executes a mixture of SQL (for aggregation and feature engineering, where PostgreSQL's window functions are faster than equivalent pandas operations on millions of rows) and Python (for model training, cross-validation, and forecasting, where scikit-learn and gradient boosting libraries are required).</w:t>
      </w:r>
    </w:p>
    <w:p>
      <w:pPr>
        <w:spacing w:before="240" w:line="360" w:lineRule="auto"/>
        <w:jc w:val="both"/>
      </w:pPr>
      <w:r>
        <w:rPr>
          <w:rFonts w:ascii="Bookman Old Style" w:hAnsi="Bookman Old Style"/>
          <w:color w:val="000000"/>
        </w:rPr>
        <w:t>Both ML pipelines share a common utility module, wz_ml_utils.py, which encapsulates all shared logic: walk-forward cross-validation, feature selection, sample weighting, scoring metrics, and the recursive forecasting loop. This design ensures that both pipelines use identical evaluation protocols and that any methodological change, such as adding a new CV fold or adjusting the COVID weighting scheme, propagates to both pipelines automatically.</w:t>
      </w:r>
    </w:p>
    <w:p>
      <w:pPr>
        <w:spacing w:before="240" w:line="360" w:lineRule="auto"/>
        <w:jc w:val="left"/>
      </w:pPr>
      <w:r>
        <w:rPr>
          <w:rFonts w:ascii="Bookman Old Style" w:hAnsi="Bookman Old Style"/>
          <w:b/>
          <w:color w:val="000000"/>
        </w:rPr>
        <w:t>13.3.1 Monthly Aggregation</w:t>
      </w:r>
    </w:p>
    <w:p>
      <w:pPr>
        <w:spacing w:before="240" w:line="360" w:lineRule="auto"/>
        <w:jc w:val="both"/>
      </w:pPr>
      <w:r>
        <w:rPr>
          <w:rFonts w:ascii="Bookman Old Style" w:hAnsi="Bookman Old Style"/>
          <w:color w:val="000000"/>
        </w:rPr>
        <w:t>The first step aggregates the ~20 million individual shipment records from the clean maritime tables into monthly port-level summaries. This is performed entirely in SQL for efficiency, producing the table ml.port_monthly_agg.</w:t>
      </w:r>
    </w:p>
    <w:p>
      <w:pPr>
        <w:spacing w:before="240" w:line="360" w:lineRule="auto"/>
        <w:jc w:val="both"/>
      </w:pPr>
      <w:r>
        <w:rPr>
          <w:rFonts w:ascii="Bookman Old Style" w:hAnsi="Bookman Old Style"/>
          <w:color w:val="000000"/>
        </w:rPr>
        <w:t>For each port × direction × year × month combination, the following metrics are computed:</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Bookman Old Style" w:hAnsi="Bookman Old Style"/>
                <w:b/>
                <w:sz w:val="18"/>
              </w:rPr>
              <w:t>Metric</w:t>
            </w:r>
          </w:p>
        </w:tc>
        <w:tc>
          <w:tcPr>
            <w:tcW w:type="dxa" w:w="3135"/>
          </w:tcPr>
          <w:p>
            <w:pPr>
              <w:jc w:val="center"/>
            </w:pPr>
            <w:r>
              <w:rPr>
                <w:rFonts w:ascii="Bookman Old Style" w:hAnsi="Bookman Old Style"/>
                <w:b/>
                <w:sz w:val="18"/>
              </w:rPr>
              <w:t>SQL Logic</w:t>
            </w:r>
          </w:p>
        </w:tc>
        <w:tc>
          <w:tcPr>
            <w:tcW w:type="dxa" w:w="3135"/>
          </w:tcPr>
          <w:p>
            <w:pPr>
              <w:jc w:val="center"/>
            </w:pPr>
            <w:r>
              <w:rPr>
                <w:rFonts w:ascii="Bookman Old Style" w:hAnsi="Bookman Old Style"/>
                <w:b/>
                <w:sz w:val="18"/>
              </w:rPr>
              <w:t>What it measures</w:t>
            </w:r>
          </w:p>
        </w:tc>
      </w:tr>
      <w:tr>
        <w:tc>
          <w:tcPr>
            <w:tcW w:type="dxa" w:w="3135"/>
          </w:tcPr>
          <w:p>
            <w:r>
              <w:rPr>
                <w:rFonts w:ascii="Bookman Old Style" w:hAnsi="Bookman Old Style"/>
                <w:sz w:val="18"/>
              </w:rPr>
              <w:t>shipment_count</w:t>
            </w:r>
          </w:p>
        </w:tc>
        <w:tc>
          <w:tcPr>
            <w:tcW w:type="dxa" w:w="3135"/>
          </w:tcPr>
          <w:p>
            <w:r>
              <w:rPr>
                <w:rFonts w:ascii="Bookman Old Style" w:hAnsi="Bookman Old Style"/>
                <w:sz w:val="18"/>
              </w:rPr>
              <w:t>COUNT(*)</w:t>
            </w:r>
          </w:p>
        </w:tc>
        <w:tc>
          <w:tcPr>
            <w:tcW w:type="dxa" w:w="3135"/>
          </w:tcPr>
          <w:p>
            <w:r>
              <w:rPr>
                <w:rFonts w:ascii="Bookman Old Style" w:hAnsi="Bookman Old Style"/>
                <w:sz w:val="18"/>
              </w:rPr>
              <w:t>Total number of maritime operations. This is the PREDICTION TARGET, the variable all seven models try to forecast.</w:t>
            </w:r>
          </w:p>
        </w:tc>
      </w:tr>
      <w:tr>
        <w:tc>
          <w:tcPr>
            <w:tcW w:type="dxa" w:w="3135"/>
          </w:tcPr>
          <w:p>
            <w:r>
              <w:rPr>
                <w:rFonts w:ascii="Bookman Old Style" w:hAnsi="Bookman Old Style"/>
                <w:sz w:val="18"/>
              </w:rPr>
              <w:t>total_value_usd</w:t>
            </w:r>
          </w:p>
        </w:tc>
        <w:tc>
          <w:tcPr>
            <w:tcW w:type="dxa" w:w="3135"/>
          </w:tcPr>
          <w:p>
            <w:r>
              <w:rPr>
                <w:rFonts w:ascii="Bookman Old Style" w:hAnsi="Bookman Old Style"/>
                <w:sz w:val="18"/>
              </w:rPr>
              <w:t>SUM(cif_us) for imports</w:t>
              <w:br/>
              <w:t>SUM(fob_us) for exports</w:t>
            </w:r>
          </w:p>
        </w:tc>
        <w:tc>
          <w:tcPr>
            <w:tcW w:type="dxa" w:w="3135"/>
          </w:tcPr>
          <w:p>
            <w:r>
              <w:rPr>
                <w:rFonts w:ascii="Bookman Old Style" w:hAnsi="Bookman Old Style"/>
                <w:sz w:val="18"/>
              </w:rPr>
              <w:t>Total trade value in US dollars. CIF (Cost, Insurance, Freight) is the standard valuation for imports; FOB (Free On Board) for exports.</w:t>
            </w:r>
          </w:p>
        </w:tc>
      </w:tr>
      <w:tr>
        <w:tc>
          <w:tcPr>
            <w:tcW w:type="dxa" w:w="3135"/>
          </w:tcPr>
          <w:p>
            <w:r>
              <w:rPr>
                <w:rFonts w:ascii="Bookman Old Style" w:hAnsi="Bookman Old Style"/>
                <w:sz w:val="18"/>
              </w:rPr>
              <w:t>total_weight_mt</w:t>
            </w:r>
          </w:p>
        </w:tc>
        <w:tc>
          <w:tcPr>
            <w:tcW w:type="dxa" w:w="3135"/>
          </w:tcPr>
          <w:p>
            <w:r>
              <w:rPr>
                <w:rFonts w:ascii="Bookman Old Style" w:hAnsi="Bookman Old Style"/>
                <w:sz w:val="18"/>
              </w:rPr>
              <w:t>SUM(peso_bruto_kg) / 1000</w:t>
              <w:br/>
              <w:t>(exports only)</w:t>
            </w:r>
          </w:p>
        </w:tc>
        <w:tc>
          <w:tcPr>
            <w:tcW w:type="dxa" w:w="3135"/>
          </w:tcPr>
          <w:p>
            <w:r>
              <w:rPr>
                <w:rFonts w:ascii="Bookman Old Style" w:hAnsi="Bookman Old Style"/>
                <w:sz w:val="18"/>
              </w:rPr>
              <w:t>Total cargo weight in metric tonnes. Not available for imports (Chilean customs reports CIF value, not weight, for imports).</w:t>
            </w:r>
          </w:p>
        </w:tc>
      </w:tr>
      <w:tr>
        <w:tc>
          <w:tcPr>
            <w:tcW w:type="dxa" w:w="3135"/>
          </w:tcPr>
          <w:p>
            <w:r>
              <w:rPr>
                <w:rFonts w:ascii="Bookman Old Style" w:hAnsi="Bookman Old Style"/>
                <w:sz w:val="18"/>
              </w:rPr>
              <w:t>total_quantity</w:t>
            </w:r>
          </w:p>
        </w:tc>
        <w:tc>
          <w:tcPr>
            <w:tcW w:type="dxa" w:w="3135"/>
          </w:tcPr>
          <w:p>
            <w:r>
              <w:rPr>
                <w:rFonts w:ascii="Bookman Old Style" w:hAnsi="Bookman Old Style"/>
                <w:sz w:val="18"/>
              </w:rPr>
              <w:t>SUM(cantidad_mercancia)</w:t>
            </w:r>
          </w:p>
        </w:tc>
        <w:tc>
          <w:tcPr>
            <w:tcW w:type="dxa" w:w="3135"/>
          </w:tcPr>
          <w:p>
            <w:r>
              <w:rPr>
                <w:rFonts w:ascii="Bookman Old Style" w:hAnsi="Bookman Old Style"/>
                <w:sz w:val="18"/>
              </w:rPr>
              <w:t>Total merchandise quantity in the declared unit of measure.</w:t>
            </w:r>
          </w:p>
        </w:tc>
      </w:tr>
      <w:tr>
        <w:tc>
          <w:tcPr>
            <w:tcW w:type="dxa" w:w="3135"/>
          </w:tcPr>
          <w:p>
            <w:r>
              <w:rPr>
                <w:rFonts w:ascii="Bookman Old Style" w:hAnsi="Bookman Old Style"/>
                <w:sz w:val="18"/>
              </w:rPr>
              <w:t>commodity_diversity</w:t>
            </w:r>
          </w:p>
        </w:tc>
        <w:tc>
          <w:tcPr>
            <w:tcW w:type="dxa" w:w="3135"/>
          </w:tcPr>
          <w:p>
            <w:r>
              <w:rPr>
                <w:rFonts w:ascii="Bookman Old Style" w:hAnsi="Bookman Old Style"/>
                <w:sz w:val="18"/>
              </w:rPr>
              <w:t>COUNT(DISTINCT hs2_capitulo)</w:t>
            </w:r>
          </w:p>
        </w:tc>
        <w:tc>
          <w:tcPr>
            <w:tcW w:type="dxa" w:w="3135"/>
          </w:tcPr>
          <w:p>
            <w:r>
              <w:rPr>
                <w:rFonts w:ascii="Bookman Old Style" w:hAnsi="Bookman Old Style"/>
                <w:sz w:val="18"/>
              </w:rPr>
              <w:t>How many different commodity chapters (e.g., fruit, copper, vehicles) passed through the port that month. Higher diversity = more complex logistics.</w:t>
            </w:r>
          </w:p>
        </w:tc>
      </w:tr>
      <w:tr>
        <w:tc>
          <w:tcPr>
            <w:tcW w:type="dxa" w:w="3135"/>
          </w:tcPr>
          <w:p>
            <w:r>
              <w:rPr>
                <w:rFonts w:ascii="Bookman Old Style" w:hAnsi="Bookman Old Style"/>
                <w:sz w:val="18"/>
              </w:rPr>
              <w:t>hs4_diversity</w:t>
            </w:r>
          </w:p>
        </w:tc>
        <w:tc>
          <w:tcPr>
            <w:tcW w:type="dxa" w:w="3135"/>
          </w:tcPr>
          <w:p>
            <w:r>
              <w:rPr>
                <w:rFonts w:ascii="Bookman Old Style" w:hAnsi="Bookman Old Style"/>
                <w:sz w:val="18"/>
              </w:rPr>
              <w:t>COUNT(DISTINCT hs4_partida)</w:t>
            </w:r>
          </w:p>
        </w:tc>
        <w:tc>
          <w:tcPr>
            <w:tcW w:type="dxa" w:w="3135"/>
          </w:tcPr>
          <w:p>
            <w:r>
              <w:rPr>
                <w:rFonts w:ascii="Bookman Old Style" w:hAnsi="Bookman Old Style"/>
                <w:sz w:val="18"/>
              </w:rPr>
              <w:t>Same concept at the more detailed HS4 heading level.</w:t>
            </w:r>
          </w:p>
        </w:tc>
      </w:tr>
      <w:tr>
        <w:tc>
          <w:tcPr>
            <w:tcW w:type="dxa" w:w="3135"/>
          </w:tcPr>
          <w:p>
            <w:r>
              <w:rPr>
                <w:rFonts w:ascii="Bookman Old Style" w:hAnsi="Bookman Old Style"/>
                <w:sz w:val="18"/>
              </w:rPr>
              <w:t>country_diversity</w:t>
            </w:r>
          </w:p>
        </w:tc>
        <w:tc>
          <w:tcPr>
            <w:tcW w:type="dxa" w:w="3135"/>
          </w:tcPr>
          <w:p>
            <w:r>
              <w:rPr>
                <w:rFonts w:ascii="Bookman Old Style" w:hAnsi="Bookman Old Style"/>
                <w:sz w:val="18"/>
              </w:rPr>
              <w:t>COUNT(DISTINCT pais_origen</w:t>
              <w:br/>
              <w:t>or pais_destino)</w:t>
            </w:r>
          </w:p>
        </w:tc>
        <w:tc>
          <w:tcPr>
            <w:tcW w:type="dxa" w:w="3135"/>
          </w:tcPr>
          <w:p>
            <w:r>
              <w:rPr>
                <w:rFonts w:ascii="Bookman Old Style" w:hAnsi="Bookman Old Style"/>
                <w:sz w:val="18"/>
              </w:rPr>
              <w:t>How many different countries the port traded with that month. Higher diversity = wider trade network.</w:t>
            </w:r>
          </w:p>
        </w:tc>
      </w:tr>
      <w:tr>
        <w:tc>
          <w:tcPr>
            <w:tcW w:type="dxa" w:w="3135"/>
          </w:tcPr>
          <w:p>
            <w:r>
              <w:rPr>
                <w:rFonts w:ascii="Bookman Old Style" w:hAnsi="Bookman Old Style"/>
                <w:sz w:val="18"/>
              </w:rPr>
              <w:t>continent_diversity</w:t>
            </w:r>
          </w:p>
        </w:tc>
        <w:tc>
          <w:tcPr>
            <w:tcW w:type="dxa" w:w="3135"/>
          </w:tcPr>
          <w:p>
            <w:r>
              <w:rPr>
                <w:rFonts w:ascii="Bookman Old Style" w:hAnsi="Bookman Old Style"/>
                <w:sz w:val="18"/>
              </w:rPr>
              <w:t>COUNT(DISTINCT continente)</w:t>
            </w:r>
          </w:p>
        </w:tc>
        <w:tc>
          <w:tcPr>
            <w:tcW w:type="dxa" w:w="3135"/>
          </w:tcPr>
          <w:p>
            <w:r>
              <w:rPr>
                <w:rFonts w:ascii="Bookman Old Style" w:hAnsi="Bookman Old Style"/>
                <w:sz w:val="18"/>
              </w:rPr>
              <w:t>How many continents the port traded with.</w:t>
            </w:r>
          </w:p>
        </w:tc>
      </w:tr>
      <w:tr>
        <w:tc>
          <w:tcPr>
            <w:tcW w:type="dxa" w:w="3135"/>
          </w:tcPr>
          <w:p>
            <w:r>
              <w:rPr>
                <w:rFonts w:ascii="Bookman Old Style" w:hAnsi="Bookman Old Style"/>
                <w:sz w:val="18"/>
              </w:rPr>
              <w:t>dominant_hs2</w:t>
            </w:r>
          </w:p>
        </w:tc>
        <w:tc>
          <w:tcPr>
            <w:tcW w:type="dxa" w:w="3135"/>
          </w:tcPr>
          <w:p>
            <w:r>
              <w:rPr>
                <w:rFonts w:ascii="Bookman Old Style" w:hAnsi="Bookman Old Style"/>
                <w:sz w:val="18"/>
              </w:rPr>
              <w:t>MODE()</w:t>
            </w:r>
          </w:p>
        </w:tc>
        <w:tc>
          <w:tcPr>
            <w:tcW w:type="dxa" w:w="3135"/>
          </w:tcPr>
          <w:p>
            <w:r>
              <w:rPr>
                <w:rFonts w:ascii="Bookman Old Style" w:hAnsi="Bookman Old Style"/>
                <w:sz w:val="18"/>
              </w:rPr>
              <w:t>The single most common commodity chapter. MODE() returns the value that appears most often.</w:t>
            </w:r>
          </w:p>
        </w:tc>
      </w:tr>
      <w:tr>
        <w:tc>
          <w:tcPr>
            <w:tcW w:type="dxa" w:w="3135"/>
          </w:tcPr>
          <w:p>
            <w:r>
              <w:rPr>
                <w:rFonts w:ascii="Bookman Old Style" w:hAnsi="Bookman Old Style"/>
                <w:sz w:val="18"/>
              </w:rPr>
              <w:t>dominant_cargo_type</w:t>
            </w:r>
          </w:p>
        </w:tc>
        <w:tc>
          <w:tcPr>
            <w:tcW w:type="dxa" w:w="3135"/>
          </w:tcPr>
          <w:p>
            <w:r>
              <w:rPr>
                <w:rFonts w:ascii="Bookman Old Style" w:hAnsi="Bookman Old Style"/>
                <w:sz w:val="18"/>
              </w:rPr>
              <w:t>MODE()</w:t>
            </w:r>
          </w:p>
        </w:tc>
        <w:tc>
          <w:tcPr>
            <w:tcW w:type="dxa" w:w="3135"/>
          </w:tcPr>
          <w:p>
            <w:r>
              <w:rPr>
                <w:rFonts w:ascii="Bookman Old Style" w:hAnsi="Bookman Old Style"/>
                <w:sz w:val="18"/>
              </w:rPr>
              <w:t>The most common cargo type (general, bulk, refrigerated, container).</w:t>
            </w:r>
          </w:p>
        </w:tc>
      </w:tr>
      <w:tr>
        <w:tc>
          <w:tcPr>
            <w:tcW w:type="dxa" w:w="3135"/>
          </w:tcPr>
          <w:p>
            <w:r>
              <w:rPr>
                <w:rFonts w:ascii="Bookman Old Style" w:hAnsi="Bookman Old Style"/>
                <w:sz w:val="18"/>
              </w:rPr>
              <w:t>cnt_general</w:t>
              <w:br/>
              <w:t>cnt_bulk</w:t>
              <w:br/>
              <w:t>cnt_refrigerated</w:t>
              <w:br/>
              <w:t>cnt_container</w:t>
            </w:r>
          </w:p>
        </w:tc>
        <w:tc>
          <w:tcPr>
            <w:tcW w:type="dxa" w:w="3135"/>
          </w:tcPr>
          <w:p>
            <w:r>
              <w:rPr>
                <w:rFonts w:ascii="Bookman Old Style" w:hAnsi="Bookman Old Style"/>
                <w:sz w:val="18"/>
              </w:rPr>
              <w:t>Conditional COUNT</w:t>
              <w:br/>
              <w:t>(CASE WHEN ... THEN 1)</w:t>
            </w:r>
          </w:p>
        </w:tc>
        <w:tc>
          <w:tcPr>
            <w:tcW w:type="dxa" w:w="3135"/>
          </w:tcPr>
          <w:p>
            <w:r>
              <w:rPr>
                <w:rFonts w:ascii="Bookman Old Style" w:hAnsi="Bookman Old Style"/>
                <w:sz w:val="18"/>
              </w:rPr>
              <w:t>Number of shipments of each cargo type. These counts are later converted to percentages for use as features.</w:t>
            </w:r>
          </w:p>
        </w:tc>
      </w:tr>
      <w:tr>
        <w:tc>
          <w:tcPr>
            <w:tcW w:type="dxa" w:w="3135"/>
          </w:tcPr>
          <w:p>
            <w:r>
              <w:rPr>
                <w:rFonts w:ascii="Bookman Old Style" w:hAnsi="Bookman Old Style"/>
                <w:sz w:val="18"/>
              </w:rPr>
              <w:t>avg_value_per_shipment_usd</w:t>
            </w:r>
          </w:p>
        </w:tc>
        <w:tc>
          <w:tcPr>
            <w:tcW w:type="dxa" w:w="3135"/>
          </w:tcPr>
          <w:p>
            <w:r>
              <w:rPr>
                <w:rFonts w:ascii="Bookman Old Style" w:hAnsi="Bookman Old Style"/>
                <w:sz w:val="18"/>
              </w:rPr>
              <w:t>AVG(cif_us or fob_us)</w:t>
            </w:r>
          </w:p>
        </w:tc>
        <w:tc>
          <w:tcPr>
            <w:tcW w:type="dxa" w:w="3135"/>
          </w:tcPr>
          <w:p>
            <w:r>
              <w:rPr>
                <w:rFonts w:ascii="Bookman Old Style" w:hAnsi="Bookman Old Style"/>
                <w:sz w:val="18"/>
              </w:rPr>
              <w:t>Average trade value per individual operation. High average = fewer but larger shipments.</w:t>
            </w:r>
          </w:p>
        </w:tc>
      </w:tr>
    </w:tbl>
    <w:p>
      <w:pPr>
        <w:spacing w:before="240" w:line="360" w:lineRule="auto"/>
        <w:jc w:val="both"/>
      </w:pPr>
    </w:p>
    <w:p>
      <w:pPr>
        <w:spacing w:before="240" w:line="360" w:lineRule="auto"/>
        <w:jc w:val="both"/>
      </w:pPr>
      <w:r>
        <w:rPr>
          <w:rFonts w:ascii="Bookman Old Style" w:hAnsi="Bookman Old Style"/>
          <w:color w:val="000000"/>
        </w:rPr>
        <w:t>Import and export aggregations are computed separately (imports grouped by disembarkation port, exports by embarkation port) and combined via UNION ALL. The data window covers 2005 to 2025, excluding records before 2005 where data quality is lower.</w:t>
      </w:r>
    </w:p>
    <w:p>
      <w:pPr>
        <w:spacing w:before="240" w:line="360" w:lineRule="auto"/>
        <w:jc w:val="left"/>
      </w:pPr>
      <w:r>
        <w:rPr>
          <w:rFonts w:ascii="Bookman Old Style" w:hAnsi="Bookman Old Style"/>
          <w:b/>
          <w:color w:val="000000"/>
        </w:rPr>
        <w:t>13.3.2 Feature Engineering</w:t>
      </w:r>
    </w:p>
    <w:p>
      <w:pPr>
        <w:spacing w:before="240" w:line="360" w:lineRule="auto"/>
        <w:jc w:val="both"/>
      </w:pPr>
      <w:r>
        <w:rPr>
          <w:rFonts w:ascii="Bookman Old Style" w:hAnsi="Bookman Old Style"/>
          <w:color w:val="000000"/>
        </w:rPr>
        <w:t>The second step transforms the monthly aggregates into a machine-learning-ready feature panel. This is also performed in SQL using PostgreSQL's window functions, producing ml.port_features_indexed. The SQL is structured as a chain of four Common Table Expressions (CTEs), each adding a layer of derived features.</w:t>
      </w:r>
    </w:p>
    <w:p>
      <w:pPr>
        <w:spacing w:before="240" w:line="360" w:lineRule="auto"/>
        <w:jc w:val="left"/>
      </w:pPr>
      <w:r>
        <w:rPr>
          <w:rFonts w:ascii="Bookman Old Style" w:hAnsi="Bookman Old Style"/>
          <w:b/>
          <w:color w:val="000000"/>
        </w:rPr>
        <w:t>13.3.3 CTE 1, Base Features from Monthly Aggregates</w:t>
      </w:r>
    </w:p>
    <w:p>
      <w:pPr>
        <w:spacing w:before="240" w:line="360" w:lineRule="auto"/>
        <w:jc w:val="both"/>
      </w:pPr>
      <w:r>
        <w:rPr>
          <w:rFonts w:ascii="Bookman Old Style" w:hAnsi="Bookman Old Style"/>
          <w:color w:val="000000"/>
        </w:rPr>
        <w:t>Temporal encodings, features that capture time-of-year patterns: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Bookman Old Style" w:hAnsi="Bookman Old Style"/>
                <w:b/>
                <w:sz w:val="18"/>
              </w:rPr>
              <w:t>Feature</w:t>
            </w:r>
          </w:p>
        </w:tc>
        <w:tc>
          <w:tcPr>
            <w:tcW w:type="dxa" w:w="3135"/>
          </w:tcPr>
          <w:p>
            <w:pPr>
              <w:jc w:val="center"/>
            </w:pPr>
            <w:r>
              <w:rPr>
                <w:rFonts w:ascii="Bookman Old Style" w:hAnsi="Bookman Old Style"/>
                <w:b/>
                <w:sz w:val="18"/>
              </w:rPr>
              <w:t>Formula</w:t>
            </w:r>
          </w:p>
        </w:tc>
        <w:tc>
          <w:tcPr>
            <w:tcW w:type="dxa" w:w="3135"/>
          </w:tcPr>
          <w:p>
            <w:pPr>
              <w:jc w:val="center"/>
            </w:pPr>
            <w:r>
              <w:rPr>
                <w:rFonts w:ascii="Bookman Old Style" w:hAnsi="Bookman Old Style"/>
                <w:b/>
                <w:sz w:val="18"/>
              </w:rPr>
              <w:t>What it means</w:t>
            </w:r>
          </w:p>
        </w:tc>
      </w:tr>
      <w:tr>
        <w:tc>
          <w:tcPr>
            <w:tcW w:type="dxa" w:w="3135"/>
          </w:tcPr>
          <w:p>
            <w:r>
              <w:rPr>
                <w:rFonts w:ascii="Bookman Old Style" w:hAnsi="Bookman Old Style"/>
                <w:sz w:val="18"/>
              </w:rPr>
              <w:t>month_sin</w:t>
            </w:r>
          </w:p>
        </w:tc>
        <w:tc>
          <w:tcPr>
            <w:tcW w:type="dxa" w:w="3135"/>
          </w:tcPr>
          <w:p>
            <w:r>
              <w:rPr>
                <w:rFonts w:ascii="Bookman Old Style" w:hAnsi="Bookman Old Style"/>
                <w:sz w:val="18"/>
              </w:rPr>
              <w:t>SIN(2 × π × month / 12)</w:t>
            </w:r>
          </w:p>
        </w:tc>
        <w:tc>
          <w:tcPr>
            <w:tcW w:type="dxa" w:w="3135"/>
          </w:tcPr>
          <w:p>
            <w:r>
              <w:rPr>
                <w:rFonts w:ascii="Bookman Old Style" w:hAnsi="Bookman Old Style"/>
                <w:sz w:val="18"/>
              </w:rPr>
              <w:t>Sine component of cyclical month encoding. Together with month_cos, this tells the model that December (month 12) is close to January (month 1), which a plain number '12' vs '1' would not convey.</w:t>
            </w:r>
          </w:p>
        </w:tc>
      </w:tr>
      <w:tr>
        <w:tc>
          <w:tcPr>
            <w:tcW w:type="dxa" w:w="3135"/>
          </w:tcPr>
          <w:p>
            <w:r>
              <w:rPr>
                <w:rFonts w:ascii="Bookman Old Style" w:hAnsi="Bookman Old Style"/>
                <w:sz w:val="18"/>
              </w:rPr>
              <w:t>month_cos</w:t>
            </w:r>
          </w:p>
        </w:tc>
        <w:tc>
          <w:tcPr>
            <w:tcW w:type="dxa" w:w="3135"/>
          </w:tcPr>
          <w:p>
            <w:r>
              <w:rPr>
                <w:rFonts w:ascii="Bookman Old Style" w:hAnsi="Bookman Old Style"/>
                <w:sz w:val="18"/>
              </w:rPr>
              <w:t>COS(2 × π × month / 12)</w:t>
            </w:r>
          </w:p>
        </w:tc>
        <w:tc>
          <w:tcPr>
            <w:tcW w:type="dxa" w:w="3135"/>
          </w:tcPr>
          <w:p>
            <w:r>
              <w:rPr>
                <w:rFonts w:ascii="Bookman Old Style" w:hAnsi="Bookman Old Style"/>
                <w:sz w:val="18"/>
              </w:rPr>
              <w:t>Cosine component of cyclical month encoding. The pair (sin, cos) uniquely identifies any month on a circle.</w:t>
            </w:r>
          </w:p>
        </w:tc>
      </w:tr>
      <w:tr>
        <w:tc>
          <w:tcPr>
            <w:tcW w:type="dxa" w:w="3135"/>
          </w:tcPr>
          <w:p>
            <w:r>
              <w:rPr>
                <w:rFonts w:ascii="Bookman Old Style" w:hAnsi="Bookman Old Style"/>
                <w:sz w:val="18"/>
              </w:rPr>
              <w:t>quarter</w:t>
            </w:r>
          </w:p>
        </w:tc>
        <w:tc>
          <w:tcPr>
            <w:tcW w:type="dxa" w:w="3135"/>
          </w:tcPr>
          <w:p>
            <w:r>
              <w:rPr>
                <w:rFonts w:ascii="Bookman Old Style" w:hAnsi="Bookman Old Style"/>
                <w:sz w:val="18"/>
              </w:rPr>
              <w:t>(month - 1) / 3 + 1</w:t>
            </w:r>
          </w:p>
        </w:tc>
        <w:tc>
          <w:tcPr>
            <w:tcW w:type="dxa" w:w="3135"/>
          </w:tcPr>
          <w:p>
            <w:r>
              <w:rPr>
                <w:rFonts w:ascii="Bookman Old Style" w:hAnsi="Bookman Old Style"/>
                <w:sz w:val="18"/>
              </w:rPr>
              <w:t>Quarter of the year (1–4). Captures broad seasonal groupings: Q1 = summer exports, Q3 = winter imports.</w:t>
            </w:r>
          </w:p>
        </w:tc>
      </w:tr>
      <w:tr>
        <w:tc>
          <w:tcPr>
            <w:tcW w:type="dxa" w:w="3135"/>
          </w:tcPr>
          <w:p>
            <w:r>
              <w:rPr>
                <w:rFonts w:ascii="Bookman Old Style" w:hAnsi="Bookman Old Style"/>
                <w:sz w:val="18"/>
              </w:rPr>
              <w:t>year_index</w:t>
            </w:r>
          </w:p>
        </w:tc>
        <w:tc>
          <w:tcPr>
            <w:tcW w:type="dxa" w:w="3135"/>
          </w:tcPr>
          <w:p>
            <w:r>
              <w:rPr>
                <w:rFonts w:ascii="Bookman Old Style" w:hAnsi="Bookman Old Style"/>
                <w:sz w:val="18"/>
              </w:rPr>
              <w:t>year - 2005</w:t>
            </w:r>
          </w:p>
        </w:tc>
        <w:tc>
          <w:tcPr>
            <w:tcW w:type="dxa" w:w="3135"/>
          </w:tcPr>
          <w:p>
            <w:r>
              <w:rPr>
                <w:rFonts w:ascii="Bookman Old Style" w:hAnsi="Bookman Old Style"/>
                <w:sz w:val="18"/>
              </w:rPr>
              <w:t>Number of years since the start of the dataset. Captures long-term linear growth or decline trends.</w:t>
            </w:r>
          </w:p>
        </w:tc>
      </w:tr>
    </w:tbl>
    <w:p>
      <w:pPr>
        <w:spacing w:before="240" w:line="360" w:lineRule="auto"/>
        <w:jc w:val="both"/>
      </w:pPr>
    </w:p>
    <w:p>
      <w:pPr>
        <w:spacing w:before="240" w:line="360" w:lineRule="auto"/>
        <w:jc w:val="both"/>
      </w:pPr>
      <w:r>
        <w:rPr>
          <w:rFonts w:ascii="Bookman Old Style" w:hAnsi="Bookman Old Style"/>
          <w:color w:val="000000"/>
        </w:rPr>
        <w:t>Cargo mix ratios, what type of cargo is flowing through the port:</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Bookman Old Style" w:hAnsi="Bookman Old Style"/>
                <w:b/>
                <w:sz w:val="18"/>
              </w:rPr>
              <w:t>Feature</w:t>
            </w:r>
          </w:p>
        </w:tc>
        <w:tc>
          <w:tcPr>
            <w:tcW w:type="dxa" w:w="3135"/>
          </w:tcPr>
          <w:p>
            <w:pPr>
              <w:jc w:val="center"/>
            </w:pPr>
            <w:r>
              <w:rPr>
                <w:rFonts w:ascii="Bookman Old Style" w:hAnsi="Bookman Old Style"/>
                <w:b/>
                <w:sz w:val="18"/>
              </w:rPr>
              <w:t>Formula</w:t>
            </w:r>
          </w:p>
        </w:tc>
        <w:tc>
          <w:tcPr>
            <w:tcW w:type="dxa" w:w="3135"/>
          </w:tcPr>
          <w:p>
            <w:pPr>
              <w:jc w:val="center"/>
            </w:pPr>
            <w:r>
              <w:rPr>
                <w:rFonts w:ascii="Bookman Old Style" w:hAnsi="Bookman Old Style"/>
                <w:b/>
                <w:sz w:val="18"/>
              </w:rPr>
              <w:t>What it means</w:t>
            </w:r>
          </w:p>
        </w:tc>
      </w:tr>
      <w:tr>
        <w:tc>
          <w:tcPr>
            <w:tcW w:type="dxa" w:w="3135"/>
          </w:tcPr>
          <w:p>
            <w:r>
              <w:rPr>
                <w:rFonts w:ascii="Bookman Old Style" w:hAnsi="Bookman Old Style"/>
                <w:sz w:val="18"/>
              </w:rPr>
              <w:t>pct_general</w:t>
            </w:r>
          </w:p>
        </w:tc>
        <w:tc>
          <w:tcPr>
            <w:tcW w:type="dxa" w:w="3135"/>
          </w:tcPr>
          <w:p>
            <w:r>
              <w:rPr>
                <w:rFonts w:ascii="Bookman Old Style" w:hAnsi="Bookman Old Style"/>
                <w:sz w:val="18"/>
              </w:rPr>
              <w:t>cnt_general / shipment_count</w:t>
            </w:r>
          </w:p>
        </w:tc>
        <w:tc>
          <w:tcPr>
            <w:tcW w:type="dxa" w:w="3135"/>
          </w:tcPr>
          <w:p>
            <w:r>
              <w:rPr>
                <w:rFonts w:ascii="Bookman Old Style" w:hAnsi="Bookman Old Style"/>
                <w:sz w:val="18"/>
              </w:rPr>
              <w:t>Proportion of general (loose) cargo. Values range from 0 to 1, where 1 means all shipments are general cargo.</w:t>
            </w:r>
          </w:p>
        </w:tc>
      </w:tr>
      <w:tr>
        <w:tc>
          <w:tcPr>
            <w:tcW w:type="dxa" w:w="3135"/>
          </w:tcPr>
          <w:p>
            <w:r>
              <w:rPr>
                <w:rFonts w:ascii="Bookman Old Style" w:hAnsi="Bookman Old Style"/>
                <w:sz w:val="18"/>
              </w:rPr>
              <w:t>pct_bulk</w:t>
            </w:r>
          </w:p>
        </w:tc>
        <w:tc>
          <w:tcPr>
            <w:tcW w:type="dxa" w:w="3135"/>
          </w:tcPr>
          <w:p>
            <w:r>
              <w:rPr>
                <w:rFonts w:ascii="Bookman Old Style" w:hAnsi="Bookman Old Style"/>
                <w:sz w:val="18"/>
              </w:rPr>
              <w:t>cnt_bulk / shipment_count</w:t>
            </w:r>
          </w:p>
        </w:tc>
        <w:tc>
          <w:tcPr>
            <w:tcW w:type="dxa" w:w="3135"/>
          </w:tcPr>
          <w:p>
            <w:r>
              <w:rPr>
                <w:rFonts w:ascii="Bookman Old Style" w:hAnsi="Bookman Old Style"/>
                <w:sz w:val="18"/>
              </w:rPr>
              <w:t>Proportion of bulk cargo (e.g., copper concentrate, grain). Bulk-heavy ports have different congestion patterns.</w:t>
            </w:r>
          </w:p>
        </w:tc>
      </w:tr>
      <w:tr>
        <w:tc>
          <w:tcPr>
            <w:tcW w:type="dxa" w:w="3135"/>
          </w:tcPr>
          <w:p>
            <w:r>
              <w:rPr>
                <w:rFonts w:ascii="Bookman Old Style" w:hAnsi="Bookman Old Style"/>
                <w:sz w:val="18"/>
              </w:rPr>
              <w:t>pct_refrigerated</w:t>
            </w:r>
          </w:p>
        </w:tc>
        <w:tc>
          <w:tcPr>
            <w:tcW w:type="dxa" w:w="3135"/>
          </w:tcPr>
          <w:p>
            <w:r>
              <w:rPr>
                <w:rFonts w:ascii="Bookman Old Style" w:hAnsi="Bookman Old Style"/>
                <w:sz w:val="18"/>
              </w:rPr>
              <w:t>cnt_refrigerated / shipment_count</w:t>
            </w:r>
          </w:p>
        </w:tc>
        <w:tc>
          <w:tcPr>
            <w:tcW w:type="dxa" w:w="3135"/>
          </w:tcPr>
          <w:p>
            <w:r>
              <w:rPr>
                <w:rFonts w:ascii="Bookman Old Style" w:hAnsi="Bookman Old Style"/>
                <w:sz w:val="18"/>
              </w:rPr>
              <w:t>Proportion of refrigerated cargo (e.g., fruit, seafood). High values indicate time-sensitive seasonal flows.</w:t>
            </w:r>
          </w:p>
        </w:tc>
      </w:tr>
      <w:tr>
        <w:tc>
          <w:tcPr>
            <w:tcW w:type="dxa" w:w="3135"/>
          </w:tcPr>
          <w:p>
            <w:r>
              <w:rPr>
                <w:rFonts w:ascii="Bookman Old Style" w:hAnsi="Bookman Old Style"/>
                <w:sz w:val="18"/>
              </w:rPr>
              <w:t>pct_container</w:t>
            </w:r>
          </w:p>
        </w:tc>
        <w:tc>
          <w:tcPr>
            <w:tcW w:type="dxa" w:w="3135"/>
          </w:tcPr>
          <w:p>
            <w:r>
              <w:rPr>
                <w:rFonts w:ascii="Bookman Old Style" w:hAnsi="Bookman Old Style"/>
                <w:sz w:val="18"/>
              </w:rPr>
              <w:t>cnt_container / shipment_count</w:t>
            </w:r>
          </w:p>
        </w:tc>
        <w:tc>
          <w:tcPr>
            <w:tcW w:type="dxa" w:w="3135"/>
          </w:tcPr>
          <w:p>
            <w:r>
              <w:rPr>
                <w:rFonts w:ascii="Bookman Old Style" w:hAnsi="Bookman Old Style"/>
                <w:sz w:val="18"/>
              </w:rPr>
              <w:t>Proportion of containerised cargo. Container operations require specific infrastructure (cranes, yard space).</w:t>
            </w:r>
          </w:p>
        </w:tc>
      </w:tr>
    </w:tbl>
    <w:p>
      <w:pPr>
        <w:spacing w:before="240" w:line="360" w:lineRule="auto"/>
        <w:jc w:val="both"/>
      </w:pPr>
    </w:p>
    <w:p>
      <w:pPr>
        <w:spacing w:before="240" w:line="360" w:lineRule="auto"/>
        <w:jc w:val="both"/>
      </w:pPr>
      <w:r>
        <w:rPr>
          <w:rFonts w:ascii="Bookman Old Style" w:hAnsi="Bookman Old Style"/>
          <w:color w:val="000000"/>
        </w:rPr>
        <w:t>Lag features, historical shipment counts that the model uses to predict the future: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Bookman Old Style" w:hAnsi="Bookman Old Style"/>
                <w:b/>
                <w:sz w:val="18"/>
              </w:rPr>
              <w:t>Feature</w:t>
            </w:r>
          </w:p>
        </w:tc>
        <w:tc>
          <w:tcPr>
            <w:tcW w:type="dxa" w:w="3135"/>
          </w:tcPr>
          <w:p>
            <w:pPr>
              <w:jc w:val="center"/>
            </w:pPr>
            <w:r>
              <w:rPr>
                <w:rFonts w:ascii="Bookman Old Style" w:hAnsi="Bookman Old Style"/>
                <w:b/>
                <w:sz w:val="18"/>
              </w:rPr>
              <w:t>Formula</w:t>
            </w:r>
          </w:p>
        </w:tc>
        <w:tc>
          <w:tcPr>
            <w:tcW w:type="dxa" w:w="3135"/>
          </w:tcPr>
          <w:p>
            <w:pPr>
              <w:jc w:val="center"/>
            </w:pPr>
            <w:r>
              <w:rPr>
                <w:rFonts w:ascii="Bookman Old Style" w:hAnsi="Bookman Old Style"/>
                <w:b/>
                <w:sz w:val="18"/>
              </w:rPr>
              <w:t>What it means</w:t>
            </w:r>
          </w:p>
        </w:tc>
      </w:tr>
      <w:tr>
        <w:tc>
          <w:tcPr>
            <w:tcW w:type="dxa" w:w="3135"/>
          </w:tcPr>
          <w:p>
            <w:r>
              <w:rPr>
                <w:rFonts w:ascii="Bookman Old Style" w:hAnsi="Bookman Old Style"/>
                <w:sz w:val="18"/>
              </w:rPr>
              <w:t>lag_1</w:t>
            </w:r>
          </w:p>
        </w:tc>
        <w:tc>
          <w:tcPr>
            <w:tcW w:type="dxa" w:w="3135"/>
          </w:tcPr>
          <w:p>
            <w:r>
              <w:rPr>
                <w:rFonts w:ascii="Bookman Old Style" w:hAnsi="Bookman Old Style"/>
                <w:sz w:val="18"/>
              </w:rPr>
              <w:t>shipment_count from 1 month ago</w:t>
            </w:r>
          </w:p>
        </w:tc>
        <w:tc>
          <w:tcPr>
            <w:tcW w:type="dxa" w:w="3135"/>
          </w:tcPr>
          <w:p>
            <w:r>
              <w:rPr>
                <w:rFonts w:ascii="Bookman Old Style" w:hAnsi="Bookman Old Style"/>
                <w:sz w:val="18"/>
              </w:rPr>
              <w:t>Most recent month's activity. Captures short-term momentum: if last month was busy, this month likely will be too.</w:t>
            </w:r>
          </w:p>
        </w:tc>
      </w:tr>
      <w:tr>
        <w:tc>
          <w:tcPr>
            <w:tcW w:type="dxa" w:w="3135"/>
          </w:tcPr>
          <w:p>
            <w:r>
              <w:rPr>
                <w:rFonts w:ascii="Bookman Old Style" w:hAnsi="Bookman Old Style"/>
                <w:sz w:val="18"/>
              </w:rPr>
              <w:t>lag_2, lag_3</w:t>
            </w:r>
          </w:p>
        </w:tc>
        <w:tc>
          <w:tcPr>
            <w:tcW w:type="dxa" w:w="3135"/>
          </w:tcPr>
          <w:p>
            <w:r>
              <w:rPr>
                <w:rFonts w:ascii="Bookman Old Style" w:hAnsi="Bookman Old Style"/>
                <w:sz w:val="18"/>
              </w:rPr>
              <w:t>shipment_count from 2 and 3 months ago</w:t>
            </w:r>
          </w:p>
        </w:tc>
        <w:tc>
          <w:tcPr>
            <w:tcW w:type="dxa" w:w="3135"/>
          </w:tcPr>
          <w:p>
            <w:r>
              <w:rPr>
                <w:rFonts w:ascii="Bookman Old Style" w:hAnsi="Bookman Old Style"/>
                <w:sz w:val="18"/>
              </w:rPr>
              <w:t>Slightly older context. Together with lag_1, these form a short-term trend window.</w:t>
            </w:r>
          </w:p>
        </w:tc>
      </w:tr>
      <w:tr>
        <w:tc>
          <w:tcPr>
            <w:tcW w:type="dxa" w:w="3135"/>
          </w:tcPr>
          <w:p>
            <w:r>
              <w:rPr>
                <w:rFonts w:ascii="Bookman Old Style" w:hAnsi="Bookman Old Style"/>
                <w:sz w:val="18"/>
              </w:rPr>
              <w:t>lag_12</w:t>
            </w:r>
          </w:p>
        </w:tc>
        <w:tc>
          <w:tcPr>
            <w:tcW w:type="dxa" w:w="3135"/>
          </w:tcPr>
          <w:p>
            <w:r>
              <w:rPr>
                <w:rFonts w:ascii="Bookman Old Style" w:hAnsi="Bookman Old Style"/>
                <w:sz w:val="18"/>
              </w:rPr>
              <w:t>shipment_count from 12 months ago</w:t>
            </w:r>
          </w:p>
        </w:tc>
        <w:tc>
          <w:tcPr>
            <w:tcW w:type="dxa" w:w="3135"/>
          </w:tcPr>
          <w:p>
            <w:r>
              <w:rPr>
                <w:rFonts w:ascii="Bookman Old Style" w:hAnsi="Bookman Old Style"/>
                <w:sz w:val="18"/>
              </w:rPr>
              <w:t>Same month last year. The SINGLE MOST IMPORTANT feature, captures annual seasonality (e.g., January is always a fruit export peak).</w:t>
            </w:r>
          </w:p>
        </w:tc>
      </w:tr>
      <w:tr>
        <w:tc>
          <w:tcPr>
            <w:tcW w:type="dxa" w:w="3135"/>
          </w:tcPr>
          <w:p>
            <w:r>
              <w:rPr>
                <w:rFonts w:ascii="Bookman Old Style" w:hAnsi="Bookman Old Style"/>
                <w:sz w:val="18"/>
              </w:rPr>
              <w:t>_lag_24, _lag_36, _lag_48</w:t>
            </w:r>
          </w:p>
        </w:tc>
        <w:tc>
          <w:tcPr>
            <w:tcW w:type="dxa" w:w="3135"/>
          </w:tcPr>
          <w:p>
            <w:r>
              <w:rPr>
                <w:rFonts w:ascii="Bookman Old Style" w:hAnsi="Bookman Old Style"/>
                <w:sz w:val="18"/>
              </w:rPr>
              <w:t>shipment_count from 2, 3, and 4 years ago</w:t>
            </w:r>
          </w:p>
        </w:tc>
        <w:tc>
          <w:tcPr>
            <w:tcW w:type="dxa" w:w="3135"/>
          </w:tcPr>
          <w:p>
            <w:r>
              <w:rPr>
                <w:rFonts w:ascii="Bookman Old Style" w:hAnsi="Bookman Old Style"/>
                <w:sz w:val="18"/>
              </w:rPr>
              <w:t>Used only for COVID-clean substitution (see CTE 3). Not directly fed to models.</w:t>
            </w:r>
          </w:p>
        </w:tc>
      </w:tr>
      <w:tr>
        <w:tc>
          <w:tcPr>
            <w:tcW w:type="dxa" w:w="3135"/>
          </w:tcPr>
          <w:p>
            <w:r>
              <w:rPr>
                <w:rFonts w:ascii="Bookman Old Style" w:hAnsi="Bookman Old Style"/>
                <w:sz w:val="18"/>
              </w:rPr>
              <w:t>lag_value_12</w:t>
            </w:r>
          </w:p>
        </w:tc>
        <w:tc>
          <w:tcPr>
            <w:tcW w:type="dxa" w:w="3135"/>
          </w:tcPr>
          <w:p>
            <w:r>
              <w:rPr>
                <w:rFonts w:ascii="Bookman Old Style" w:hAnsi="Bookman Old Style"/>
                <w:sz w:val="18"/>
              </w:rPr>
              <w:t>total_value_usd from 12 months ago</w:t>
            </w:r>
          </w:p>
        </w:tc>
        <w:tc>
          <w:tcPr>
            <w:tcW w:type="dxa" w:w="3135"/>
          </w:tcPr>
          <w:p>
            <w:r>
              <w:rPr>
                <w:rFonts w:ascii="Bookman Old Style" w:hAnsi="Bookman Old Style"/>
                <w:sz w:val="18"/>
              </w:rPr>
              <w:t>Trade value same month last year. Captures whether the value intensity of trade is growing or shrinking.</w:t>
            </w:r>
          </w:p>
        </w:tc>
      </w:tr>
      <w:tr>
        <w:tc>
          <w:tcPr>
            <w:tcW w:type="dxa" w:w="3135"/>
          </w:tcPr>
          <w:p>
            <w:r>
              <w:rPr>
                <w:rFonts w:ascii="Bookman Old Style" w:hAnsi="Bookman Old Style"/>
                <w:sz w:val="18"/>
              </w:rPr>
              <w:t>lag_weight_12</w:t>
            </w:r>
          </w:p>
        </w:tc>
        <w:tc>
          <w:tcPr>
            <w:tcW w:type="dxa" w:w="3135"/>
          </w:tcPr>
          <w:p>
            <w:r>
              <w:rPr>
                <w:rFonts w:ascii="Bookman Old Style" w:hAnsi="Bookman Old Style"/>
                <w:sz w:val="18"/>
              </w:rPr>
              <w:t>total_weight_mt from 12 months ago</w:t>
            </w:r>
          </w:p>
        </w:tc>
        <w:tc>
          <w:tcPr>
            <w:tcW w:type="dxa" w:w="3135"/>
          </w:tcPr>
          <w:p>
            <w:r>
              <w:rPr>
                <w:rFonts w:ascii="Bookman Old Style" w:hAnsi="Bookman Old Style"/>
                <w:sz w:val="18"/>
              </w:rPr>
              <w:t>Cargo weight same month last year (exports only).</w:t>
            </w:r>
          </w:p>
        </w:tc>
      </w:tr>
    </w:tbl>
    <w:p>
      <w:pPr>
        <w:spacing w:before="240" w:line="360" w:lineRule="auto"/>
        <w:jc w:val="both"/>
      </w:pPr>
    </w:p>
    <w:p>
      <w:pPr>
        <w:spacing w:before="240" w:line="360" w:lineRule="auto"/>
        <w:jc w:val="both"/>
      </w:pPr>
      <w:r>
        <w:rPr>
          <w:rFonts w:ascii="Bookman Old Style" w:hAnsi="Bookman Old Style"/>
          <w:color w:val="000000"/>
        </w:rPr>
        <w:t>Rolling averages, smoothed trends that reduce month-to-month noise: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Bookman Old Style" w:hAnsi="Bookman Old Style"/>
                <w:b/>
                <w:sz w:val="18"/>
              </w:rPr>
              <w:t>Feature</w:t>
            </w:r>
          </w:p>
        </w:tc>
        <w:tc>
          <w:tcPr>
            <w:tcW w:type="dxa" w:w="3135"/>
          </w:tcPr>
          <w:p>
            <w:pPr>
              <w:jc w:val="center"/>
            </w:pPr>
            <w:r>
              <w:rPr>
                <w:rFonts w:ascii="Bookman Old Style" w:hAnsi="Bookman Old Style"/>
                <w:b/>
                <w:sz w:val="18"/>
              </w:rPr>
              <w:t>Formula</w:t>
            </w:r>
          </w:p>
        </w:tc>
        <w:tc>
          <w:tcPr>
            <w:tcW w:type="dxa" w:w="3135"/>
          </w:tcPr>
          <w:p>
            <w:pPr>
              <w:jc w:val="center"/>
            </w:pPr>
            <w:r>
              <w:rPr>
                <w:rFonts w:ascii="Bookman Old Style" w:hAnsi="Bookman Old Style"/>
                <w:b/>
                <w:sz w:val="18"/>
              </w:rPr>
              <w:t>What it means</w:t>
            </w:r>
          </w:p>
        </w:tc>
      </w:tr>
      <w:tr>
        <w:tc>
          <w:tcPr>
            <w:tcW w:type="dxa" w:w="3135"/>
          </w:tcPr>
          <w:p>
            <w:r>
              <w:rPr>
                <w:rFonts w:ascii="Bookman Old Style" w:hAnsi="Bookman Old Style"/>
                <w:sz w:val="18"/>
              </w:rPr>
              <w:t>rolling_3_mean</w:t>
            </w:r>
          </w:p>
        </w:tc>
        <w:tc>
          <w:tcPr>
            <w:tcW w:type="dxa" w:w="3135"/>
          </w:tcPr>
          <w:p>
            <w:r>
              <w:rPr>
                <w:rFonts w:ascii="Bookman Old Style" w:hAnsi="Bookman Old Style"/>
                <w:sz w:val="18"/>
              </w:rPr>
              <w:t>AVG(shipment_count) over</w:t>
              <w:br/>
              <w:t>past 3 months</w:t>
            </w:r>
          </w:p>
        </w:tc>
        <w:tc>
          <w:tcPr>
            <w:tcW w:type="dxa" w:w="3135"/>
          </w:tcPr>
          <w:p>
            <w:r>
              <w:rPr>
                <w:rFonts w:ascii="Bookman Old Style" w:hAnsi="Bookman Old Style"/>
                <w:sz w:val="18"/>
              </w:rPr>
              <w:t>Short-term trend. If this is rising, the port is getting busier. Computed using ROWS BETWEEN 3 PRECEDING AND 1 PRECEDING (past only, excluding current month to avoid data leakage).</w:t>
            </w:r>
          </w:p>
        </w:tc>
      </w:tr>
      <w:tr>
        <w:tc>
          <w:tcPr>
            <w:tcW w:type="dxa" w:w="3135"/>
          </w:tcPr>
          <w:p>
            <w:r>
              <w:rPr>
                <w:rFonts w:ascii="Bookman Old Style" w:hAnsi="Bookman Old Style"/>
                <w:sz w:val="18"/>
              </w:rPr>
              <w:t>rolling_12_mean</w:t>
            </w:r>
          </w:p>
        </w:tc>
        <w:tc>
          <w:tcPr>
            <w:tcW w:type="dxa" w:w="3135"/>
          </w:tcPr>
          <w:p>
            <w:r>
              <w:rPr>
                <w:rFonts w:ascii="Bookman Old Style" w:hAnsi="Bookman Old Style"/>
                <w:sz w:val="18"/>
              </w:rPr>
              <w:t>AVG(shipment_count) over</w:t>
              <w:br/>
              <w:t>past 12 months</w:t>
            </w:r>
          </w:p>
        </w:tc>
        <w:tc>
          <w:tcPr>
            <w:tcW w:type="dxa" w:w="3135"/>
          </w:tcPr>
          <w:p>
            <w:r>
              <w:rPr>
                <w:rFonts w:ascii="Bookman Old Style" w:hAnsi="Bookman Old Style"/>
                <w:sz w:val="18"/>
              </w:rPr>
              <w:t>Long-term baseline. Smooths out seasonal peaks and troughs to show the underlying activity level.</w:t>
            </w:r>
          </w:p>
        </w:tc>
      </w:tr>
      <w:tr>
        <w:tc>
          <w:tcPr>
            <w:tcW w:type="dxa" w:w="3135"/>
          </w:tcPr>
          <w:p>
            <w:r>
              <w:rPr>
                <w:rFonts w:ascii="Bookman Old Style" w:hAnsi="Bookman Old Style"/>
                <w:sz w:val="18"/>
              </w:rPr>
              <w:t>rolling_value_12_mean</w:t>
            </w:r>
          </w:p>
        </w:tc>
        <w:tc>
          <w:tcPr>
            <w:tcW w:type="dxa" w:w="3135"/>
          </w:tcPr>
          <w:p>
            <w:r>
              <w:rPr>
                <w:rFonts w:ascii="Bookman Old Style" w:hAnsi="Bookman Old Style"/>
                <w:sz w:val="18"/>
              </w:rPr>
              <w:t>AVG(total_value_usd) over</w:t>
              <w:br/>
              <w:t>past 12 months</w:t>
            </w:r>
          </w:p>
        </w:tc>
        <w:tc>
          <w:tcPr>
            <w:tcW w:type="dxa" w:w="3135"/>
          </w:tcPr>
          <w:p>
            <w:r>
              <w:rPr>
                <w:rFonts w:ascii="Bookman Old Style" w:hAnsi="Bookman Old Style"/>
                <w:sz w:val="18"/>
              </w:rPr>
              <w:t>Long-term value baseline. Captures whether the port's trade is growing in dollar terms.</w:t>
            </w:r>
          </w:p>
        </w:tc>
      </w:tr>
    </w:tbl>
    <w:p>
      <w:pPr>
        <w:spacing w:before="240" w:line="360" w:lineRule="auto"/>
        <w:jc w:val="both"/>
      </w:pPr>
    </w:p>
    <w:p>
      <w:pPr>
        <w:spacing w:before="240" w:line="360" w:lineRule="auto"/>
        <w:jc w:val="both"/>
      </w:pPr>
      <w:r>
        <w:rPr>
          <w:rFonts w:ascii="Bookman Old Style" w:hAnsi="Bookman Old Style"/>
          <w:color w:val="000000"/>
        </w:rPr>
        <w:t>Growth rates, how fast the port's activity is changing:</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Bookman Old Style" w:hAnsi="Bookman Old Style"/>
                <w:b/>
                <w:sz w:val="18"/>
              </w:rPr>
              <w:t>Feature</w:t>
            </w:r>
          </w:p>
        </w:tc>
        <w:tc>
          <w:tcPr>
            <w:tcW w:type="dxa" w:w="3135"/>
          </w:tcPr>
          <w:p>
            <w:pPr>
              <w:jc w:val="center"/>
            </w:pPr>
            <w:r>
              <w:rPr>
                <w:rFonts w:ascii="Bookman Old Style" w:hAnsi="Bookman Old Style"/>
                <w:b/>
                <w:sz w:val="18"/>
              </w:rPr>
              <w:t>Formula</w:t>
            </w:r>
          </w:p>
        </w:tc>
        <w:tc>
          <w:tcPr>
            <w:tcW w:type="dxa" w:w="3135"/>
          </w:tcPr>
          <w:p>
            <w:pPr>
              <w:jc w:val="center"/>
            </w:pPr>
            <w:r>
              <w:rPr>
                <w:rFonts w:ascii="Bookman Old Style" w:hAnsi="Bookman Old Style"/>
                <w:b/>
                <w:sz w:val="18"/>
              </w:rPr>
              <w:t>What it means</w:t>
            </w:r>
          </w:p>
        </w:tc>
      </w:tr>
      <w:tr>
        <w:tc>
          <w:tcPr>
            <w:tcW w:type="dxa" w:w="3135"/>
          </w:tcPr>
          <w:p>
            <w:r>
              <w:rPr>
                <w:rFonts w:ascii="Bookman Old Style" w:hAnsi="Bookman Old Style"/>
                <w:sz w:val="18"/>
              </w:rPr>
              <w:t>yoy_growth</w:t>
            </w:r>
          </w:p>
        </w:tc>
        <w:tc>
          <w:tcPr>
            <w:tcW w:type="dxa" w:w="3135"/>
          </w:tcPr>
          <w:p>
            <w:r>
              <w:rPr>
                <w:rFonts w:ascii="Bookman Old Style" w:hAnsi="Bookman Old Style"/>
                <w:sz w:val="18"/>
              </w:rPr>
              <w:t>(shipment_count - lag_12)</w:t>
              <w:br/>
              <w:t>/ lag_12</w:t>
            </w:r>
          </w:p>
        </w:tc>
        <w:tc>
          <w:tcPr>
            <w:tcW w:type="dxa" w:w="3135"/>
          </w:tcPr>
          <w:p>
            <w:r>
              <w:rPr>
                <w:rFonts w:ascii="Bookman Old Style" w:hAnsi="Bookman Old Style"/>
                <w:sz w:val="18"/>
              </w:rPr>
              <w:t>Year-on-year growth rate. A value of 0.10 means 10% more shipments than the same month last year. A value of -0.15 means 15% fewer.</w:t>
            </w:r>
          </w:p>
        </w:tc>
      </w:tr>
      <w:tr>
        <w:tc>
          <w:tcPr>
            <w:tcW w:type="dxa" w:w="3135"/>
          </w:tcPr>
          <w:p>
            <w:r>
              <w:rPr>
                <w:rFonts w:ascii="Bookman Old Style" w:hAnsi="Bookman Old Style"/>
                <w:sz w:val="18"/>
              </w:rPr>
              <w:t>yoy_value_growth</w:t>
            </w:r>
          </w:p>
        </w:tc>
        <w:tc>
          <w:tcPr>
            <w:tcW w:type="dxa" w:w="3135"/>
          </w:tcPr>
          <w:p>
            <w:r>
              <w:rPr>
                <w:rFonts w:ascii="Bookman Old Style" w:hAnsi="Bookman Old Style"/>
                <w:sz w:val="18"/>
              </w:rPr>
              <w:t>(total_value_usd - lag_value_12)</w:t>
              <w:br/>
              <w:t>/ lag_value_12</w:t>
            </w:r>
          </w:p>
        </w:tc>
        <w:tc>
          <w:tcPr>
            <w:tcW w:type="dxa" w:w="3135"/>
          </w:tcPr>
          <w:p>
            <w:r>
              <w:rPr>
                <w:rFonts w:ascii="Bookman Old Style" w:hAnsi="Bookman Old Style"/>
                <w:sz w:val="18"/>
              </w:rPr>
              <w:t>Year-on-year growth in trade value. Can diverge from volume growth when average shipment value changes.</w:t>
            </w:r>
          </w:p>
        </w:tc>
      </w:tr>
    </w:tbl>
    <w:p>
      <w:pPr>
        <w:spacing w:before="240" w:line="360" w:lineRule="auto"/>
        <w:jc w:val="both"/>
      </w:pPr>
    </w:p>
    <w:p>
      <w:pPr>
        <w:spacing w:before="240" w:line="360" w:lineRule="auto"/>
        <w:jc w:val="both"/>
      </w:pPr>
      <w:r>
        <w:rPr>
          <w:rFonts w:ascii="Bookman Old Style" w:hAnsi="Bookman Old Style"/>
          <w:color w:val="000000"/>
        </w:rPr>
        <w:t>COVID flags, binary indicators that tell the model when it is looking at COVID-affected data:</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Bookman Old Style" w:hAnsi="Bookman Old Style"/>
                <w:b/>
                <w:sz w:val="18"/>
              </w:rPr>
              <w:t>Feature</w:t>
            </w:r>
          </w:p>
        </w:tc>
        <w:tc>
          <w:tcPr>
            <w:tcW w:type="dxa" w:w="3135"/>
          </w:tcPr>
          <w:p>
            <w:pPr>
              <w:jc w:val="center"/>
            </w:pPr>
            <w:r>
              <w:rPr>
                <w:rFonts w:ascii="Bookman Old Style" w:hAnsi="Bookman Old Style"/>
                <w:b/>
                <w:sz w:val="18"/>
              </w:rPr>
              <w:t>Value</w:t>
            </w:r>
          </w:p>
        </w:tc>
        <w:tc>
          <w:tcPr>
            <w:tcW w:type="dxa" w:w="3135"/>
          </w:tcPr>
          <w:p>
            <w:pPr>
              <w:jc w:val="center"/>
            </w:pPr>
            <w:r>
              <w:rPr>
                <w:rFonts w:ascii="Bookman Old Style" w:hAnsi="Bookman Old Style"/>
                <w:b/>
                <w:sz w:val="18"/>
              </w:rPr>
              <w:t>What it means</w:t>
            </w:r>
          </w:p>
        </w:tc>
      </w:tr>
      <w:tr>
        <w:tc>
          <w:tcPr>
            <w:tcW w:type="dxa" w:w="3135"/>
          </w:tcPr>
          <w:p>
            <w:r>
              <w:rPr>
                <w:rFonts w:ascii="Bookman Old Style" w:hAnsi="Bookman Old Style"/>
                <w:sz w:val="18"/>
              </w:rPr>
              <w:t>is_covid_shock</w:t>
            </w:r>
          </w:p>
        </w:tc>
        <w:tc>
          <w:tcPr>
            <w:tcW w:type="dxa" w:w="3135"/>
          </w:tcPr>
          <w:p>
            <w:r>
              <w:rPr>
                <w:rFonts w:ascii="Bookman Old Style" w:hAnsi="Bookman Old Style"/>
                <w:sz w:val="18"/>
              </w:rPr>
              <w:t>1 if year = 2020, else 0</w:t>
            </w:r>
          </w:p>
        </w:tc>
        <w:tc>
          <w:tcPr>
            <w:tcW w:type="dxa" w:w="3135"/>
          </w:tcPr>
          <w:p>
            <w:r>
              <w:rPr>
                <w:rFonts w:ascii="Bookman Old Style" w:hAnsi="Bookman Old Style"/>
                <w:sz w:val="18"/>
              </w:rPr>
              <w:t>Marks the initial pandemic year when volumes dropped ~11% globally.</w:t>
            </w:r>
          </w:p>
        </w:tc>
      </w:tr>
      <w:tr>
        <w:tc>
          <w:tcPr>
            <w:tcW w:type="dxa" w:w="3135"/>
          </w:tcPr>
          <w:p>
            <w:r>
              <w:rPr>
                <w:rFonts w:ascii="Bookman Old Style" w:hAnsi="Bookman Old Style"/>
                <w:sz w:val="18"/>
              </w:rPr>
              <w:t>is_covid_rebound</w:t>
            </w:r>
          </w:p>
        </w:tc>
        <w:tc>
          <w:tcPr>
            <w:tcW w:type="dxa" w:w="3135"/>
          </w:tcPr>
          <w:p>
            <w:r>
              <w:rPr>
                <w:rFonts w:ascii="Bookman Old Style" w:hAnsi="Bookman Old Style"/>
                <w:sz w:val="18"/>
              </w:rPr>
              <w:t>1 if year = 2021, else 0</w:t>
            </w:r>
          </w:p>
        </w:tc>
        <w:tc>
          <w:tcPr>
            <w:tcW w:type="dxa" w:w="3135"/>
          </w:tcPr>
          <w:p>
            <w:r>
              <w:rPr>
                <w:rFonts w:ascii="Bookman Old Style" w:hAnsi="Bookman Old Style"/>
                <w:sz w:val="18"/>
              </w:rPr>
              <w:t>Marks the rebound year when volumes surged ~16% above normal.</w:t>
            </w:r>
          </w:p>
        </w:tc>
      </w:tr>
      <w:tr>
        <w:tc>
          <w:tcPr>
            <w:tcW w:type="dxa" w:w="3135"/>
          </w:tcPr>
          <w:p>
            <w:r>
              <w:rPr>
                <w:rFonts w:ascii="Bookman Old Style" w:hAnsi="Bookman Old Style"/>
                <w:sz w:val="18"/>
              </w:rPr>
              <w:t>is_covid_aftershock</w:t>
            </w:r>
          </w:p>
        </w:tc>
        <w:tc>
          <w:tcPr>
            <w:tcW w:type="dxa" w:w="3135"/>
          </w:tcPr>
          <w:p>
            <w:r>
              <w:rPr>
                <w:rFonts w:ascii="Bookman Old Style" w:hAnsi="Bookman Old Style"/>
                <w:sz w:val="18"/>
              </w:rPr>
              <w:t>1 if year = 2022, else 0</w:t>
            </w:r>
          </w:p>
        </w:tc>
        <w:tc>
          <w:tcPr>
            <w:tcW w:type="dxa" w:w="3135"/>
          </w:tcPr>
          <w:p>
            <w:r>
              <w:rPr>
                <w:rFonts w:ascii="Bookman Old Style" w:hAnsi="Bookman Old Style"/>
                <w:sz w:val="18"/>
              </w:rPr>
              <w:t>Marks the secondary correction year.</w:t>
            </w:r>
          </w:p>
        </w:tc>
      </w:tr>
      <w:tr>
        <w:tc>
          <w:tcPr>
            <w:tcW w:type="dxa" w:w="3135"/>
          </w:tcPr>
          <w:p>
            <w:r>
              <w:rPr>
                <w:rFonts w:ascii="Bookman Old Style" w:hAnsi="Bookman Old Style"/>
                <w:sz w:val="18"/>
              </w:rPr>
              <w:t>lag_12_is_covid</w:t>
            </w:r>
          </w:p>
        </w:tc>
        <w:tc>
          <w:tcPr>
            <w:tcW w:type="dxa" w:w="3135"/>
          </w:tcPr>
          <w:p>
            <w:r>
              <w:rPr>
                <w:rFonts w:ascii="Bookman Old Style" w:hAnsi="Bookman Old Style"/>
                <w:sz w:val="18"/>
              </w:rPr>
              <w:t>1 if the year referenced by lag_12</w:t>
              <w:br/>
              <w:t>falls in 2020–2022, else 0</w:t>
            </w:r>
          </w:p>
        </w:tc>
        <w:tc>
          <w:tcPr>
            <w:tcW w:type="dxa" w:w="3135"/>
          </w:tcPr>
          <w:p>
            <w:r>
              <w:rPr>
                <w:rFonts w:ascii="Bookman Old Style" w:hAnsi="Bookman Old Style"/>
                <w:sz w:val="18"/>
              </w:rPr>
              <w:t>Critical flag: tells the model that the lag_12 value it is looking at comes from a COVID-distorted year and should not be trusted at face value.</w:t>
            </w:r>
          </w:p>
        </w:tc>
      </w:tr>
    </w:tbl>
    <w:p>
      <w:pPr>
        <w:spacing w:before="240" w:line="360" w:lineRule="auto"/>
        <w:jc w:val="both"/>
      </w:pPr>
    </w:p>
    <w:p>
      <w:pPr>
        <w:spacing w:before="240" w:line="360" w:lineRule="auto"/>
        <w:jc w:val="left"/>
      </w:pPr>
      <w:r>
        <w:rPr>
          <w:rFonts w:ascii="Bookman Old Style" w:hAnsi="Bookman Old Style"/>
          <w:b/>
          <w:color w:val="000000"/>
        </w:rPr>
        <w:t>13.3.4 CTE 2, Filtering Incomplete Rows</w:t>
      </w:r>
    </w:p>
    <w:p>
      <w:pPr>
        <w:spacing w:before="240" w:line="360" w:lineRule="auto"/>
        <w:jc w:val="both"/>
      </w:pPr>
      <w:r>
        <w:rPr>
          <w:rFonts w:ascii="Bookman Old Style" w:hAnsi="Bookman Old Style"/>
          <w:color w:val="000000"/>
        </w:rPr>
        <w:t>Removes rows where lag_1 or lag_12 are NULL. These are the first months in each port's time series where not enough historical data exists to compute the lag features. Without this filter, the models would receive rows with missing values in their most important features.</w:t>
      </w:r>
    </w:p>
    <w:p>
      <w:pPr>
        <w:spacing w:before="240" w:line="360" w:lineRule="auto"/>
        <w:jc w:val="left"/>
      </w:pPr>
      <w:r>
        <w:rPr>
          <w:rFonts w:ascii="Bookman Old Style" w:hAnsi="Bookman Old Style"/>
          <w:b/>
          <w:color w:val="000000"/>
        </w:rPr>
        <w:t>13.3.5 CTE 3, COVID-Clean Substitution</w:t>
      </w:r>
    </w:p>
    <w:p>
      <w:pPr>
        <w:spacing w:before="240" w:line="360" w:lineRule="auto"/>
        <w:jc w:val="both"/>
      </w:pPr>
      <w:r>
        <w:rPr>
          <w:rFonts w:ascii="Bookman Old Style" w:hAnsi="Bookman Old Style"/>
          <w:color w:val="000000"/>
        </w:rPr>
        <w:t>This CTE performs the COVID-aware lag substitution described in Chapter 11. When lag_12_is_covid = 1 (meaning the same-month-last-year value comes from a COVID year), the contaminated lag_12 is replaced with the nearest clean historical reference: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Bookman Old Style" w:hAnsi="Bookman Old Style"/>
                <w:b/>
                <w:sz w:val="18"/>
              </w:rPr>
              <w:t>Priority</w:t>
            </w:r>
          </w:p>
        </w:tc>
        <w:tc>
          <w:tcPr>
            <w:tcW w:type="dxa" w:w="2351"/>
          </w:tcPr>
          <w:p>
            <w:pPr>
              <w:jc w:val="center"/>
            </w:pPr>
            <w:r>
              <w:rPr>
                <w:rFonts w:ascii="Bookman Old Style" w:hAnsi="Bookman Old Style"/>
                <w:b/>
                <w:sz w:val="18"/>
              </w:rPr>
              <w:t>Substitute with</w:t>
            </w:r>
          </w:p>
        </w:tc>
        <w:tc>
          <w:tcPr>
            <w:tcW w:type="dxa" w:w="2351"/>
          </w:tcPr>
          <w:p>
            <w:pPr>
              <w:jc w:val="center"/>
            </w:pPr>
            <w:r>
              <w:rPr>
                <w:rFonts w:ascii="Bookman Old Style" w:hAnsi="Bookman Old Style"/>
                <w:b/>
                <w:sz w:val="18"/>
              </w:rPr>
              <w:t>Condition</w:t>
            </w:r>
          </w:p>
        </w:tc>
        <w:tc>
          <w:tcPr>
            <w:tcW w:type="dxa" w:w="2351"/>
          </w:tcPr>
          <w:p>
            <w:pPr>
              <w:jc w:val="center"/>
            </w:pPr>
            <w:r>
              <w:rPr>
                <w:rFonts w:ascii="Bookman Old Style" w:hAnsi="Bookman Old Style"/>
                <w:b/>
                <w:sz w:val="18"/>
              </w:rPr>
              <w:t>Example</w:t>
            </w:r>
          </w:p>
        </w:tc>
      </w:tr>
      <w:tr>
        <w:tc>
          <w:tcPr>
            <w:tcW w:type="dxa" w:w="2351"/>
          </w:tcPr>
          <w:p>
            <w:r>
              <w:rPr>
                <w:rFonts w:ascii="Bookman Old Style" w:hAnsi="Bookman Old Style"/>
                <w:sz w:val="18"/>
              </w:rPr>
              <w:t>1st choice</w:t>
            </w:r>
          </w:p>
        </w:tc>
        <w:tc>
          <w:tcPr>
            <w:tcW w:type="dxa" w:w="2351"/>
          </w:tcPr>
          <w:p>
            <w:r>
              <w:rPr>
                <w:rFonts w:ascii="Bookman Old Style" w:hAnsi="Bookman Old Style"/>
                <w:sz w:val="18"/>
              </w:rPr>
              <w:t>_lag_24 (2 years ago)</w:t>
            </w:r>
          </w:p>
        </w:tc>
        <w:tc>
          <w:tcPr>
            <w:tcW w:type="dxa" w:w="2351"/>
          </w:tcPr>
          <w:p>
            <w:r>
              <w:rPr>
                <w:rFonts w:ascii="Bookman Old Style" w:hAnsi="Bookman Old Style"/>
                <w:sz w:val="18"/>
              </w:rPr>
              <w:t>That year is NOT 2020–2022</w:t>
            </w:r>
          </w:p>
        </w:tc>
        <w:tc>
          <w:tcPr>
            <w:tcW w:type="dxa" w:w="2351"/>
          </w:tcPr>
          <w:p>
            <w:r>
              <w:rPr>
                <w:rFonts w:ascii="Bookman Old Style" w:hAnsi="Bookman Old Style"/>
                <w:sz w:val="18"/>
              </w:rPr>
              <w:t>Predicting Jan 2023: lag_12 = Jan 2022 (COVID). Use lag_24 = Jan 2021? No, also COVID. Try lag_36.</w:t>
            </w:r>
          </w:p>
        </w:tc>
      </w:tr>
      <w:tr>
        <w:tc>
          <w:tcPr>
            <w:tcW w:type="dxa" w:w="2351"/>
          </w:tcPr>
          <w:p>
            <w:r>
              <w:rPr>
                <w:rFonts w:ascii="Bookman Old Style" w:hAnsi="Bookman Old Style"/>
                <w:sz w:val="18"/>
              </w:rPr>
              <w:t>2nd choice</w:t>
            </w:r>
          </w:p>
        </w:tc>
        <w:tc>
          <w:tcPr>
            <w:tcW w:type="dxa" w:w="2351"/>
          </w:tcPr>
          <w:p>
            <w:r>
              <w:rPr>
                <w:rFonts w:ascii="Bookman Old Style" w:hAnsi="Bookman Old Style"/>
                <w:sz w:val="18"/>
              </w:rPr>
              <w:t>_lag_36 (3 years ago)</w:t>
            </w:r>
          </w:p>
        </w:tc>
        <w:tc>
          <w:tcPr>
            <w:tcW w:type="dxa" w:w="2351"/>
          </w:tcPr>
          <w:p>
            <w:r>
              <w:rPr>
                <w:rFonts w:ascii="Bookman Old Style" w:hAnsi="Bookman Old Style"/>
                <w:sz w:val="18"/>
              </w:rPr>
              <w:t>That year is NOT 2020–2022</w:t>
            </w:r>
          </w:p>
        </w:tc>
        <w:tc>
          <w:tcPr>
            <w:tcW w:type="dxa" w:w="2351"/>
          </w:tcPr>
          <w:p>
            <w:r>
              <w:rPr>
                <w:rFonts w:ascii="Bookman Old Style" w:hAnsi="Bookman Old Style"/>
                <w:sz w:val="18"/>
              </w:rPr>
              <w:t>lag_36 = Jan 2020? No, also COVID. Try lag_48.</w:t>
            </w:r>
          </w:p>
        </w:tc>
      </w:tr>
      <w:tr>
        <w:tc>
          <w:tcPr>
            <w:tcW w:type="dxa" w:w="2351"/>
          </w:tcPr>
          <w:p>
            <w:r>
              <w:rPr>
                <w:rFonts w:ascii="Bookman Old Style" w:hAnsi="Bookman Old Style"/>
                <w:sz w:val="18"/>
              </w:rPr>
              <w:t>3rd choice</w:t>
            </w:r>
          </w:p>
        </w:tc>
        <w:tc>
          <w:tcPr>
            <w:tcW w:type="dxa" w:w="2351"/>
          </w:tcPr>
          <w:p>
            <w:r>
              <w:rPr>
                <w:rFonts w:ascii="Bookman Old Style" w:hAnsi="Bookman Old Style"/>
                <w:sz w:val="18"/>
              </w:rPr>
              <w:t>_lag_48 (4 years ago)</w:t>
            </w:r>
          </w:p>
        </w:tc>
        <w:tc>
          <w:tcPr>
            <w:tcW w:type="dxa" w:w="2351"/>
          </w:tcPr>
          <w:p>
            <w:r>
              <w:rPr>
                <w:rFonts w:ascii="Bookman Old Style" w:hAnsi="Bookman Old Style"/>
                <w:sz w:val="18"/>
              </w:rPr>
              <w:t>That year is NOT 2020–2022</w:t>
            </w:r>
          </w:p>
        </w:tc>
        <w:tc>
          <w:tcPr>
            <w:tcW w:type="dxa" w:w="2351"/>
          </w:tcPr>
          <w:p>
            <w:r>
              <w:rPr>
                <w:rFonts w:ascii="Bookman Old Style" w:hAnsi="Bookman Old Style"/>
                <w:sz w:val="18"/>
              </w:rPr>
              <w:t>lag_48 = Jan 2019. Yes, clean year. Use this value.</w:t>
            </w:r>
          </w:p>
        </w:tc>
      </w:tr>
      <w:tr>
        <w:tc>
          <w:tcPr>
            <w:tcW w:type="dxa" w:w="2351"/>
          </w:tcPr>
          <w:p>
            <w:r>
              <w:rPr>
                <w:rFonts w:ascii="Bookman Old Style" w:hAnsi="Bookman Old Style"/>
                <w:sz w:val="18"/>
              </w:rPr>
              <w:t>Fallback</w:t>
            </w:r>
          </w:p>
        </w:tc>
        <w:tc>
          <w:tcPr>
            <w:tcW w:type="dxa" w:w="2351"/>
          </w:tcPr>
          <w:p>
            <w:r>
              <w:rPr>
                <w:rFonts w:ascii="Bookman Old Style" w:hAnsi="Bookman Old Style"/>
                <w:sz w:val="18"/>
              </w:rPr>
              <w:t>Original lag_12</w:t>
            </w:r>
          </w:p>
        </w:tc>
        <w:tc>
          <w:tcPr>
            <w:tcW w:type="dxa" w:w="2351"/>
          </w:tcPr>
          <w:p>
            <w:r>
              <w:rPr>
                <w:rFonts w:ascii="Bookman Old Style" w:hAnsi="Bookman Old Style"/>
                <w:sz w:val="18"/>
              </w:rPr>
              <w:t>No clean reference available</w:t>
            </w:r>
          </w:p>
        </w:tc>
        <w:tc>
          <w:tcPr>
            <w:tcW w:type="dxa" w:w="2351"/>
          </w:tcPr>
          <w:p>
            <w:r>
              <w:rPr>
                <w:rFonts w:ascii="Bookman Old Style" w:hAnsi="Bookman Old Style"/>
                <w:sz w:val="18"/>
              </w:rPr>
              <w:t>Only happens for ports with very short histories.</w:t>
            </w:r>
          </w:p>
        </w:tc>
      </w:tr>
    </w:tbl>
    <w:p>
      <w:pPr>
        <w:spacing w:before="240" w:line="360" w:lineRule="auto"/>
        <w:jc w:val="both"/>
      </w:pPr>
    </w:p>
    <w:p>
      <w:pPr>
        <w:spacing w:before="240" w:line="360" w:lineRule="auto"/>
        <w:jc w:val="both"/>
      </w:pPr>
      <w:r>
        <w:rPr>
          <w:rFonts w:ascii="Bookman Old Style" w:hAnsi="Bookman Old Style"/>
          <w:b/>
          <w:color w:val="000000"/>
          <w:sz w:val="20"/>
        </w:rPr>
        <w:t>The two output features from this CTE:</w:t>
      </w:r>
    </w:p>
    <w:p>
      <w:pPr>
        <w:spacing w:after="40" w:before="240" w:line="360" w:lineRule="auto"/>
        <w:ind w:left="567"/>
        <w:jc w:val="both"/>
      </w:pPr>
      <w:r>
        <w:rPr>
          <w:rFonts w:ascii="Bookman Old Style" w:hAnsi="Bookman Old Style"/>
          <w:color w:val="000000"/>
          <w:sz w:val="18"/>
        </w:rPr>
        <w:t>lag_12_clean = nearest clean same-month historical value</w:t>
      </w:r>
    </w:p>
    <w:p>
      <w:pPr>
        <w:spacing w:after="40" w:before="240" w:line="360" w:lineRule="auto"/>
        <w:ind w:left="567"/>
        <w:jc w:val="both"/>
      </w:pPr>
      <w:r>
        <w:rPr>
          <w:rFonts w:ascii="Bookman Old Style" w:hAnsi="Bookman Old Style"/>
          <w:color w:val="000000"/>
          <w:sz w:val="18"/>
        </w:rPr>
        <w:t xml:space="preserve">    → Used instead of raw lag_12 as input to all 7 models</w:t>
      </w:r>
    </w:p>
    <w:p>
      <w:pPr>
        <w:spacing w:after="40" w:before="240" w:line="360" w:lineRule="auto"/>
        <w:ind w:left="567"/>
        <w:jc w:val="both"/>
      </w:pPr>
      <w:r>
        <w:rPr>
          <w:rFonts w:ascii="Bookman Old Style" w:hAnsi="Bookman Old Style"/>
          <w:color w:val="000000"/>
          <w:sz w:val="18"/>
        </w:rPr>
      </w:r>
    </w:p>
    <w:p>
      <w:pPr>
        <w:spacing w:after="40" w:before="240" w:line="360" w:lineRule="auto"/>
        <w:ind w:left="567"/>
        <w:jc w:val="both"/>
      </w:pPr>
      <w:r>
        <w:rPr>
          <w:rFonts w:ascii="Bookman Old Style" w:hAnsi="Bookman Old Style"/>
          <w:color w:val="000000"/>
          <w:sz w:val="18"/>
        </w:rPr>
        <w:t>yoy_growth_clean = (shipment_count - lag_12_clean) / lag_12_clean</w:t>
      </w:r>
    </w:p>
    <w:p>
      <w:pPr>
        <w:spacing w:after="40" w:before="240" w:line="360" w:lineRule="auto"/>
        <w:ind w:left="567"/>
        <w:jc w:val="both"/>
      </w:pPr>
      <w:r>
        <w:rPr>
          <w:rFonts w:ascii="Bookman Old Style" w:hAnsi="Bookman Old Style"/>
          <w:color w:val="000000"/>
          <w:sz w:val="18"/>
        </w:rPr>
        <w:t xml:space="preserve">    → Year-on-year growth recalculated against the clean baseline</w:t>
      </w:r>
    </w:p>
    <w:p>
      <w:pPr>
        <w:spacing w:after="40" w:before="240" w:line="360" w:lineRule="auto"/>
        <w:ind w:left="567"/>
        <w:jc w:val="both"/>
      </w:pPr>
      <w:r>
        <w:rPr>
          <w:rFonts w:ascii="Bookman Old Style" w:hAnsi="Bookman Old Style"/>
          <w:color w:val="000000"/>
          <w:sz w:val="18"/>
        </w:rPr>
        <w:t xml:space="preserve">    → Prevents the model from learning that +50% growth is 'normal'</w:t>
      </w:r>
    </w:p>
    <w:p>
      <w:pPr>
        <w:spacing w:after="40" w:before="240" w:line="360" w:lineRule="auto"/>
        <w:ind w:left="567"/>
        <w:jc w:val="both"/>
      </w:pPr>
      <w:r>
        <w:rPr>
          <w:rFonts w:ascii="Bookman Old Style" w:hAnsi="Bookman Old Style"/>
          <w:color w:val="000000"/>
          <w:sz w:val="18"/>
        </w:rPr>
        <w:t xml:space="preserve">       (which is what raw 2021 vs 2020 would suggest)</w:t>
      </w:r>
    </w:p>
    <w:p>
      <w:pPr>
        <w:spacing w:before="240" w:line="360" w:lineRule="auto"/>
        <w:jc w:val="left"/>
      </w:pPr>
      <w:r>
        <w:rPr>
          <w:rFonts w:ascii="Bookman Old Style" w:hAnsi="Bookman Old Style"/>
          <w:b/>
          <w:color w:val="000000"/>
        </w:rPr>
        <w:t>13.3.6 CTE 4, Normalisation and Congestion Index</w:t>
      </w:r>
    </w:p>
    <w:p>
      <w:pPr>
        <w:spacing w:before="240" w:line="360" w:lineRule="auto"/>
        <w:jc w:val="both"/>
      </w:pPr>
      <w:r>
        <w:rPr>
          <w:rFonts w:ascii="Bookman Old Style" w:hAnsi="Bookman Old Style"/>
          <w:color w:val="000000"/>
        </w:rPr>
        <w:t>Computes min-max normalised versions of four variables within each port-direction partition. These normalised values are NOT used as ML features, as documented in the utility module, they embed future minimum and maximum values (data leakage). They are used exclusively to compute the composite congestion index:</w:t>
      </w:r>
    </w:p>
    <w:p>
      <w:pPr>
        <w:spacing w:before="240" w:line="360" w:lineRule="auto"/>
        <w:jc w:val="both"/>
      </w:pPr>
      <w:r>
        <w:rPr>
          <w:rFonts w:ascii="Bookman Old Style" w:hAnsi="Bookman Old Style"/>
          <w:b/>
          <w:color w:val="000000"/>
          <w:sz w:val="20"/>
        </w:rPr>
        <w:t>Normalisation formula (applied per port-direction):</w:t>
      </w:r>
    </w:p>
    <w:p>
      <w:pPr>
        <w:spacing w:after="40" w:before="240" w:line="360" w:lineRule="auto"/>
        <w:ind w:left="567"/>
        <w:jc w:val="both"/>
      </w:pPr>
      <w:r>
        <w:rPr>
          <w:rFonts w:ascii="Bookman Old Style" w:hAnsi="Bookman Old Style"/>
          <w:color w:val="000000"/>
          <w:sz w:val="18"/>
        </w:rPr>
        <w:t>normalised_value = (current_value - MIN across all history)</w:t>
      </w:r>
    </w:p>
    <w:p>
      <w:pPr>
        <w:spacing w:after="40" w:before="240" w:line="360" w:lineRule="auto"/>
        <w:ind w:left="567"/>
        <w:jc w:val="both"/>
      </w:pPr>
      <w:r>
        <w:rPr>
          <w:rFonts w:ascii="Bookman Old Style" w:hAnsi="Bookman Old Style"/>
          <w:color w:val="000000"/>
          <w:sz w:val="18"/>
        </w:rPr>
        <w:t xml:space="preserve">                   / (MAX across all history - MIN across all history)</w:t>
      </w:r>
    </w:p>
    <w:p>
      <w:pPr>
        <w:spacing w:after="40" w:before="240" w:line="360" w:lineRule="auto"/>
        <w:ind w:left="567"/>
        <w:jc w:val="both"/>
      </w:pPr>
      <w:r>
        <w:rPr>
          <w:rFonts w:ascii="Bookman Old Style" w:hAnsi="Bookman Old Style"/>
          <w:color w:val="000000"/>
          <w:sz w:val="18"/>
        </w:rPr>
      </w:r>
    </w:p>
    <w:p>
      <w:pPr>
        <w:spacing w:after="40" w:before="240" w:line="360" w:lineRule="auto"/>
        <w:ind w:left="567"/>
        <w:jc w:val="both"/>
      </w:pPr>
      <w:r>
        <w:rPr>
          <w:rFonts w:ascii="Bookman Old Style" w:hAnsi="Bookman Old Style"/>
          <w:color w:val="000000"/>
          <w:sz w:val="18"/>
        </w:rPr>
        <w:t>Where:</w:t>
      </w:r>
    </w:p>
    <w:p>
      <w:pPr>
        <w:spacing w:after="40" w:before="240" w:line="360" w:lineRule="auto"/>
        <w:ind w:left="567"/>
        <w:jc w:val="both"/>
      </w:pPr>
      <w:r>
        <w:rPr>
          <w:rFonts w:ascii="Bookman Old Style" w:hAnsi="Bookman Old Style"/>
          <w:color w:val="000000"/>
          <w:sz w:val="18"/>
        </w:rPr>
        <w:t xml:space="preserve">  current_value  = the metric for this specific month</w:t>
      </w:r>
    </w:p>
    <w:p>
      <w:pPr>
        <w:spacing w:after="40" w:before="240" w:line="360" w:lineRule="auto"/>
        <w:ind w:left="567"/>
        <w:jc w:val="both"/>
      </w:pPr>
      <w:r>
        <w:rPr>
          <w:rFonts w:ascii="Bookman Old Style" w:hAnsi="Bookman Old Style"/>
          <w:color w:val="000000"/>
          <w:sz w:val="18"/>
        </w:rPr>
        <w:t xml:space="preserve">  MIN, MAX       = minimum and maximum values ever recorded</w:t>
      </w:r>
    </w:p>
    <w:p>
      <w:pPr>
        <w:spacing w:after="40" w:before="240" w:line="360" w:lineRule="auto"/>
        <w:ind w:left="567"/>
        <w:jc w:val="both"/>
      </w:pPr>
      <w:r>
        <w:rPr>
          <w:rFonts w:ascii="Bookman Old Style" w:hAnsi="Bookman Old Style"/>
          <w:color w:val="000000"/>
          <w:sz w:val="18"/>
        </w:rPr>
        <w:t xml:space="preserve">                   for this port-direction combination</w:t>
      </w:r>
    </w:p>
    <w:p>
      <w:pPr>
        <w:spacing w:after="40" w:before="240" w:line="360" w:lineRule="auto"/>
        <w:ind w:left="567"/>
        <w:jc w:val="both"/>
      </w:pPr>
      <w:r>
        <w:rPr>
          <w:rFonts w:ascii="Bookman Old Style" w:hAnsi="Bookman Old Style"/>
          <w:color w:val="000000"/>
          <w:sz w:val="18"/>
        </w:rPr>
        <w:t xml:space="preserve">  Result         = a value between 0 (historical minimum) and 1 (historical maximum)</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Bookman Old Style" w:hAnsi="Bookman Old Style"/>
                <w:b/>
                <w:sz w:val="18"/>
              </w:rPr>
              <w:t>Normalised Variable</w:t>
            </w:r>
          </w:p>
        </w:tc>
        <w:tc>
          <w:tcPr>
            <w:tcW w:type="dxa" w:w="3135"/>
          </w:tcPr>
          <w:p>
            <w:pPr>
              <w:jc w:val="center"/>
            </w:pPr>
            <w:r>
              <w:rPr>
                <w:rFonts w:ascii="Bookman Old Style" w:hAnsi="Bookman Old Style"/>
                <w:b/>
                <w:sz w:val="18"/>
              </w:rPr>
              <w:t>Source Metric</w:t>
            </w:r>
          </w:p>
        </w:tc>
        <w:tc>
          <w:tcPr>
            <w:tcW w:type="dxa" w:w="3135"/>
          </w:tcPr>
          <w:p>
            <w:pPr>
              <w:jc w:val="center"/>
            </w:pPr>
            <w:r>
              <w:rPr>
                <w:rFonts w:ascii="Bookman Old Style" w:hAnsi="Bookman Old Style"/>
                <w:b/>
                <w:sz w:val="18"/>
              </w:rPr>
              <w:t>What it captures</w:t>
            </w:r>
          </w:p>
        </w:tc>
      </w:tr>
      <w:tr>
        <w:tc>
          <w:tcPr>
            <w:tcW w:type="dxa" w:w="3135"/>
          </w:tcPr>
          <w:p>
            <w:r>
              <w:rPr>
                <w:rFonts w:ascii="Bookman Old Style" w:hAnsi="Bookman Old Style"/>
                <w:sz w:val="18"/>
              </w:rPr>
              <w:t>sc_norm</w:t>
            </w:r>
          </w:p>
        </w:tc>
        <w:tc>
          <w:tcPr>
            <w:tcW w:type="dxa" w:w="3135"/>
          </w:tcPr>
          <w:p>
            <w:r>
              <w:rPr>
                <w:rFonts w:ascii="Bookman Old Style" w:hAnsi="Bookman Old Style"/>
                <w:sz w:val="18"/>
              </w:rPr>
              <w:t>shipment_count</w:t>
            </w:r>
          </w:p>
        </w:tc>
        <w:tc>
          <w:tcPr>
            <w:tcW w:type="dxa" w:w="3135"/>
          </w:tcPr>
          <w:p>
            <w:r>
              <w:rPr>
                <w:rFonts w:ascii="Bookman Old Style" w:hAnsi="Bookman Old Style"/>
                <w:sz w:val="18"/>
              </w:rPr>
              <w:t>How busy the port is relative to its own history (0 = quietest month ever, 1 = busiest month ever)</w:t>
            </w:r>
          </w:p>
        </w:tc>
      </w:tr>
      <w:tr>
        <w:tc>
          <w:tcPr>
            <w:tcW w:type="dxa" w:w="3135"/>
          </w:tcPr>
          <w:p>
            <w:r>
              <w:rPr>
                <w:rFonts w:ascii="Bookman Old Style" w:hAnsi="Bookman Old Style"/>
                <w:sz w:val="18"/>
              </w:rPr>
              <w:t>v_norm</w:t>
            </w:r>
          </w:p>
        </w:tc>
        <w:tc>
          <w:tcPr>
            <w:tcW w:type="dxa" w:w="3135"/>
          </w:tcPr>
          <w:p>
            <w:r>
              <w:rPr>
                <w:rFonts w:ascii="Bookman Old Style" w:hAnsi="Bookman Old Style"/>
                <w:sz w:val="18"/>
              </w:rPr>
              <w:t>total_value_usd</w:t>
            </w:r>
          </w:p>
        </w:tc>
        <w:tc>
          <w:tcPr>
            <w:tcW w:type="dxa" w:w="3135"/>
          </w:tcPr>
          <w:p>
            <w:r>
              <w:rPr>
                <w:rFonts w:ascii="Bookman Old Style" w:hAnsi="Bookman Old Style"/>
                <w:sz w:val="18"/>
              </w:rPr>
              <w:t>How much trade value is flowing through relative to historical range</w:t>
            </w:r>
          </w:p>
        </w:tc>
      </w:tr>
      <w:tr>
        <w:tc>
          <w:tcPr>
            <w:tcW w:type="dxa" w:w="3135"/>
          </w:tcPr>
          <w:p>
            <w:r>
              <w:rPr>
                <w:rFonts w:ascii="Bookman Old Style" w:hAnsi="Bookman Old Style"/>
                <w:sz w:val="18"/>
              </w:rPr>
              <w:t>w_norm</w:t>
            </w:r>
          </w:p>
        </w:tc>
        <w:tc>
          <w:tcPr>
            <w:tcW w:type="dxa" w:w="3135"/>
          </w:tcPr>
          <w:p>
            <w:r>
              <w:rPr>
                <w:rFonts w:ascii="Bookman Old Style" w:hAnsi="Bookman Old Style"/>
                <w:sz w:val="18"/>
              </w:rPr>
              <w:t>total_weight_mt</w:t>
            </w:r>
          </w:p>
        </w:tc>
        <w:tc>
          <w:tcPr>
            <w:tcW w:type="dxa" w:w="3135"/>
          </w:tcPr>
          <w:p>
            <w:r>
              <w:rPr>
                <w:rFonts w:ascii="Bookman Old Style" w:hAnsi="Bookman Old Style"/>
                <w:sz w:val="18"/>
              </w:rPr>
              <w:t>How much cargo weight is flowing through (exports only; NULL for imports)</w:t>
            </w:r>
          </w:p>
        </w:tc>
      </w:tr>
      <w:tr>
        <w:tc>
          <w:tcPr>
            <w:tcW w:type="dxa" w:w="3135"/>
          </w:tcPr>
          <w:p>
            <w:r>
              <w:rPr>
                <w:rFonts w:ascii="Bookman Old Style" w:hAnsi="Bookman Old Style"/>
                <w:sz w:val="18"/>
              </w:rPr>
              <w:t>cd_norm</w:t>
            </w:r>
          </w:p>
        </w:tc>
        <w:tc>
          <w:tcPr>
            <w:tcW w:type="dxa" w:w="3135"/>
          </w:tcPr>
          <w:p>
            <w:r>
              <w:rPr>
                <w:rFonts w:ascii="Bookman Old Style" w:hAnsi="Bookman Old Style"/>
                <w:sz w:val="18"/>
              </w:rPr>
              <w:t>commodity_diversity</w:t>
            </w:r>
          </w:p>
        </w:tc>
        <w:tc>
          <w:tcPr>
            <w:tcW w:type="dxa" w:w="3135"/>
          </w:tcPr>
          <w:p>
            <w:r>
              <w:rPr>
                <w:rFonts w:ascii="Bookman Old Style" w:hAnsi="Bookman Old Style"/>
                <w:sz w:val="18"/>
              </w:rPr>
              <w:t>How diverse the cargo mix is relative to historical range</w:t>
            </w:r>
          </w:p>
        </w:tc>
      </w:tr>
    </w:tbl>
    <w:p>
      <w:pPr>
        <w:spacing w:before="240" w:line="360" w:lineRule="auto"/>
        <w:jc w:val="both"/>
      </w:pPr>
    </w:p>
    <w:p>
      <w:pPr>
        <w:spacing w:before="240" w:line="360" w:lineRule="auto"/>
        <w:jc w:val="both"/>
      </w:pPr>
      <w:r>
        <w:rPr>
          <w:rFonts w:ascii="Bookman Old Style" w:hAnsi="Bookman Old Style"/>
          <w:color w:val="000000"/>
        </w:rPr>
        <w:t>The congestion index is then computed differently for imports and exports:</w:t>
      </w:r>
    </w:p>
    <w:p>
      <w:pPr>
        <w:spacing w:before="240" w:line="360" w:lineRule="auto"/>
        <w:jc w:val="both"/>
      </w:pPr>
      <w:r>
        <w:rPr>
          <w:rFonts w:ascii="Bookman Old Style" w:hAnsi="Bookman Old Style"/>
          <w:b/>
          <w:color w:val="000000"/>
          <w:sz w:val="20"/>
        </w:rPr>
        <w:t>Import congestion index:</w:t>
      </w:r>
    </w:p>
    <w:p>
      <w:pPr>
        <w:spacing w:after="40" w:before="240" w:line="360" w:lineRule="auto"/>
        <w:ind w:left="567"/>
        <w:jc w:val="both"/>
      </w:pPr>
      <w:r>
        <w:rPr>
          <w:rFonts w:ascii="Bookman Old Style" w:hAnsi="Bookman Old Style"/>
          <w:color w:val="000000"/>
          <w:sz w:val="18"/>
        </w:rPr>
        <w:t>congestion_index = 0.40 × sc_norm     (shipment volume is the primary driver)</w:t>
      </w:r>
    </w:p>
    <w:p>
      <w:pPr>
        <w:spacing w:after="40" w:before="240" w:line="360" w:lineRule="auto"/>
        <w:ind w:left="567"/>
        <w:jc w:val="both"/>
      </w:pPr>
      <w:r>
        <w:rPr>
          <w:rFonts w:ascii="Bookman Old Style" w:hAnsi="Bookman Old Style"/>
          <w:color w:val="000000"/>
          <w:sz w:val="18"/>
        </w:rPr>
        <w:t xml:space="preserve">                 + 0.30 × v_norm      (trade value adds intensity signal)</w:t>
      </w:r>
    </w:p>
    <w:p>
      <w:pPr>
        <w:spacing w:after="40" w:before="240" w:line="360" w:lineRule="auto"/>
        <w:ind w:left="567"/>
        <w:jc w:val="both"/>
      </w:pPr>
      <w:r>
        <w:rPr>
          <w:rFonts w:ascii="Bookman Old Style" w:hAnsi="Bookman Old Style"/>
          <w:color w:val="000000"/>
          <w:sz w:val="18"/>
        </w:rPr>
        <w:t xml:space="preserve">                 + 0.20 × cd_norm     (more diverse cargo = more complex logistics)</w:t>
      </w:r>
    </w:p>
    <w:p>
      <w:pPr>
        <w:spacing w:after="40" w:before="240" w:line="360" w:lineRule="auto"/>
        <w:ind w:left="567"/>
        <w:jc w:val="both"/>
      </w:pPr>
      <w:r>
        <w:rPr>
          <w:rFonts w:ascii="Bookman Old Style" w:hAnsi="Bookman Old Style"/>
          <w:color w:val="000000"/>
          <w:sz w:val="18"/>
        </w:rPr>
        <w:t xml:space="preserve">                 + 0.10 × pct_container (container operations strain infrastructure)</w:t>
      </w:r>
    </w:p>
    <w:p>
      <w:pPr>
        <w:spacing w:before="240" w:line="360" w:lineRule="auto"/>
        <w:jc w:val="both"/>
      </w:pPr>
      <w:r>
        <w:rPr>
          <w:rFonts w:ascii="Bookman Old Style" w:hAnsi="Bookman Old Style"/>
          <w:b/>
          <w:color w:val="000000"/>
          <w:sz w:val="20"/>
        </w:rPr>
        <w:t>Export congestion index:</w:t>
      </w:r>
    </w:p>
    <w:p>
      <w:pPr>
        <w:spacing w:after="40" w:before="240" w:line="360" w:lineRule="auto"/>
        <w:ind w:left="567"/>
        <w:jc w:val="both"/>
      </w:pPr>
      <w:r>
        <w:rPr>
          <w:rFonts w:ascii="Bookman Old Style" w:hAnsi="Bookman Old Style"/>
          <w:color w:val="000000"/>
          <w:sz w:val="18"/>
        </w:rPr>
        <w:t>congestion_index = 0.40 × w_norm      (cargo weight is the binding constraint for bulk/mining exports)</w:t>
      </w:r>
    </w:p>
    <w:p>
      <w:pPr>
        <w:spacing w:after="40" w:before="240" w:line="360" w:lineRule="auto"/>
        <w:ind w:left="567"/>
        <w:jc w:val="both"/>
      </w:pPr>
      <w:r>
        <w:rPr>
          <w:rFonts w:ascii="Bookman Old Style" w:hAnsi="Bookman Old Style"/>
          <w:color w:val="000000"/>
          <w:sz w:val="18"/>
        </w:rPr>
        <w:t xml:space="preserve">                 + 0.30 × sc_norm     (shipment volume adds demand signal)</w:t>
      </w:r>
    </w:p>
    <w:p>
      <w:pPr>
        <w:spacing w:after="40" w:before="240" w:line="360" w:lineRule="auto"/>
        <w:ind w:left="567"/>
        <w:jc w:val="both"/>
      </w:pPr>
      <w:r>
        <w:rPr>
          <w:rFonts w:ascii="Bookman Old Style" w:hAnsi="Bookman Old Style"/>
          <w:color w:val="000000"/>
          <w:sz w:val="18"/>
        </w:rPr>
        <w:t xml:space="preserve">                 + 0.20 × v_norm      (trade value captures economic significance)</w:t>
      </w:r>
    </w:p>
    <w:p>
      <w:pPr>
        <w:spacing w:after="40" w:before="240" w:line="360" w:lineRule="auto"/>
        <w:ind w:left="567"/>
        <w:jc w:val="both"/>
      </w:pPr>
      <w:r>
        <w:rPr>
          <w:rFonts w:ascii="Bookman Old Style" w:hAnsi="Bookman Old Style"/>
          <w:color w:val="000000"/>
          <w:sz w:val="18"/>
        </w:rPr>
        <w:t xml:space="preserve">                 + 0.10 × pct_refrigerated (refrigerated cargo is time-sensitive, amplifying delays)</w:t>
      </w:r>
    </w:p>
    <w:p>
      <w:pPr>
        <w:spacing w:before="240" w:line="360" w:lineRule="auto"/>
        <w:jc w:val="both"/>
      </w:pPr>
      <w:r>
        <w:rPr>
          <w:rFonts w:ascii="Bookman Old Style" w:hAnsi="Bookman Old Style"/>
          <w:color w:val="000000"/>
        </w:rPr>
        <w:t>This congestion index is a descriptive indicator stored alongside the feature panel, it is not a prediction target. The ML models predict shipment_count; the congestion index can be recomputed from the predicted values downstream.</w:t>
      </w:r>
    </w:p>
    <w:p>
      <w:pPr>
        <w:spacing w:before="240" w:line="360" w:lineRule="auto"/>
        <w:jc w:val="left"/>
      </w:pPr>
      <w:r>
        <w:rPr>
          <w:rFonts w:ascii="Bookman Old Style" w:hAnsi="Bookman Old Style"/>
          <w:b/>
          <w:color w:val="000000"/>
        </w:rPr>
        <w:t>13.3.7 Walk-Forward Cross-Validation</w:t>
      </w:r>
    </w:p>
    <w:p>
      <w:pPr>
        <w:spacing w:before="240" w:line="360" w:lineRule="auto"/>
        <w:jc w:val="both"/>
      </w:pPr>
      <w:r>
        <w:rPr>
          <w:rFonts w:ascii="Bookman Old Style" w:hAnsi="Bookman Old Style"/>
          <w:color w:val="000000"/>
        </w:rPr>
        <w:t>The third step leaves SQL behind and enters Python. The entire feature panel is loaded into a pandas DataFrame, and each of the seven models described in Chapter 11 is evaluated using the shared walk-forward cross-validation framework from wz_ml_utils.py.</w:t>
      </w:r>
    </w:p>
    <w:p>
      <w:pPr>
        <w:spacing w:before="240" w:line="360" w:lineRule="auto"/>
        <w:jc w:val="left"/>
      </w:pPr>
      <w:r>
        <w:rPr>
          <w:rFonts w:ascii="Bookman Old Style" w:hAnsi="Bookman Old Style"/>
          <w:b/>
          <w:color w:val="000000"/>
        </w:rPr>
        <w:t>13.3.8 Port Eligibility</w:t>
      </w:r>
    </w:p>
    <w:p>
      <w:pPr>
        <w:spacing w:before="240" w:line="360" w:lineRule="auto"/>
        <w:jc w:val="both"/>
      </w:pPr>
      <w:r>
        <w:rPr>
          <w:rFonts w:ascii="Bookman Old Style" w:hAnsi="Bookman Old Style"/>
          <w:color w:val="000000"/>
        </w:rPr>
        <w:t>Not every port-direction pair is evaluated. The utility function list_eligible_ports() requires a minimum of 36 months of data, three years, to ensure that each fold has enough training history and that the seasonal pattern has been observed at least three times.</w:t>
      </w:r>
    </w:p>
    <w:p>
      <w:pPr>
        <w:spacing w:before="240" w:line="360" w:lineRule="auto"/>
        <w:jc w:val="left"/>
      </w:pPr>
      <w:r>
        <w:rPr>
          <w:rFonts w:ascii="Bookman Old Style" w:hAnsi="Bookman Old Style"/>
          <w:b/>
          <w:color w:val="000000"/>
        </w:rPr>
        <w:t>13.3.9 Feature Selection</w:t>
      </w:r>
    </w:p>
    <w:p>
      <w:pPr>
        <w:spacing w:before="240" w:line="360" w:lineRule="auto"/>
        <w:jc w:val="both"/>
      </w:pPr>
      <w:r>
        <w:rPr>
          <w:rFonts w:ascii="Bookman Old Style" w:hAnsi="Bookman Old Style"/>
          <w:color w:val="000000"/>
        </w:rPr>
        <w:t>Before each fold, select_features() drops features whose pairwise correlation exceeds 0.95. This prevents multicollinearity from destabilising linear models and reduces noise for tree-based models.</w:t>
      </w:r>
    </w:p>
    <w:p>
      <w:pPr>
        <w:spacing w:before="240" w:line="360" w:lineRule="auto"/>
        <w:jc w:val="both"/>
      </w:pPr>
      <w:r>
        <w:rPr>
          <w:rFonts w:ascii="Bookman Old Style" w:hAnsi="Bookman Old Style"/>
          <w:b/>
          <w:color w:val="000000"/>
          <w:sz w:val="20"/>
        </w:rPr>
        <w:t>Correlation-based feature selection:</w:t>
      </w:r>
    </w:p>
    <w:p>
      <w:pPr>
        <w:spacing w:after="40" w:before="240" w:line="360" w:lineRule="auto"/>
        <w:ind w:left="567"/>
        <w:jc w:val="both"/>
      </w:pPr>
      <w:r>
        <w:rPr>
          <w:rFonts w:ascii="Bookman Old Style" w:hAnsi="Bookman Old Style"/>
          <w:color w:val="000000"/>
          <w:sz w:val="18"/>
        </w:rPr>
        <w:t>For each pair of features (A, B):</w:t>
      </w:r>
    </w:p>
    <w:p>
      <w:pPr>
        <w:spacing w:after="40" w:before="240" w:line="360" w:lineRule="auto"/>
        <w:ind w:left="567"/>
        <w:jc w:val="both"/>
      </w:pPr>
      <w:r>
        <w:rPr>
          <w:rFonts w:ascii="Bookman Old Style" w:hAnsi="Bookman Old Style"/>
          <w:color w:val="000000"/>
          <w:sz w:val="18"/>
        </w:rPr>
        <w:t xml:space="preserve">  If Pearson correlation |r(A, B)| &gt; 0.95:</w:t>
      </w:r>
    </w:p>
    <w:p>
      <w:pPr>
        <w:spacing w:after="40" w:before="240" w:line="360" w:lineRule="auto"/>
        <w:ind w:left="567"/>
        <w:jc w:val="both"/>
      </w:pPr>
      <w:r>
        <w:rPr>
          <w:rFonts w:ascii="Bookman Old Style" w:hAnsi="Bookman Old Style"/>
          <w:color w:val="000000"/>
          <w:sz w:val="18"/>
        </w:rPr>
        <w:t xml:space="preserve">    Drop the feature that appears later in the feature list</w:t>
      </w:r>
    </w:p>
    <w:p>
      <w:pPr>
        <w:spacing w:after="40" w:before="240" w:line="360" w:lineRule="auto"/>
        <w:ind w:left="567"/>
        <w:jc w:val="both"/>
      </w:pPr>
      <w:r>
        <w:rPr>
          <w:rFonts w:ascii="Bookman Old Style" w:hAnsi="Bookman Old Style"/>
          <w:color w:val="000000"/>
          <w:sz w:val="18"/>
        </w:rPr>
      </w:r>
    </w:p>
    <w:p>
      <w:pPr>
        <w:spacing w:after="40" w:before="240" w:line="360" w:lineRule="auto"/>
        <w:ind w:left="567"/>
        <w:jc w:val="both"/>
      </w:pPr>
      <w:r>
        <w:rPr>
          <w:rFonts w:ascii="Bookman Old Style" w:hAnsi="Bookman Old Style"/>
          <w:color w:val="000000"/>
          <w:sz w:val="18"/>
        </w:rPr>
        <w:t>Why 0.95? A correlation above 0.95 means the two features carry</w:t>
      </w:r>
    </w:p>
    <w:p>
      <w:pPr>
        <w:spacing w:after="40" w:before="240" w:line="360" w:lineRule="auto"/>
        <w:ind w:left="567"/>
        <w:jc w:val="both"/>
      </w:pPr>
      <w:r>
        <w:rPr>
          <w:rFonts w:ascii="Bookman Old Style" w:hAnsi="Bookman Old Style"/>
          <w:color w:val="000000"/>
          <w:sz w:val="18"/>
        </w:rPr>
        <w:t>virtually identical information. Keeping both adds no predictive</w:t>
      </w:r>
    </w:p>
    <w:p>
      <w:pPr>
        <w:spacing w:after="40" w:before="240" w:line="360" w:lineRule="auto"/>
        <w:ind w:left="567"/>
        <w:jc w:val="both"/>
      </w:pPr>
      <w:r>
        <w:rPr>
          <w:rFonts w:ascii="Bookman Old Style" w:hAnsi="Bookman Old Style"/>
          <w:color w:val="000000"/>
          <w:sz w:val="18"/>
        </w:rPr>
        <w:t>value but can confuse linear models (Ridge, Lasso, ElasticNet)</w:t>
      </w:r>
    </w:p>
    <w:p>
      <w:pPr>
        <w:spacing w:after="40" w:before="240" w:line="360" w:lineRule="auto"/>
        <w:ind w:left="567"/>
        <w:jc w:val="both"/>
      </w:pPr>
      <w:r>
        <w:rPr>
          <w:rFonts w:ascii="Bookman Old Style" w:hAnsi="Bookman Old Style"/>
          <w:color w:val="000000"/>
          <w:sz w:val="18"/>
        </w:rPr>
        <w:t>by splitting coefficient weight between redundant inputs.</w:t>
      </w:r>
    </w:p>
    <w:p>
      <w:pPr>
        <w:spacing w:before="240" w:line="360" w:lineRule="auto"/>
        <w:jc w:val="left"/>
      </w:pPr>
      <w:r>
        <w:rPr>
          <w:rFonts w:ascii="Bookman Old Style" w:hAnsi="Bookman Old Style"/>
          <w:b/>
          <w:color w:val="000000"/>
        </w:rPr>
        <w:t>13.3.10 Cross-Validation Folds</w:t>
      </w:r>
    </w:p>
    <w:p>
      <w:pPr>
        <w:spacing w:before="240" w:line="360" w:lineRule="auto"/>
        <w:jc w:val="both"/>
      </w:pPr>
      <w:r>
        <w:rPr>
          <w:rFonts w:ascii="Bookman Old Style" w:hAnsi="Bookman Old Style"/>
          <w:color w:val="000000"/>
        </w:rPr>
        <w:t>Four folds are used, each defined by a (train_end, test_year) pair:</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Bookman Old Style" w:hAnsi="Bookman Old Style"/>
                <w:b/>
                <w:sz w:val="18"/>
              </w:rPr>
              <w:t>Fold</w:t>
            </w:r>
          </w:p>
        </w:tc>
        <w:tc>
          <w:tcPr>
            <w:tcW w:type="dxa" w:w="2351"/>
          </w:tcPr>
          <w:p>
            <w:pPr>
              <w:jc w:val="center"/>
            </w:pPr>
            <w:r>
              <w:rPr>
                <w:rFonts w:ascii="Bookman Old Style" w:hAnsi="Bookman Old Style"/>
                <w:b/>
                <w:sz w:val="18"/>
              </w:rPr>
              <w:t>Train on years ≤</w:t>
            </w:r>
          </w:p>
        </w:tc>
        <w:tc>
          <w:tcPr>
            <w:tcW w:type="dxa" w:w="2351"/>
          </w:tcPr>
          <w:p>
            <w:pPr>
              <w:jc w:val="center"/>
            </w:pPr>
            <w:r>
              <w:rPr>
                <w:rFonts w:ascii="Bookman Old Style" w:hAnsi="Bookman Old Style"/>
                <w:b/>
                <w:sz w:val="18"/>
              </w:rPr>
              <w:t>Test on year</w:t>
            </w:r>
          </w:p>
        </w:tc>
        <w:tc>
          <w:tcPr>
            <w:tcW w:type="dxa" w:w="2351"/>
          </w:tcPr>
          <w:p>
            <w:pPr>
              <w:jc w:val="center"/>
            </w:pPr>
            <w:r>
              <w:rPr>
                <w:rFonts w:ascii="Bookman Old Style" w:hAnsi="Bookman Old Style"/>
                <w:b/>
                <w:sz w:val="18"/>
              </w:rPr>
              <w:t>Purpose</w:t>
            </w:r>
          </w:p>
        </w:tc>
      </w:tr>
      <w:tr>
        <w:tc>
          <w:tcPr>
            <w:tcW w:type="dxa" w:w="2351"/>
          </w:tcPr>
          <w:p>
            <w:r>
              <w:rPr>
                <w:rFonts w:ascii="Bookman Old Style" w:hAnsi="Bookman Old Style"/>
                <w:sz w:val="18"/>
              </w:rPr>
              <w:t>1</w:t>
            </w:r>
          </w:p>
        </w:tc>
        <w:tc>
          <w:tcPr>
            <w:tcW w:type="dxa" w:w="2351"/>
          </w:tcPr>
          <w:p>
            <w:r>
              <w:rPr>
                <w:rFonts w:ascii="Bookman Old Style" w:hAnsi="Bookman Old Style"/>
                <w:sz w:val="18"/>
              </w:rPr>
              <w:t>2018</w:t>
            </w:r>
          </w:p>
        </w:tc>
        <w:tc>
          <w:tcPr>
            <w:tcW w:type="dxa" w:w="2351"/>
          </w:tcPr>
          <w:p>
            <w:r>
              <w:rPr>
                <w:rFonts w:ascii="Bookman Old Style" w:hAnsi="Bookman Old Style"/>
                <w:sz w:val="18"/>
              </w:rPr>
              <w:t>2019</w:t>
            </w:r>
          </w:p>
        </w:tc>
        <w:tc>
          <w:tcPr>
            <w:tcW w:type="dxa" w:w="2351"/>
          </w:tcPr>
          <w:p>
            <w:r>
              <w:rPr>
                <w:rFonts w:ascii="Bookman Old Style" w:hAnsi="Bookman Old Style"/>
                <w:sz w:val="18"/>
              </w:rPr>
              <w:t>Pre-COVID performance: no COVID data in train or test</w:t>
            </w:r>
          </w:p>
        </w:tc>
      </w:tr>
      <w:tr>
        <w:tc>
          <w:tcPr>
            <w:tcW w:type="dxa" w:w="2351"/>
          </w:tcPr>
          <w:p>
            <w:r>
              <w:rPr>
                <w:rFonts w:ascii="Bookman Old Style" w:hAnsi="Bookman Old Style"/>
                <w:sz w:val="18"/>
              </w:rPr>
              <w:t>2</w:t>
            </w:r>
          </w:p>
        </w:tc>
        <w:tc>
          <w:tcPr>
            <w:tcW w:type="dxa" w:w="2351"/>
          </w:tcPr>
          <w:p>
            <w:r>
              <w:rPr>
                <w:rFonts w:ascii="Bookman Old Style" w:hAnsi="Bookman Old Style"/>
                <w:sz w:val="18"/>
              </w:rPr>
              <w:t>2019</w:t>
            </w:r>
          </w:p>
        </w:tc>
        <w:tc>
          <w:tcPr>
            <w:tcW w:type="dxa" w:w="2351"/>
          </w:tcPr>
          <w:p>
            <w:r>
              <w:rPr>
                <w:rFonts w:ascii="Bookman Old Style" w:hAnsi="Bookman Old Style"/>
                <w:sz w:val="18"/>
              </w:rPr>
              <w:t>2023</w:t>
            </w:r>
          </w:p>
        </w:tc>
        <w:tc>
          <w:tcPr>
            <w:tcW w:type="dxa" w:w="2351"/>
          </w:tcPr>
          <w:p>
            <w:r>
              <w:rPr>
                <w:rFonts w:ascii="Bookman Old Style" w:hAnsi="Bookman Old Style"/>
                <w:sz w:val="18"/>
              </w:rPr>
              <w:t>Post-COVID recovery: trains without COVID, tests on first clean post-COVID year</w:t>
            </w:r>
          </w:p>
        </w:tc>
      </w:tr>
      <w:tr>
        <w:tc>
          <w:tcPr>
            <w:tcW w:type="dxa" w:w="2351"/>
          </w:tcPr>
          <w:p>
            <w:r>
              <w:rPr>
                <w:rFonts w:ascii="Bookman Old Style" w:hAnsi="Bookman Old Style"/>
                <w:sz w:val="18"/>
              </w:rPr>
              <w:t>3</w:t>
            </w:r>
          </w:p>
        </w:tc>
        <w:tc>
          <w:tcPr>
            <w:tcW w:type="dxa" w:w="2351"/>
          </w:tcPr>
          <w:p>
            <w:r>
              <w:rPr>
                <w:rFonts w:ascii="Bookman Old Style" w:hAnsi="Bookman Old Style"/>
                <w:sz w:val="18"/>
              </w:rPr>
              <w:t>2023</w:t>
            </w:r>
          </w:p>
        </w:tc>
        <w:tc>
          <w:tcPr>
            <w:tcW w:type="dxa" w:w="2351"/>
          </w:tcPr>
          <w:p>
            <w:r>
              <w:rPr>
                <w:rFonts w:ascii="Bookman Old Style" w:hAnsi="Bookman Old Style"/>
                <w:sz w:val="18"/>
              </w:rPr>
              <w:t>2024</w:t>
            </w:r>
          </w:p>
        </w:tc>
        <w:tc>
          <w:tcPr>
            <w:tcW w:type="dxa" w:w="2351"/>
          </w:tcPr>
          <w:p>
            <w:r>
              <w:rPr>
                <w:rFonts w:ascii="Bookman Old Style" w:hAnsi="Bookman Old Style"/>
                <w:sz w:val="18"/>
              </w:rPr>
              <w:t>Recent performance: includes post-COVID recovery in training</w:t>
            </w:r>
          </w:p>
        </w:tc>
      </w:tr>
      <w:tr>
        <w:tc>
          <w:tcPr>
            <w:tcW w:type="dxa" w:w="2351"/>
          </w:tcPr>
          <w:p>
            <w:r>
              <w:rPr>
                <w:rFonts w:ascii="Bookman Old Style" w:hAnsi="Bookman Old Style"/>
                <w:sz w:val="18"/>
              </w:rPr>
              <w:t>4</w:t>
            </w:r>
          </w:p>
        </w:tc>
        <w:tc>
          <w:tcPr>
            <w:tcW w:type="dxa" w:w="2351"/>
          </w:tcPr>
          <w:p>
            <w:r>
              <w:rPr>
                <w:rFonts w:ascii="Bookman Old Style" w:hAnsi="Bookman Old Style"/>
                <w:sz w:val="18"/>
              </w:rPr>
              <w:t>2024</w:t>
            </w:r>
          </w:p>
        </w:tc>
        <w:tc>
          <w:tcPr>
            <w:tcW w:type="dxa" w:w="2351"/>
          </w:tcPr>
          <w:p>
            <w:r>
              <w:rPr>
                <w:rFonts w:ascii="Bookman Old Style" w:hAnsi="Bookman Old Style"/>
                <w:sz w:val="18"/>
              </w:rPr>
              <w:t>2025</w:t>
            </w:r>
          </w:p>
        </w:tc>
        <w:tc>
          <w:tcPr>
            <w:tcW w:type="dxa" w:w="2351"/>
          </w:tcPr>
          <w:p>
            <w:r>
              <w:rPr>
                <w:rFonts w:ascii="Bookman Old Style" w:hAnsi="Bookman Old Style"/>
                <w:sz w:val="18"/>
              </w:rPr>
              <w:t>Most recent year: maximum training data</w:t>
            </w:r>
          </w:p>
        </w:tc>
      </w:tr>
    </w:tbl>
    <w:p>
      <w:pPr>
        <w:spacing w:before="240" w:line="360" w:lineRule="auto"/>
        <w:jc w:val="both"/>
      </w:pPr>
    </w:p>
    <w:p>
      <w:pPr>
        <w:spacing w:before="240" w:line="360" w:lineRule="auto"/>
        <w:jc w:val="both"/>
      </w:pPr>
      <w:r>
        <w:rPr>
          <w:rFonts w:ascii="Bookman Old Style" w:hAnsi="Bookman Old Style"/>
          <w:color w:val="000000"/>
        </w:rPr>
        <w:t>Note that no fold tests on 2020, 2021, or 2022, COVID years are only ever used as down-weighted training data, never as evaluation targets. This ensures that reported metrics reflect performance on representative, clean data.</w:t>
      </w:r>
    </w:p>
    <w:p>
      <w:pPr>
        <w:spacing w:before="240" w:line="360" w:lineRule="auto"/>
        <w:jc w:val="left"/>
      </w:pPr>
      <w:r>
        <w:rPr>
          <w:rFonts w:ascii="Bookman Old Style" w:hAnsi="Bookman Old Style"/>
          <w:b/>
          <w:color w:val="000000"/>
        </w:rPr>
        <w:t>13.3.11 COVID-Aware Training</w:t>
      </w:r>
    </w:p>
    <w:p>
      <w:pPr>
        <w:spacing w:before="240" w:line="360" w:lineRule="auto"/>
        <w:jc w:val="both"/>
      </w:pPr>
      <w:r>
        <w:rPr>
          <w:rFonts w:ascii="Bookman Old Style" w:hAnsi="Bookman Old Style"/>
          <w:color w:val="000000"/>
        </w:rPr>
        <w:t>Each model handles COVID differently depending on its capabilities: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Bookman Old Style" w:hAnsi="Bookman Old Style"/>
                <w:b/>
                <w:sz w:val="18"/>
              </w:rPr>
              <w:t>Model Type</w:t>
            </w:r>
          </w:p>
        </w:tc>
        <w:tc>
          <w:tcPr>
            <w:tcW w:type="dxa" w:w="3135"/>
          </w:tcPr>
          <w:p>
            <w:pPr>
              <w:jc w:val="center"/>
            </w:pPr>
            <w:r>
              <w:rPr>
                <w:rFonts w:ascii="Bookman Old Style" w:hAnsi="Bookman Old Style"/>
                <w:b/>
                <w:sz w:val="18"/>
              </w:rPr>
              <w:t>COVID Handling</w:t>
            </w:r>
          </w:p>
        </w:tc>
        <w:tc>
          <w:tcPr>
            <w:tcW w:type="dxa" w:w="3135"/>
          </w:tcPr>
          <w:p>
            <w:pPr>
              <w:jc w:val="center"/>
            </w:pPr>
            <w:r>
              <w:rPr>
                <w:rFonts w:ascii="Bookman Old Style" w:hAnsi="Bookman Old Style"/>
                <w:b/>
                <w:sz w:val="18"/>
              </w:rPr>
              <w:t>Rationale</w:t>
            </w:r>
          </w:p>
        </w:tc>
      </w:tr>
      <w:tr>
        <w:tc>
          <w:tcPr>
            <w:tcW w:type="dxa" w:w="3135"/>
          </w:tcPr>
          <w:p>
            <w:r>
              <w:rPr>
                <w:rFonts w:ascii="Bookman Old Style" w:hAnsi="Bookman Old Style"/>
                <w:sz w:val="18"/>
              </w:rPr>
              <w:t>LightGBM, XGBoost</w:t>
            </w:r>
          </w:p>
        </w:tc>
        <w:tc>
          <w:tcPr>
            <w:tcW w:type="dxa" w:w="3135"/>
          </w:tcPr>
          <w:p>
            <w:r>
              <w:rPr>
                <w:rFonts w:ascii="Bookman Old Style" w:hAnsi="Bookman Old Style"/>
                <w:sz w:val="18"/>
              </w:rPr>
              <w:t>COVID years included but</w:t>
              <w:br/>
              <w:t>down-weighted:</w:t>
              <w:br/>
              <w:t>2020 = 0.1, 2021 = 0.2, 2022 = 0.4</w:t>
            </w:r>
          </w:p>
        </w:tc>
        <w:tc>
          <w:tcPr>
            <w:tcW w:type="dxa" w:w="3135"/>
          </w:tcPr>
          <w:p>
            <w:r>
              <w:rPr>
                <w:rFonts w:ascii="Bookman Old Style" w:hAnsi="Bookman Old Style"/>
                <w:sz w:val="18"/>
              </w:rPr>
              <w:t>These models support sample weights. Down-weighting lets them see the disruption pattern without learning it as normal behaviour.</w:t>
            </w:r>
          </w:p>
        </w:tc>
      </w:tr>
      <w:tr>
        <w:tc>
          <w:tcPr>
            <w:tcW w:type="dxa" w:w="3135"/>
          </w:tcPr>
          <w:p>
            <w:r>
              <w:rPr>
                <w:rFonts w:ascii="Bookman Old Style" w:hAnsi="Bookman Old Style"/>
                <w:sz w:val="18"/>
              </w:rPr>
              <w:t>Random Forest,</w:t>
              <w:br/>
              <w:t>Ridge, Lasso, ElasticNet</w:t>
            </w:r>
          </w:p>
        </w:tc>
        <w:tc>
          <w:tcPr>
            <w:tcW w:type="dxa" w:w="3135"/>
          </w:tcPr>
          <w:p>
            <w:r>
              <w:rPr>
                <w:rFonts w:ascii="Bookman Old Style" w:hAnsi="Bookman Old Style"/>
                <w:sz w:val="18"/>
              </w:rPr>
              <w:t>COVID years excluded</w:t>
              <w:br/>
              <w:t>from training entirely</w:t>
            </w:r>
          </w:p>
        </w:tc>
        <w:tc>
          <w:tcPr>
            <w:tcW w:type="dxa" w:w="3135"/>
          </w:tcPr>
          <w:p>
            <w:r>
              <w:rPr>
                <w:rFonts w:ascii="Bookman Old Style" w:hAnsi="Bookman Old Style"/>
                <w:sz w:val="18"/>
              </w:rPr>
              <w:t>These models are more sensitive to outliers or don't support sample weights. Complete exclusion prevents COVID patterns from influencing learned relationships.</w:t>
            </w:r>
          </w:p>
        </w:tc>
      </w:tr>
      <w:tr>
        <w:tc>
          <w:tcPr>
            <w:tcW w:type="dxa" w:w="3135"/>
          </w:tcPr>
          <w:p>
            <w:r>
              <w:rPr>
                <w:rFonts w:ascii="Bookman Old Style" w:hAnsi="Bookman Old Style"/>
                <w:sz w:val="18"/>
              </w:rPr>
              <w:t>Baseline Seasonal Naive</w:t>
            </w:r>
          </w:p>
        </w:tc>
        <w:tc>
          <w:tcPr>
            <w:tcW w:type="dxa" w:w="3135"/>
          </w:tcPr>
          <w:p>
            <w:r>
              <w:rPr>
                <w:rFonts w:ascii="Bookman Old Style" w:hAnsi="Bookman Old Style"/>
                <w:sz w:val="18"/>
              </w:rPr>
              <w:t>No training required</w:t>
            </w:r>
          </w:p>
        </w:tc>
        <w:tc>
          <w:tcPr>
            <w:tcW w:type="dxa" w:w="3135"/>
          </w:tcPr>
          <w:p>
            <w:r>
              <w:rPr>
                <w:rFonts w:ascii="Bookman Old Style" w:hAnsi="Bookman Old Style"/>
                <w:sz w:val="18"/>
              </w:rPr>
              <w:t>Predictions computed directly from lag_12_clean and yoy_growth_clean, which already incorporate COVID-clean substitution.</w:t>
            </w:r>
          </w:p>
        </w:tc>
      </w:tr>
    </w:tbl>
    <w:p>
      <w:pPr>
        <w:spacing w:before="240" w:line="360" w:lineRule="auto"/>
        <w:jc w:val="both"/>
      </w:pPr>
    </w:p>
    <w:p>
      <w:pPr>
        <w:spacing w:before="240" w:line="360" w:lineRule="auto"/>
        <w:jc w:val="left"/>
      </w:pPr>
      <w:r>
        <w:rPr>
          <w:rFonts w:ascii="Bookman Old Style" w:hAnsi="Bookman Old Style"/>
          <w:b/>
          <w:color w:val="000000"/>
        </w:rPr>
        <w:t>13.3.12 Scoring Metrics</w:t>
      </w:r>
    </w:p>
    <w:p>
      <w:pPr>
        <w:spacing w:before="240" w:line="360" w:lineRule="auto"/>
        <w:jc w:val="both"/>
      </w:pPr>
      <w:r>
        <w:rPr>
          <w:rFonts w:ascii="Bookman Old Style" w:hAnsi="Bookman Old Style"/>
          <w:color w:val="000000"/>
        </w:rPr>
        <w:t>Each fold produces four metrics per port-direction pair:</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Bookman Old Style" w:hAnsi="Bookman Old Style"/>
                <w:b/>
                <w:sz w:val="18"/>
              </w:rPr>
              <w:t>Metric</w:t>
            </w:r>
          </w:p>
        </w:tc>
        <w:tc>
          <w:tcPr>
            <w:tcW w:type="dxa" w:w="2351"/>
          </w:tcPr>
          <w:p>
            <w:pPr>
              <w:jc w:val="center"/>
            </w:pPr>
            <w:r>
              <w:rPr>
                <w:rFonts w:ascii="Bookman Old Style" w:hAnsi="Bookman Old Style"/>
                <w:b/>
                <w:sz w:val="18"/>
              </w:rPr>
              <w:t>Formula</w:t>
            </w:r>
          </w:p>
        </w:tc>
        <w:tc>
          <w:tcPr>
            <w:tcW w:type="dxa" w:w="2351"/>
          </w:tcPr>
          <w:p>
            <w:pPr>
              <w:jc w:val="center"/>
            </w:pPr>
            <w:r>
              <w:rPr>
                <w:rFonts w:ascii="Bookman Old Style" w:hAnsi="Bookman Old Style"/>
                <w:b/>
                <w:sz w:val="18"/>
              </w:rPr>
              <w:t>What it measures</w:t>
            </w:r>
          </w:p>
        </w:tc>
        <w:tc>
          <w:tcPr>
            <w:tcW w:type="dxa" w:w="2351"/>
          </w:tcPr>
          <w:p>
            <w:pPr>
              <w:jc w:val="center"/>
            </w:pPr>
            <w:r>
              <w:rPr>
                <w:rFonts w:ascii="Bookman Old Style" w:hAnsi="Bookman Old Style"/>
                <w:b/>
                <w:sz w:val="18"/>
              </w:rPr>
              <w:t>Interpretation</w:t>
            </w:r>
          </w:p>
        </w:tc>
      </w:tr>
      <w:tr>
        <w:tc>
          <w:tcPr>
            <w:tcW w:type="dxa" w:w="2351"/>
          </w:tcPr>
          <w:p>
            <w:r>
              <w:rPr>
                <w:rFonts w:ascii="Bookman Old Style" w:hAnsi="Bookman Old Style"/>
                <w:sz w:val="18"/>
              </w:rPr>
              <w:t>MAE</w:t>
            </w:r>
          </w:p>
        </w:tc>
        <w:tc>
          <w:tcPr>
            <w:tcW w:type="dxa" w:w="2351"/>
          </w:tcPr>
          <w:p>
            <w:r>
              <w:rPr>
                <w:rFonts w:ascii="Bookman Old Style" w:hAnsi="Bookman Old Style"/>
                <w:sz w:val="18"/>
              </w:rPr>
              <w:t>mean(|actual - predicted|)</w:t>
            </w:r>
          </w:p>
        </w:tc>
        <w:tc>
          <w:tcPr>
            <w:tcW w:type="dxa" w:w="2351"/>
          </w:tcPr>
          <w:p>
            <w:r>
              <w:rPr>
                <w:rFonts w:ascii="Bookman Old Style" w:hAnsi="Bookman Old Style"/>
                <w:sz w:val="18"/>
              </w:rPr>
              <w:t>Average absolute error in shipment count units</w:t>
            </w:r>
          </w:p>
        </w:tc>
        <w:tc>
          <w:tcPr>
            <w:tcW w:type="dxa" w:w="2351"/>
          </w:tcPr>
          <w:p>
            <w:r>
              <w:rPr>
                <w:rFonts w:ascii="Bookman Old Style" w:hAnsi="Bookman Old Style"/>
                <w:sz w:val="18"/>
              </w:rPr>
              <w:t>MAE = 200 means predictions are off by 200 shipments on average</w:t>
            </w:r>
          </w:p>
        </w:tc>
      </w:tr>
      <w:tr>
        <w:tc>
          <w:tcPr>
            <w:tcW w:type="dxa" w:w="2351"/>
          </w:tcPr>
          <w:p>
            <w:r>
              <w:rPr>
                <w:rFonts w:ascii="Bookman Old Style" w:hAnsi="Bookman Old Style"/>
                <w:sz w:val="18"/>
              </w:rPr>
              <w:t>RMSE</w:t>
            </w:r>
          </w:p>
        </w:tc>
        <w:tc>
          <w:tcPr>
            <w:tcW w:type="dxa" w:w="2351"/>
          </w:tcPr>
          <w:p>
            <w:r>
              <w:rPr>
                <w:rFonts w:ascii="Bookman Old Style" w:hAnsi="Bookman Old Style"/>
                <w:sz w:val="18"/>
              </w:rPr>
              <w:t>√(mean((actual - predicted)²))</w:t>
            </w:r>
          </w:p>
        </w:tc>
        <w:tc>
          <w:tcPr>
            <w:tcW w:type="dxa" w:w="2351"/>
          </w:tcPr>
          <w:p>
            <w:r>
              <w:rPr>
                <w:rFonts w:ascii="Bookman Old Style" w:hAnsi="Bookman Old Style"/>
                <w:sz w:val="18"/>
              </w:rPr>
              <w:t>Root mean squared error; penalises large errors more than MAE</w:t>
            </w:r>
          </w:p>
        </w:tc>
        <w:tc>
          <w:tcPr>
            <w:tcW w:type="dxa" w:w="2351"/>
          </w:tcPr>
          <w:p>
            <w:r>
              <w:rPr>
                <w:rFonts w:ascii="Bookman Old Style" w:hAnsi="Bookman Old Style"/>
                <w:sz w:val="18"/>
              </w:rPr>
              <w:t>RMSE &gt;&gt; MAE indicates occasional large misses</w:t>
            </w:r>
          </w:p>
        </w:tc>
      </w:tr>
      <w:tr>
        <w:tc>
          <w:tcPr>
            <w:tcW w:type="dxa" w:w="2351"/>
          </w:tcPr>
          <w:p>
            <w:r>
              <w:rPr>
                <w:rFonts w:ascii="Bookman Old Style" w:hAnsi="Bookman Old Style"/>
                <w:sz w:val="18"/>
              </w:rPr>
              <w:t>MAPE</w:t>
            </w:r>
          </w:p>
        </w:tc>
        <w:tc>
          <w:tcPr>
            <w:tcW w:type="dxa" w:w="2351"/>
          </w:tcPr>
          <w:p>
            <w:r>
              <w:rPr>
                <w:rFonts w:ascii="Bookman Old Style" w:hAnsi="Bookman Old Style"/>
                <w:sz w:val="18"/>
              </w:rPr>
              <w:t>mean(|actual - predicted| / actual) × 100</w:t>
            </w:r>
          </w:p>
        </w:tc>
        <w:tc>
          <w:tcPr>
            <w:tcW w:type="dxa" w:w="2351"/>
          </w:tcPr>
          <w:p>
            <w:r>
              <w:rPr>
                <w:rFonts w:ascii="Bookman Old Style" w:hAnsi="Bookman Old Style"/>
                <w:sz w:val="18"/>
              </w:rPr>
              <w:t>Average percentage error (used for MODEL SELECTION)</w:t>
            </w:r>
          </w:p>
        </w:tc>
        <w:tc>
          <w:tcPr>
            <w:tcW w:type="dxa" w:w="2351"/>
          </w:tcPr>
          <w:p>
            <w:r>
              <w:rPr>
                <w:rFonts w:ascii="Bookman Old Style" w:hAnsi="Bookman Old Style"/>
                <w:sz w:val="18"/>
              </w:rPr>
              <w:t>MAPE = 15% means predictions are typically 15% off. Unreliable when actual values are near zero.</w:t>
            </w:r>
          </w:p>
        </w:tc>
      </w:tr>
      <w:tr>
        <w:tc>
          <w:tcPr>
            <w:tcW w:type="dxa" w:w="2351"/>
          </w:tcPr>
          <w:p>
            <w:r>
              <w:rPr>
                <w:rFonts w:ascii="Bookman Old Style" w:hAnsi="Bookman Old Style"/>
                <w:sz w:val="18"/>
              </w:rPr>
              <w:t>R²</w:t>
            </w:r>
          </w:p>
        </w:tc>
        <w:tc>
          <w:tcPr>
            <w:tcW w:type="dxa" w:w="2351"/>
          </w:tcPr>
          <w:p>
            <w:r>
              <w:rPr>
                <w:rFonts w:ascii="Bookman Old Style" w:hAnsi="Bookman Old Style"/>
                <w:sz w:val="18"/>
              </w:rPr>
              <w:t>1 - SS_res / SS_tot</w:t>
            </w:r>
          </w:p>
        </w:tc>
        <w:tc>
          <w:tcPr>
            <w:tcW w:type="dxa" w:w="2351"/>
          </w:tcPr>
          <w:p>
            <w:r>
              <w:rPr>
                <w:rFonts w:ascii="Bookman Old Style" w:hAnsi="Bookman Old Style"/>
                <w:sz w:val="18"/>
              </w:rPr>
              <w:t>Proportion of variance explained (used for MODEL QUALITY)</w:t>
            </w:r>
          </w:p>
        </w:tc>
        <w:tc>
          <w:tcPr>
            <w:tcW w:type="dxa" w:w="2351"/>
          </w:tcPr>
          <w:p>
            <w:r>
              <w:rPr>
                <w:rFonts w:ascii="Bookman Old Style" w:hAnsi="Bookman Old Style"/>
                <w:sz w:val="18"/>
              </w:rPr>
              <w:t>R² = 0.90 means the model explains 90% of the variation. R² &lt; 0 means worse than predicting the average.</w:t>
            </w:r>
          </w:p>
        </w:tc>
      </w:tr>
    </w:tbl>
    <w:p>
      <w:pPr>
        <w:spacing w:before="240" w:line="360" w:lineRule="auto"/>
        <w:jc w:val="both"/>
      </w:pPr>
    </w:p>
    <w:p>
      <w:pPr>
        <w:spacing w:before="240" w:line="360" w:lineRule="auto"/>
        <w:jc w:val="both"/>
      </w:pPr>
      <w:r>
        <w:rPr>
          <w:rFonts w:ascii="Bookman Old Style" w:hAnsi="Bookman Old Style"/>
          <w:b/>
          <w:color w:val="000000"/>
          <w:sz w:val="20"/>
        </w:rPr>
        <w:t>Where the R² components are:</w:t>
      </w:r>
    </w:p>
    <w:p>
      <w:pPr>
        <w:spacing w:after="40" w:before="240" w:line="360" w:lineRule="auto"/>
        <w:ind w:left="567"/>
        <w:jc w:val="both"/>
      </w:pPr>
      <w:r>
        <w:rPr>
          <w:rFonts w:ascii="Bookman Old Style" w:hAnsi="Bookman Old Style"/>
          <w:color w:val="000000"/>
          <w:sz w:val="18"/>
        </w:rPr>
        <w:t>SS_res = sum of (actual - predicted)²    (residual sum of squares)</w:t>
      </w:r>
    </w:p>
    <w:p>
      <w:pPr>
        <w:spacing w:after="40" w:before="240" w:line="360" w:lineRule="auto"/>
        <w:ind w:left="567"/>
        <w:jc w:val="both"/>
      </w:pPr>
      <w:r>
        <w:rPr>
          <w:rFonts w:ascii="Bookman Old Style" w:hAnsi="Bookman Old Style"/>
          <w:color w:val="000000"/>
          <w:sz w:val="18"/>
        </w:rPr>
        <w:t>SS_tot = sum of (actual - mean(actual))²  (total sum of squares)</w:t>
      </w:r>
    </w:p>
    <w:p>
      <w:pPr>
        <w:spacing w:after="40" w:before="240" w:line="360" w:lineRule="auto"/>
        <w:ind w:left="567"/>
        <w:jc w:val="both"/>
      </w:pPr>
      <w:r>
        <w:rPr>
          <w:rFonts w:ascii="Bookman Old Style" w:hAnsi="Bookman Old Style"/>
          <w:color w:val="000000"/>
          <w:sz w:val="18"/>
        </w:rPr>
      </w:r>
    </w:p>
    <w:p>
      <w:pPr>
        <w:spacing w:after="40" w:before="240" w:line="360" w:lineRule="auto"/>
        <w:ind w:left="567"/>
        <w:jc w:val="both"/>
      </w:pPr>
      <w:r>
        <w:rPr>
          <w:rFonts w:ascii="Bookman Old Style" w:hAnsi="Bookman Old Style"/>
          <w:color w:val="000000"/>
          <w:sz w:val="18"/>
        </w:rPr>
        <w:t>R² = 1 means perfect predictions</w:t>
      </w:r>
    </w:p>
    <w:p>
      <w:pPr>
        <w:spacing w:after="40" w:before="240" w:line="360" w:lineRule="auto"/>
        <w:ind w:left="567"/>
        <w:jc w:val="both"/>
      </w:pPr>
      <w:r>
        <w:rPr>
          <w:rFonts w:ascii="Bookman Old Style" w:hAnsi="Bookman Old Style"/>
          <w:color w:val="000000"/>
          <w:sz w:val="18"/>
        </w:rPr>
        <w:t>R² = 0 means no better than predicting the historical average</w:t>
      </w:r>
    </w:p>
    <w:p>
      <w:pPr>
        <w:spacing w:after="40" w:before="240" w:line="360" w:lineRule="auto"/>
        <w:ind w:left="567"/>
        <w:jc w:val="both"/>
      </w:pPr>
      <w:r>
        <w:rPr>
          <w:rFonts w:ascii="Bookman Old Style" w:hAnsi="Bookman Old Style"/>
          <w:color w:val="000000"/>
          <w:sz w:val="18"/>
        </w:rPr>
        <w:t>R² &lt; 0 means worse than predicting the historical average</w:t>
      </w:r>
    </w:p>
    <w:p>
      <w:pPr>
        <w:spacing w:before="240" w:line="360" w:lineRule="auto"/>
        <w:jc w:val="left"/>
      </w:pPr>
      <w:r>
        <w:rPr>
          <w:rFonts w:ascii="Bookman Old Style" w:hAnsi="Bookman Old Style"/>
          <w:b/>
          <w:color w:val="000000"/>
        </w:rPr>
        <w:t>13.3.13 Hybrid Model Selection</w:t>
      </w:r>
    </w:p>
    <w:p>
      <w:pPr>
        <w:spacing w:before="240" w:line="360" w:lineRule="auto"/>
        <w:jc w:val="both"/>
      </w:pPr>
      <w:r>
        <w:rPr>
          <w:rFonts w:ascii="Bookman Old Style" w:hAnsi="Bookman Old Style"/>
          <w:color w:val="000000"/>
        </w:rPr>
        <w:t>The fourth step implements the hybrid selection strategy described in Chapter 12. For each port-direction pair, the average MAPE across all four CV folds is computed for every model. Then: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Bookman Old Style" w:hAnsi="Bookman Old Style"/>
                <w:b/>
                <w:sz w:val="18"/>
              </w:rPr>
              <w:t>Port Category</w:t>
            </w:r>
          </w:p>
        </w:tc>
        <w:tc>
          <w:tcPr>
            <w:tcW w:type="dxa" w:w="2351"/>
          </w:tcPr>
          <w:p>
            <w:pPr>
              <w:jc w:val="center"/>
            </w:pPr>
            <w:r>
              <w:rPr>
                <w:rFonts w:ascii="Bookman Old Style" w:hAnsi="Bookman Old Style"/>
                <w:b/>
                <w:sz w:val="18"/>
              </w:rPr>
              <w:t>Criterion</w:t>
            </w:r>
          </w:p>
        </w:tc>
        <w:tc>
          <w:tcPr>
            <w:tcW w:type="dxa" w:w="2351"/>
          </w:tcPr>
          <w:p>
            <w:pPr>
              <w:jc w:val="center"/>
            </w:pPr>
            <w:r>
              <w:rPr>
                <w:rFonts w:ascii="Bookman Old Style" w:hAnsi="Bookman Old Style"/>
                <w:b/>
                <w:sz w:val="18"/>
              </w:rPr>
              <w:t>Selected Model</w:t>
            </w:r>
          </w:p>
        </w:tc>
        <w:tc>
          <w:tcPr>
            <w:tcW w:type="dxa" w:w="2351"/>
          </w:tcPr>
          <w:p>
            <w:pPr>
              <w:jc w:val="center"/>
            </w:pPr>
            <w:r>
              <w:rPr>
                <w:rFonts w:ascii="Bookman Old Style" w:hAnsi="Bookman Old Style"/>
                <w:b/>
                <w:sz w:val="18"/>
              </w:rPr>
              <w:t>Rationale</w:t>
            </w:r>
          </w:p>
        </w:tc>
      </w:tr>
      <w:tr>
        <w:tc>
          <w:tcPr>
            <w:tcW w:type="dxa" w:w="2351"/>
          </w:tcPr>
          <w:p>
            <w:r>
              <w:rPr>
                <w:rFonts w:ascii="Bookman Old Style" w:hAnsi="Bookman Old Style"/>
                <w:sz w:val="18"/>
              </w:rPr>
              <w:t>High-volume ports</w:t>
            </w:r>
          </w:p>
        </w:tc>
        <w:tc>
          <w:tcPr>
            <w:tcW w:type="dxa" w:w="2351"/>
          </w:tcPr>
          <w:p>
            <w:r>
              <w:rPr>
                <w:rFonts w:ascii="Bookman Old Style" w:hAnsi="Bookman Old Style"/>
                <w:sz w:val="18"/>
              </w:rPr>
              <w:t>Average ≥ 500 shipments/month</w:t>
            </w:r>
          </w:p>
        </w:tc>
        <w:tc>
          <w:tcPr>
            <w:tcW w:type="dxa" w:w="2351"/>
          </w:tcPr>
          <w:p>
            <w:r>
              <w:rPr>
                <w:rFonts w:ascii="Bookman Old Style" w:hAnsi="Bookman Old Style"/>
                <w:sz w:val="18"/>
              </w:rPr>
              <w:t>Baseline Seasonal Naive (always)</w:t>
            </w:r>
          </w:p>
        </w:tc>
        <w:tc>
          <w:tcPr>
            <w:tcW w:type="dxa" w:w="2351"/>
          </w:tcPr>
          <w:p>
            <w:r>
              <w:rPr>
                <w:rFonts w:ascii="Bookman Old Style" w:hAnsi="Bookman Old Style"/>
                <w:sz w:val="18"/>
              </w:rPr>
              <w:t>At this scale, seasonal patterns are so consistent that ML models tend to overfit to short-term noise rather than improve on the well-calibrated seasonal rule.</w:t>
            </w:r>
          </w:p>
        </w:tc>
      </w:tr>
      <w:tr>
        <w:tc>
          <w:tcPr>
            <w:tcW w:type="dxa" w:w="2351"/>
          </w:tcPr>
          <w:p>
            <w:r>
              <w:rPr>
                <w:rFonts w:ascii="Bookman Old Style" w:hAnsi="Bookman Old Style"/>
                <w:sz w:val="18"/>
              </w:rPr>
              <w:t>All other ports</w:t>
            </w:r>
          </w:p>
        </w:tc>
        <w:tc>
          <w:tcPr>
            <w:tcW w:type="dxa" w:w="2351"/>
          </w:tcPr>
          <w:p>
            <w:r>
              <w:rPr>
                <w:rFonts w:ascii="Bookman Old Style" w:hAnsi="Bookman Old Style"/>
                <w:sz w:val="18"/>
              </w:rPr>
              <w:t>Average &lt; 500 shipments/month</w:t>
            </w:r>
          </w:p>
        </w:tc>
        <w:tc>
          <w:tcPr>
            <w:tcW w:type="dxa" w:w="2351"/>
          </w:tcPr>
          <w:p>
            <w:r>
              <w:rPr>
                <w:rFonts w:ascii="Bookman Old Style" w:hAnsi="Bookman Old Style"/>
                <w:sz w:val="18"/>
              </w:rPr>
              <w:t>Whichever model has the lowest average CV MAPE</w:t>
            </w:r>
          </w:p>
        </w:tc>
        <w:tc>
          <w:tcPr>
            <w:tcW w:type="dxa" w:w="2351"/>
          </w:tcPr>
          <w:p>
            <w:r>
              <w:rPr>
                <w:rFonts w:ascii="Bookman Old Style" w:hAnsi="Bookman Old Style"/>
                <w:sz w:val="18"/>
              </w:rPr>
              <w:t>Smaller ports have irregular patterns that benefit from the flexibility of ML models to detect non-linear relationships.</w:t>
            </w:r>
          </w:p>
        </w:tc>
      </w:tr>
    </w:tbl>
    <w:p>
      <w:pPr>
        <w:spacing w:before="240" w:line="360" w:lineRule="auto"/>
        <w:jc w:val="both"/>
      </w:pPr>
    </w:p>
    <w:p>
      <w:pPr>
        <w:spacing w:before="240" w:line="360" w:lineRule="auto"/>
        <w:jc w:val="both"/>
      </w:pPr>
      <w:r>
        <w:rPr>
          <w:rFonts w:ascii="Bookman Old Style" w:hAnsi="Bookman Old Style"/>
          <w:b/>
          <w:color w:val="000000"/>
          <w:sz w:val="20"/>
        </w:rPr>
        <w:t>The Baseline Seasonal Naive prediction formula:</w:t>
      </w:r>
    </w:p>
    <w:p>
      <w:pPr>
        <w:spacing w:after="40" w:before="240" w:line="360" w:lineRule="auto"/>
        <w:ind w:left="567"/>
        <w:jc w:val="both"/>
      </w:pPr>
      <w:r>
        <w:rPr>
          <w:rFonts w:ascii="Bookman Old Style" w:hAnsi="Bookman Old Style"/>
          <w:color w:val="000000"/>
          <w:sz w:val="18"/>
        </w:rPr>
        <w:t>predicted = lag_12_clean × (1 + clamp(yoy_growth_clean, -0.20, +0.20))</w:t>
      </w:r>
    </w:p>
    <w:p>
      <w:pPr>
        <w:spacing w:after="40" w:before="240" w:line="360" w:lineRule="auto"/>
        <w:ind w:left="567"/>
        <w:jc w:val="both"/>
      </w:pPr>
      <w:r>
        <w:rPr>
          <w:rFonts w:ascii="Bookman Old Style" w:hAnsi="Bookman Old Style"/>
          <w:color w:val="000000"/>
          <w:sz w:val="18"/>
        </w:rPr>
      </w:r>
    </w:p>
    <w:p>
      <w:pPr>
        <w:spacing w:after="40" w:before="240" w:line="360" w:lineRule="auto"/>
        <w:ind w:left="567"/>
        <w:jc w:val="both"/>
      </w:pPr>
      <w:r>
        <w:rPr>
          <w:rFonts w:ascii="Bookman Old Style" w:hAnsi="Bookman Old Style"/>
          <w:color w:val="000000"/>
          <w:sz w:val="18"/>
        </w:rPr>
        <w:t>Where:</w:t>
      </w:r>
    </w:p>
    <w:p>
      <w:pPr>
        <w:spacing w:after="40" w:before="240" w:line="360" w:lineRule="auto"/>
        <w:ind w:left="567"/>
        <w:jc w:val="both"/>
      </w:pPr>
      <w:r>
        <w:rPr>
          <w:rFonts w:ascii="Bookman Old Style" w:hAnsi="Bookman Old Style"/>
          <w:color w:val="000000"/>
          <w:sz w:val="18"/>
        </w:rPr>
        <w:t xml:space="preserve">  lag_12_clean      = same month last clean year's shipment count</w:t>
      </w:r>
    </w:p>
    <w:p>
      <w:pPr>
        <w:spacing w:after="40" w:before="240" w:line="360" w:lineRule="auto"/>
        <w:ind w:left="567"/>
        <w:jc w:val="both"/>
      </w:pPr>
      <w:r>
        <w:rPr>
          <w:rFonts w:ascii="Bookman Old Style" w:hAnsi="Bookman Old Style"/>
          <w:color w:val="000000"/>
          <w:sz w:val="18"/>
        </w:rPr>
        <w:t xml:space="preserve">  yoy_growth_clean  = year-on-year growth rate computed from clean years</w:t>
      </w:r>
    </w:p>
    <w:p>
      <w:pPr>
        <w:spacing w:after="40" w:before="240" w:line="360" w:lineRule="auto"/>
        <w:ind w:left="567"/>
        <w:jc w:val="both"/>
      </w:pPr>
      <w:r>
        <w:rPr>
          <w:rFonts w:ascii="Bookman Old Style" w:hAnsi="Bookman Old Style"/>
          <w:color w:val="000000"/>
          <w:sz w:val="18"/>
        </w:rPr>
        <w:t xml:space="preserve">  clamp(-0.20, +0.20) = growth is capped at ±20% to prevent</w:t>
      </w:r>
    </w:p>
    <w:p>
      <w:pPr>
        <w:spacing w:after="40" w:before="240" w:line="360" w:lineRule="auto"/>
        <w:ind w:left="567"/>
        <w:jc w:val="both"/>
      </w:pPr>
      <w:r>
        <w:rPr>
          <w:rFonts w:ascii="Bookman Old Style" w:hAnsi="Bookman Old Style"/>
          <w:color w:val="000000"/>
          <w:sz w:val="18"/>
        </w:rPr>
        <w:t xml:space="preserve">                         extreme extrapolation from outlier months</w:t>
      </w:r>
    </w:p>
    <w:p>
      <w:pPr>
        <w:spacing w:after="40" w:before="240" w:line="360" w:lineRule="auto"/>
        <w:ind w:left="567"/>
        <w:jc w:val="both"/>
      </w:pPr>
      <w:r>
        <w:rPr>
          <w:rFonts w:ascii="Bookman Old Style" w:hAnsi="Bookman Old Style"/>
          <w:color w:val="000000"/>
          <w:sz w:val="18"/>
        </w:rPr>
      </w:r>
    </w:p>
    <w:p>
      <w:pPr>
        <w:spacing w:after="40" w:before="240" w:line="360" w:lineRule="auto"/>
        <w:ind w:left="567"/>
        <w:jc w:val="both"/>
      </w:pPr>
      <w:r>
        <w:rPr>
          <w:rFonts w:ascii="Bookman Old Style" w:hAnsi="Bookman Old Style"/>
          <w:color w:val="000000"/>
          <w:sz w:val="18"/>
        </w:rPr>
        <w:t>In plain terms: 'this month will look like the same month last year,</w:t>
      </w:r>
    </w:p>
    <w:p>
      <w:pPr>
        <w:spacing w:after="40" w:before="240" w:line="360" w:lineRule="auto"/>
        <w:ind w:left="567"/>
        <w:jc w:val="both"/>
      </w:pPr>
      <w:r>
        <w:rPr>
          <w:rFonts w:ascii="Bookman Old Style" w:hAnsi="Bookman Old Style"/>
          <w:color w:val="000000"/>
          <w:sz w:val="18"/>
        </w:rPr>
        <w:t>adjusted by the recent growth trend, but never more than 20% up or down.'</w:t>
      </w:r>
    </w:p>
    <w:p>
      <w:pPr>
        <w:spacing w:before="240" w:line="360" w:lineRule="auto"/>
        <w:jc w:val="left"/>
      </w:pPr>
      <w:r>
        <w:rPr>
          <w:rFonts w:ascii="Bookman Old Style" w:hAnsi="Bookman Old Style"/>
          <w:b/>
          <w:color w:val="000000"/>
        </w:rPr>
        <w:t>13.3.14 Recursive 2026 Forecasting</w:t>
      </w:r>
    </w:p>
    <w:p>
      <w:pPr>
        <w:spacing w:before="240" w:line="360" w:lineRule="auto"/>
        <w:jc w:val="both"/>
      </w:pPr>
      <w:r>
        <w:rPr>
          <w:rFonts w:ascii="Bookman Old Style" w:hAnsi="Bookman Old Style"/>
          <w:color w:val="000000"/>
        </w:rPr>
        <w:t>The final step generates the 12-month forecast for each eligible port-direction pair using the model selected in step 04.4. The forecasting loop follows a recursive multi-step strategy: each monthly prediction is appended to the historical seed data and used to compute lag features for the next month.</w:t>
      </w:r>
    </w:p>
    <w:p>
      <w:pPr>
        <w:spacing w:before="240" w:line="360" w:lineRule="auto"/>
        <w:jc w:val="both"/>
      </w:pPr>
      <w:r>
        <w:rPr>
          <w:rFonts w:ascii="Bookman Old Style" w:hAnsi="Bookman Old Style"/>
          <w:color w:val="000000"/>
        </w:rPr>
        <w:t>The process for each port-direction pair:</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Bookman Old Style" w:hAnsi="Bookman Old Style"/>
                <w:b/>
                <w:sz w:val="18"/>
              </w:rPr>
              <w:t>Step</w:t>
            </w:r>
          </w:p>
        </w:tc>
        <w:tc>
          <w:tcPr>
            <w:tcW w:type="dxa" w:w="3135"/>
          </w:tcPr>
          <w:p>
            <w:pPr>
              <w:jc w:val="center"/>
            </w:pPr>
            <w:r>
              <w:rPr>
                <w:rFonts w:ascii="Bookman Old Style" w:hAnsi="Bookman Old Style"/>
                <w:b/>
                <w:sz w:val="18"/>
              </w:rPr>
              <w:t>Action</w:t>
            </w:r>
          </w:p>
        </w:tc>
        <w:tc>
          <w:tcPr>
            <w:tcW w:type="dxa" w:w="3135"/>
          </w:tcPr>
          <w:p>
            <w:pPr>
              <w:jc w:val="center"/>
            </w:pPr>
            <w:r>
              <w:rPr>
                <w:rFonts w:ascii="Bookman Old Style" w:hAnsi="Bookman Old Style"/>
                <w:b/>
                <w:sz w:val="18"/>
              </w:rPr>
              <w:t>Detail</w:t>
            </w:r>
          </w:p>
        </w:tc>
      </w:tr>
      <w:tr>
        <w:tc>
          <w:tcPr>
            <w:tcW w:type="dxa" w:w="3135"/>
          </w:tcPr>
          <w:p>
            <w:r>
              <w:rPr>
                <w:rFonts w:ascii="Bookman Old Style" w:hAnsi="Bookman Old Style"/>
                <w:sz w:val="18"/>
              </w:rPr>
              <w:t>1</w:t>
            </w:r>
          </w:p>
        </w:tc>
        <w:tc>
          <w:tcPr>
            <w:tcW w:type="dxa" w:w="3135"/>
          </w:tcPr>
          <w:p>
            <w:r>
              <w:rPr>
                <w:rFonts w:ascii="Bookman Old Style" w:hAnsi="Bookman Old Style"/>
                <w:sz w:val="18"/>
              </w:rPr>
              <w:t>Train the selected model</w:t>
            </w:r>
          </w:p>
        </w:tc>
        <w:tc>
          <w:tcPr>
            <w:tcW w:type="dxa" w:w="3135"/>
          </w:tcPr>
          <w:p>
            <w:r>
              <w:rPr>
                <w:rFonts w:ascii="Bookman Old Style" w:hAnsi="Bookman Old Style"/>
                <w:sz w:val="18"/>
              </w:rPr>
              <w:t>Uses all available data through 2025</w:t>
            </w:r>
          </w:p>
        </w:tc>
      </w:tr>
      <w:tr>
        <w:tc>
          <w:tcPr>
            <w:tcW w:type="dxa" w:w="3135"/>
          </w:tcPr>
          <w:p>
            <w:r>
              <w:rPr>
                <w:rFonts w:ascii="Bookman Old Style" w:hAnsi="Bookman Old Style"/>
                <w:sz w:val="18"/>
              </w:rPr>
              <w:t>2</w:t>
            </w:r>
          </w:p>
        </w:tc>
        <w:tc>
          <w:tcPr>
            <w:tcW w:type="dxa" w:w="3135"/>
          </w:tcPr>
          <w:p>
            <w:r>
              <w:rPr>
                <w:rFonts w:ascii="Bookman Old Style" w:hAnsi="Bookman Old Style"/>
                <w:sz w:val="18"/>
              </w:rPr>
              <w:t>Initialise seed window</w:t>
            </w:r>
          </w:p>
        </w:tc>
        <w:tc>
          <w:tcPr>
            <w:tcW w:type="dxa" w:w="3135"/>
          </w:tcPr>
          <w:p>
            <w:r>
              <w:rPr>
                <w:rFonts w:ascii="Bookman Old Style" w:hAnsi="Bookman Old Style"/>
                <w:sz w:val="18"/>
              </w:rPr>
              <w:t>Most recent 24 months of actual data</w:t>
            </w:r>
          </w:p>
        </w:tc>
      </w:tr>
      <w:tr>
        <w:tc>
          <w:tcPr>
            <w:tcW w:type="dxa" w:w="3135"/>
          </w:tcPr>
          <w:p>
            <w:r>
              <w:rPr>
                <w:rFonts w:ascii="Bookman Old Style" w:hAnsi="Bookman Old Style"/>
                <w:sz w:val="18"/>
              </w:rPr>
              <w:t>3a</w:t>
            </w:r>
          </w:p>
        </w:tc>
        <w:tc>
          <w:tcPr>
            <w:tcW w:type="dxa" w:w="3135"/>
          </w:tcPr>
          <w:p>
            <w:r>
              <w:rPr>
                <w:rFonts w:ascii="Bookman Old Style" w:hAnsi="Bookman Old Style"/>
                <w:sz w:val="18"/>
              </w:rPr>
              <w:t>Build feature row for next month</w:t>
            </w:r>
          </w:p>
        </w:tc>
        <w:tc>
          <w:tcPr>
            <w:tcW w:type="dxa" w:w="3135"/>
          </w:tcPr>
          <w:p>
            <w:r>
              <w:rPr>
                <w:rFonts w:ascii="Bookman Old Style" w:hAnsi="Bookman Old Style"/>
                <w:sz w:val="18"/>
              </w:rPr>
              <w:t>lag_1/2/3 from recent predictions or actuals;</w:t>
              <w:br/>
              <w:t>lag_12_clean from same month in 2025;</w:t>
              <w:br/>
              <w:t>rolling means recomputed from seed;</w:t>
              <w:br/>
              <w:t>yoy_growth_clean = median of clean years, clamped to [−0.15, +0.15];</w:t>
              <w:br/>
              <w:t>stable features (diversity, cargo ratios) = mean of clean years;</w:t>
              <w:br/>
              <w:t>temporal encodings computed from target month</w:t>
            </w:r>
          </w:p>
        </w:tc>
      </w:tr>
      <w:tr>
        <w:tc>
          <w:tcPr>
            <w:tcW w:type="dxa" w:w="3135"/>
          </w:tcPr>
          <w:p>
            <w:r>
              <w:rPr>
                <w:rFonts w:ascii="Bookman Old Style" w:hAnsi="Bookman Old Style"/>
                <w:sz w:val="18"/>
              </w:rPr>
              <w:t>3b</w:t>
            </w:r>
          </w:p>
        </w:tc>
        <w:tc>
          <w:tcPr>
            <w:tcW w:type="dxa" w:w="3135"/>
          </w:tcPr>
          <w:p>
            <w:r>
              <w:rPr>
                <w:rFonts w:ascii="Bookman Old Style" w:hAnsi="Bookman Old Style"/>
                <w:sz w:val="18"/>
              </w:rPr>
              <w:t>Predict shipment_count</w:t>
            </w:r>
          </w:p>
        </w:tc>
        <w:tc>
          <w:tcPr>
            <w:tcW w:type="dxa" w:w="3135"/>
          </w:tcPr>
          <w:p>
            <w:r>
              <w:rPr>
                <w:rFonts w:ascii="Bookman Old Style" w:hAnsi="Bookman Old Style"/>
                <w:sz w:val="18"/>
              </w:rPr>
              <w:t>Apply trained model to the feature row;</w:t>
              <w:br/>
              <w:t>floor at 1.0 (a port cannot have zero predicted activity)</w:t>
            </w:r>
          </w:p>
        </w:tc>
      </w:tr>
      <w:tr>
        <w:tc>
          <w:tcPr>
            <w:tcW w:type="dxa" w:w="3135"/>
          </w:tcPr>
          <w:p>
            <w:r>
              <w:rPr>
                <w:rFonts w:ascii="Bookman Old Style" w:hAnsi="Bookman Old Style"/>
                <w:sz w:val="18"/>
              </w:rPr>
              <w:t>3c</w:t>
            </w:r>
          </w:p>
        </w:tc>
        <w:tc>
          <w:tcPr>
            <w:tcW w:type="dxa" w:w="3135"/>
          </w:tcPr>
          <w:p>
            <w:r>
              <w:rPr>
                <w:rFonts w:ascii="Bookman Old Style" w:hAnsi="Bookman Old Style"/>
                <w:sz w:val="18"/>
              </w:rPr>
              <w:t>Append prediction to seed</w:t>
            </w:r>
          </w:p>
        </w:tc>
        <w:tc>
          <w:tcPr>
            <w:tcW w:type="dxa" w:w="3135"/>
          </w:tcPr>
          <w:p>
            <w:r>
              <w:rPr>
                <w:rFonts w:ascii="Bookman Old Style" w:hAnsi="Bookman Old Style"/>
                <w:sz w:val="18"/>
              </w:rPr>
              <w:t>The prediction becomes part of the history for the next month's lag calculation</w:t>
            </w:r>
          </w:p>
        </w:tc>
      </w:tr>
      <w:tr>
        <w:tc>
          <w:tcPr>
            <w:tcW w:type="dxa" w:w="3135"/>
          </w:tcPr>
          <w:p>
            <w:r>
              <w:rPr>
                <w:rFonts w:ascii="Bookman Old Style" w:hAnsi="Bookman Old Style"/>
                <w:sz w:val="18"/>
              </w:rPr>
              <w:t>4</w:t>
            </w:r>
          </w:p>
        </w:tc>
        <w:tc>
          <w:tcPr>
            <w:tcW w:type="dxa" w:w="3135"/>
          </w:tcPr>
          <w:p>
            <w:r>
              <w:rPr>
                <w:rFonts w:ascii="Bookman Old Style" w:hAnsi="Bookman Old Style"/>
                <w:sz w:val="18"/>
              </w:rPr>
              <w:t>Repeat steps 3a–3c</w:t>
            </w:r>
          </w:p>
        </w:tc>
        <w:tc>
          <w:tcPr>
            <w:tcW w:type="dxa" w:w="3135"/>
          </w:tcPr>
          <w:p>
            <w:r>
              <w:rPr>
                <w:rFonts w:ascii="Bookman Old Style" w:hAnsi="Bookman Old Style"/>
                <w:sz w:val="18"/>
              </w:rPr>
              <w:t>For all 12 months (January–December 2026)</w:t>
            </w:r>
          </w:p>
        </w:tc>
      </w:tr>
    </w:tbl>
    <w:p>
      <w:pPr>
        <w:spacing w:before="240" w:line="360" w:lineRule="auto"/>
        <w:jc w:val="both"/>
      </w:pPr>
    </w:p>
    <w:p>
      <w:pPr>
        <w:spacing w:before="240" w:line="360" w:lineRule="auto"/>
        <w:jc w:val="both"/>
      </w:pPr>
      <w:r>
        <w:rPr>
          <w:rFonts w:ascii="Bookman Old Style" w:hAnsi="Bookman Old Style"/>
          <w:b/>
          <w:color w:val="000000"/>
          <w:sz w:val="20"/>
        </w:rPr>
        <w:t>Why clamp yoy_growth_clean to [−0.15, +0.15] during forecasting?</w:t>
      </w:r>
    </w:p>
    <w:p>
      <w:pPr>
        <w:spacing w:after="40" w:before="240" w:line="360" w:lineRule="auto"/>
        <w:ind w:left="567"/>
        <w:jc w:val="both"/>
      </w:pPr>
      <w:r>
        <w:rPr>
          <w:rFonts w:ascii="Bookman Old Style" w:hAnsi="Bookman Old Style"/>
          <w:color w:val="000000"/>
          <w:sz w:val="18"/>
        </w:rPr>
        <w:t>During cross-validation, the growth rate is observed from actual data.</w:t>
      </w:r>
    </w:p>
    <w:p>
      <w:pPr>
        <w:spacing w:after="40" w:before="240" w:line="360" w:lineRule="auto"/>
        <w:ind w:left="567"/>
        <w:jc w:val="both"/>
      </w:pPr>
      <w:r>
        <w:rPr>
          <w:rFonts w:ascii="Bookman Old Style" w:hAnsi="Bookman Old Style"/>
          <w:color w:val="000000"/>
          <w:sz w:val="18"/>
        </w:rPr>
        <w:t>During forecasting, we are projecting into unknown territory.</w:t>
      </w:r>
    </w:p>
    <w:p>
      <w:pPr>
        <w:spacing w:after="40" w:before="240" w:line="360" w:lineRule="auto"/>
        <w:ind w:left="567"/>
        <w:jc w:val="both"/>
      </w:pPr>
      <w:r>
        <w:rPr>
          <w:rFonts w:ascii="Bookman Old Style" w:hAnsi="Bookman Old Style"/>
          <w:color w:val="000000"/>
          <w:sz w:val="18"/>
        </w:rPr>
        <w:t>An unclamped growth rate could cause runaway predictions:</w:t>
      </w:r>
    </w:p>
    <w:p>
      <w:pPr>
        <w:spacing w:after="40" w:before="240" w:line="360" w:lineRule="auto"/>
        <w:ind w:left="567"/>
        <w:jc w:val="both"/>
      </w:pPr>
      <w:r>
        <w:rPr>
          <w:rFonts w:ascii="Bookman Old Style" w:hAnsi="Bookman Old Style"/>
          <w:color w:val="000000"/>
          <w:sz w:val="18"/>
        </w:rPr>
        <w:t xml:space="preserve">  If growth = +0.30 (30%), after 12 recursive months:</w:t>
      </w:r>
    </w:p>
    <w:p>
      <w:pPr>
        <w:spacing w:after="40" w:before="240" w:line="360" w:lineRule="auto"/>
        <w:ind w:left="567"/>
        <w:jc w:val="both"/>
      </w:pPr>
      <w:r>
        <w:rPr>
          <w:rFonts w:ascii="Bookman Old Style" w:hAnsi="Bookman Old Style"/>
          <w:color w:val="000000"/>
          <w:sz w:val="18"/>
        </w:rPr>
        <w:t xml:space="preserve">  final prediction = start × 1.30^12 = 23× the starting value!</w:t>
      </w:r>
    </w:p>
    <w:p>
      <w:pPr>
        <w:spacing w:after="40" w:before="240" w:line="360" w:lineRule="auto"/>
        <w:ind w:left="567"/>
        <w:jc w:val="both"/>
      </w:pPr>
      <w:r>
        <w:rPr>
          <w:rFonts w:ascii="Bookman Old Style" w:hAnsi="Bookman Old Style"/>
          <w:color w:val="000000"/>
          <w:sz w:val="18"/>
        </w:rPr>
      </w:r>
    </w:p>
    <w:p>
      <w:pPr>
        <w:spacing w:after="40" w:before="240" w:line="360" w:lineRule="auto"/>
        <w:ind w:left="567"/>
        <w:jc w:val="both"/>
      </w:pPr>
      <w:r>
        <w:rPr>
          <w:rFonts w:ascii="Bookman Old Style" w:hAnsi="Bookman Old Style"/>
          <w:color w:val="000000"/>
          <w:sz w:val="18"/>
        </w:rPr>
        <w:t>Clamping to ±15% keeps the forecast within plausible bounds</w:t>
      </w:r>
    </w:p>
    <w:p>
      <w:pPr>
        <w:spacing w:after="40" w:before="240" w:line="360" w:lineRule="auto"/>
        <w:ind w:left="567"/>
        <w:jc w:val="both"/>
      </w:pPr>
      <w:r>
        <w:rPr>
          <w:rFonts w:ascii="Bookman Old Style" w:hAnsi="Bookman Old Style"/>
          <w:color w:val="000000"/>
          <w:sz w:val="18"/>
        </w:rPr>
        <w:t>while still allowing it to reflect moderate trends.</w:t>
      </w:r>
    </w:p>
    <w:p>
      <w:pPr>
        <w:spacing w:before="240" w:line="360" w:lineRule="auto"/>
        <w:jc w:val="left"/>
      </w:pPr>
      <w:r>
        <w:rPr>
          <w:rFonts w:ascii="Bookman Old Style" w:hAnsi="Bookman Old Style"/>
          <w:b/>
          <w:color w:val="000000"/>
        </w:rPr>
        <w:t>13.4 Commodity ML Pipeline</w:t>
      </w:r>
    </w:p>
    <w:p>
      <w:pPr>
        <w:spacing w:before="240" w:line="360" w:lineRule="auto"/>
        <w:jc w:val="both"/>
      </w:pPr>
      <w:r>
        <w:rPr>
          <w:rFonts w:ascii="Bookman Old Style" w:hAnsi="Bookman Old Style"/>
          <w:color w:val="000000"/>
        </w:rPr>
        <w:t>The commodity pipeline mirrors the five-step architecture of the port congestion pipeline but operates at a finer granularity: HS2 commodity chapter × port × direction. Where the port pipeline answers "how busy will San Antonio be in March 2026?", the commodity pipeline answers "how many fresh fruit shipments (HS2 chapter 08) will pass through Valparaiso in January 2026?"</w:t>
      </w:r>
    </w:p>
    <w:p>
      <w:pPr>
        <w:spacing w:before="240" w:line="360" w:lineRule="auto"/>
        <w:jc w:val="both"/>
      </w:pPr>
      <w:r>
        <w:rPr>
          <w:rFonts w:ascii="Bookman Old Style" w:hAnsi="Bookman Old Style"/>
          <w:color w:val="000000"/>
        </w:rPr>
        <w:t>This level of detail is essential for the platform's value proposition. A congestion warning that says "Valparaiso will be busy in January" is useful but generic. A warning that says "Valparaiso will be busy in January because fresh fruit exports (HS2 08) will peak at 4,200 shipments while copper (HS2 26) adds another 800" is actionable, the fruit exporter knows the congestion is driven by their own commodity and can plan accordingly.</w:t>
      </w:r>
    </w:p>
    <w:p>
      <w:pPr>
        <w:spacing w:before="240" w:line="360" w:lineRule="auto"/>
        <w:jc w:val="both"/>
      </w:pPr>
      <w:r>
        <w:rPr>
          <w:rFonts w:ascii="Bookman Old Style" w:hAnsi="Bookman Old Style"/>
          <w:color w:val="000000"/>
        </w:rPr>
        <w:t>The pipeline is implemented in 05_ml_commodity.py, launched via 05_ml_commodity.sh with the same credential-fetching pattern.</w:t>
      </w:r>
    </w:p>
    <w:p>
      <w:pPr>
        <w:spacing w:before="240" w:line="360" w:lineRule="auto"/>
        <w:jc w:val="left"/>
      </w:pPr>
      <w:r>
        <w:rPr>
          <w:rFonts w:ascii="Bookman Old Style" w:hAnsi="Bookman Old Style"/>
          <w:b/>
          <w:color w:val="000000"/>
        </w:rPr>
        <w:t>13.4.1 Key Differences from the Port Pipeline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Bookman Old Style" w:hAnsi="Bookman Old Style"/>
                <w:b/>
                <w:sz w:val="18"/>
              </w:rPr>
              <w:t>Aspect</w:t>
            </w:r>
          </w:p>
        </w:tc>
        <w:tc>
          <w:tcPr>
            <w:tcW w:type="dxa" w:w="3135"/>
          </w:tcPr>
          <w:p>
            <w:pPr>
              <w:jc w:val="center"/>
            </w:pPr>
            <w:r>
              <w:rPr>
                <w:rFonts w:ascii="Bookman Old Style" w:hAnsi="Bookman Old Style"/>
                <w:b/>
                <w:sz w:val="18"/>
              </w:rPr>
              <w:t>Port Pipeline (04)</w:t>
            </w:r>
          </w:p>
        </w:tc>
        <w:tc>
          <w:tcPr>
            <w:tcW w:type="dxa" w:w="3135"/>
          </w:tcPr>
          <w:p>
            <w:pPr>
              <w:jc w:val="center"/>
            </w:pPr>
            <w:r>
              <w:rPr>
                <w:rFonts w:ascii="Bookman Old Style" w:hAnsi="Bookman Old Style"/>
                <w:b/>
                <w:sz w:val="18"/>
              </w:rPr>
              <w:t>Commodity Pipeline (05)</w:t>
            </w:r>
          </w:p>
        </w:tc>
      </w:tr>
      <w:tr>
        <w:tc>
          <w:tcPr>
            <w:tcW w:type="dxa" w:w="3135"/>
          </w:tcPr>
          <w:p>
            <w:r>
              <w:rPr>
                <w:rFonts w:ascii="Bookman Old Style" w:hAnsi="Bookman Old Style"/>
                <w:sz w:val="18"/>
              </w:rPr>
              <w:t>Granularity</w:t>
            </w:r>
          </w:p>
        </w:tc>
        <w:tc>
          <w:tcPr>
            <w:tcW w:type="dxa" w:w="3135"/>
          </w:tcPr>
          <w:p>
            <w:r>
              <w:rPr>
                <w:rFonts w:ascii="Bookman Old Style" w:hAnsi="Bookman Old Style"/>
                <w:sz w:val="18"/>
              </w:rPr>
              <w:t>Port × direction</w:t>
            </w:r>
          </w:p>
        </w:tc>
        <w:tc>
          <w:tcPr>
            <w:tcW w:type="dxa" w:w="3135"/>
          </w:tcPr>
          <w:p>
            <w:r>
              <w:rPr>
                <w:rFonts w:ascii="Bookman Old Style" w:hAnsi="Bookman Old Style"/>
                <w:sz w:val="18"/>
              </w:rPr>
              <w:t>HS2 × port × direction</w:t>
            </w:r>
          </w:p>
        </w:tc>
      </w:tr>
      <w:tr>
        <w:tc>
          <w:tcPr>
            <w:tcW w:type="dxa" w:w="3135"/>
          </w:tcPr>
          <w:p>
            <w:r>
              <w:rPr>
                <w:rFonts w:ascii="Bookman Old Style" w:hAnsi="Bookman Old Style"/>
                <w:sz w:val="18"/>
              </w:rPr>
              <w:t>Aggregation grouping</w:t>
            </w:r>
          </w:p>
        </w:tc>
        <w:tc>
          <w:tcPr>
            <w:tcW w:type="dxa" w:w="3135"/>
          </w:tcPr>
          <w:p>
            <w:r>
              <w:rPr>
                <w:rFonts w:ascii="Bookman Old Style" w:hAnsi="Bookman Old Style"/>
                <w:sz w:val="18"/>
              </w:rPr>
              <w:t>port, direction, year, month</w:t>
            </w:r>
          </w:p>
        </w:tc>
        <w:tc>
          <w:tcPr>
            <w:tcW w:type="dxa" w:w="3135"/>
          </w:tcPr>
          <w:p>
            <w:r>
              <w:rPr>
                <w:rFonts w:ascii="Bookman Old Style" w:hAnsi="Bookman Old Style"/>
                <w:sz w:val="18"/>
              </w:rPr>
              <w:t>hs2, port, direction, year, month</w:t>
            </w:r>
          </w:p>
        </w:tc>
      </w:tr>
      <w:tr>
        <w:tc>
          <w:tcPr>
            <w:tcW w:type="dxa" w:w="3135"/>
          </w:tcPr>
          <w:p>
            <w:r>
              <w:rPr>
                <w:rFonts w:ascii="Bookman Old Style" w:hAnsi="Bookman Old Style"/>
                <w:sz w:val="18"/>
              </w:rPr>
              <w:t>Feature count</w:t>
            </w:r>
          </w:p>
        </w:tc>
        <w:tc>
          <w:tcPr>
            <w:tcW w:type="dxa" w:w="3135"/>
          </w:tcPr>
          <w:p>
            <w:r>
              <w:rPr>
                <w:rFonts w:ascii="Bookman Old Style" w:hAnsi="Bookman Old Style"/>
                <w:sz w:val="18"/>
              </w:rPr>
              <w:t>26 (FEATURE_COLS)</w:t>
            </w:r>
          </w:p>
        </w:tc>
        <w:tc>
          <w:tcPr>
            <w:tcW w:type="dxa" w:w="3135"/>
          </w:tcPr>
          <w:p>
            <w:r>
              <w:rPr>
                <w:rFonts w:ascii="Bookman Old Style" w:hAnsi="Bookman Old Style"/>
                <w:sz w:val="18"/>
              </w:rPr>
              <w:t>21 (COMMODITY_FEATURES)</w:t>
            </w:r>
          </w:p>
        </w:tc>
      </w:tr>
      <w:tr>
        <w:tc>
          <w:tcPr>
            <w:tcW w:type="dxa" w:w="3135"/>
          </w:tcPr>
          <w:p>
            <w:r>
              <w:rPr>
                <w:rFonts w:ascii="Bookman Old Style" w:hAnsi="Bookman Old Style"/>
                <w:sz w:val="18"/>
              </w:rPr>
              <w:t>Features excluded</w:t>
            </w:r>
          </w:p>
        </w:tc>
        <w:tc>
          <w:tcPr>
            <w:tcW w:type="dxa" w:w="3135"/>
          </w:tcPr>
          <w:p>
            <w:r>
              <w:rPr>
                <w:rFonts w:ascii="Bookman Old Style" w:hAnsi="Bookman Old Style"/>
                <w:sz w:val="18"/>
              </w:rPr>
              <w:t>Min-max norms (leaky)</w:t>
            </w:r>
          </w:p>
        </w:tc>
        <w:tc>
          <w:tcPr>
            <w:tcW w:type="dxa" w:w="3135"/>
          </w:tcPr>
          <w:p>
            <w:r>
              <w:rPr>
                <w:rFonts w:ascii="Bookman Old Style" w:hAnsi="Bookman Old Style"/>
                <w:sz w:val="18"/>
              </w:rPr>
              <w:t>Min-max norms + diversity metrics + cargo ratios</w:t>
            </w:r>
          </w:p>
        </w:tc>
      </w:tr>
      <w:tr>
        <w:tc>
          <w:tcPr>
            <w:tcW w:type="dxa" w:w="3135"/>
          </w:tcPr>
          <w:p>
            <w:r>
              <w:rPr>
                <w:rFonts w:ascii="Bookman Old Style" w:hAnsi="Bookman Old Style"/>
                <w:sz w:val="18"/>
              </w:rPr>
              <w:t>Congestion index</w:t>
            </w:r>
          </w:p>
        </w:tc>
        <w:tc>
          <w:tcPr>
            <w:tcW w:type="dxa" w:w="3135"/>
          </w:tcPr>
          <w:p>
            <w:r>
              <w:rPr>
                <w:rFonts w:ascii="Bookman Old Style" w:hAnsi="Bookman Old Style"/>
                <w:sz w:val="18"/>
              </w:rPr>
              <w:t>Computed (weighted composite)</w:t>
            </w:r>
          </w:p>
        </w:tc>
        <w:tc>
          <w:tcPr>
            <w:tcW w:type="dxa" w:w="3135"/>
          </w:tcPr>
          <w:p>
            <w:r>
              <w:rPr>
                <w:rFonts w:ascii="Bookman Old Style" w:hAnsi="Bookman Old Style"/>
                <w:sz w:val="18"/>
              </w:rPr>
              <w:t>Not computed (port-level indicator only)</w:t>
            </w:r>
          </w:p>
        </w:tc>
      </w:tr>
      <w:tr>
        <w:tc>
          <w:tcPr>
            <w:tcW w:type="dxa" w:w="3135"/>
          </w:tcPr>
          <w:p>
            <w:r>
              <w:rPr>
                <w:rFonts w:ascii="Bookman Old Style" w:hAnsi="Bookman Old Style"/>
                <w:sz w:val="18"/>
              </w:rPr>
              <w:t>Minimum history</w:t>
            </w:r>
          </w:p>
        </w:tc>
        <w:tc>
          <w:tcPr>
            <w:tcW w:type="dxa" w:w="3135"/>
          </w:tcPr>
          <w:p>
            <w:r>
              <w:rPr>
                <w:rFonts w:ascii="Bookman Old Style" w:hAnsi="Bookman Old Style"/>
                <w:sz w:val="18"/>
              </w:rPr>
              <w:t>36 months</w:t>
            </w:r>
          </w:p>
        </w:tc>
        <w:tc>
          <w:tcPr>
            <w:tcW w:type="dxa" w:w="3135"/>
          </w:tcPr>
          <w:p>
            <w:r>
              <w:rPr>
                <w:rFonts w:ascii="Bookman Old Style" w:hAnsi="Bookman Old Style"/>
                <w:sz w:val="18"/>
              </w:rPr>
              <w:t>36 months</w:t>
            </w:r>
          </w:p>
        </w:tc>
      </w:tr>
      <w:tr>
        <w:tc>
          <w:tcPr>
            <w:tcW w:type="dxa" w:w="3135"/>
          </w:tcPr>
          <w:p>
            <w:r>
              <w:rPr>
                <w:rFonts w:ascii="Bookman Old Style" w:hAnsi="Bookman Old Style"/>
                <w:sz w:val="18"/>
              </w:rPr>
              <w:t>Model selection</w:t>
            </w:r>
          </w:p>
        </w:tc>
        <w:tc>
          <w:tcPr>
            <w:tcW w:type="dxa" w:w="3135"/>
          </w:tcPr>
          <w:p>
            <w:r>
              <w:rPr>
                <w:rFonts w:ascii="Bookman Old Style" w:hAnsi="Bookman Old Style"/>
                <w:sz w:val="18"/>
              </w:rPr>
              <w:t>Hybrid (volume threshold at 500)</w:t>
            </w:r>
          </w:p>
        </w:tc>
        <w:tc>
          <w:tcPr>
            <w:tcW w:type="dxa" w:w="3135"/>
          </w:tcPr>
          <w:p>
            <w:r>
              <w:rPr>
                <w:rFonts w:ascii="Bookman Old Style" w:hAnsi="Bookman Old Style"/>
                <w:sz w:val="18"/>
              </w:rPr>
              <w:t>Pure best model (no override)</w:t>
            </w:r>
          </w:p>
        </w:tc>
      </w:tr>
      <w:tr>
        <w:tc>
          <w:tcPr>
            <w:tcW w:type="dxa" w:w="3135"/>
          </w:tcPr>
          <w:p>
            <w:r>
              <w:rPr>
                <w:rFonts w:ascii="Bookman Old Style" w:hAnsi="Bookman Old Style"/>
                <w:sz w:val="18"/>
              </w:rPr>
              <w:t>Forecast filter</w:t>
            </w:r>
          </w:p>
        </w:tc>
        <w:tc>
          <w:tcPr>
            <w:tcW w:type="dxa" w:w="3135"/>
          </w:tcPr>
          <w:p>
            <w:r>
              <w:rPr>
                <w:rFonts w:ascii="Bookman Old Style" w:hAnsi="Bookman Old Style"/>
                <w:sz w:val="18"/>
              </w:rPr>
              <w:t>All eligible pairs</w:t>
            </w:r>
          </w:p>
        </w:tc>
        <w:tc>
          <w:tcPr>
            <w:tcW w:type="dxa" w:w="3135"/>
          </w:tcPr>
          <w:p>
            <w:r>
              <w:rPr>
                <w:rFonts w:ascii="Bookman Old Style" w:hAnsi="Bookman Old Style"/>
                <w:sz w:val="18"/>
              </w:rPr>
              <w:t>Only combos active in 2024+</w:t>
            </w:r>
          </w:p>
        </w:tc>
      </w:tr>
      <w:tr>
        <w:tc>
          <w:tcPr>
            <w:tcW w:type="dxa" w:w="3135"/>
          </w:tcPr>
          <w:p>
            <w:r>
              <w:rPr>
                <w:rFonts w:ascii="Bookman Old Style" w:hAnsi="Bookman Old Style"/>
                <w:sz w:val="18"/>
              </w:rPr>
              <w:t>Typical eligible combos</w:t>
            </w:r>
          </w:p>
        </w:tc>
        <w:tc>
          <w:tcPr>
            <w:tcW w:type="dxa" w:w="3135"/>
          </w:tcPr>
          <w:p>
            <w:r>
              <w:rPr>
                <w:rFonts w:ascii="Bookman Old Style" w:hAnsi="Bookman Old Style"/>
                <w:sz w:val="18"/>
              </w:rPr>
              <w:t>~60 port-direction pairs</w:t>
            </w:r>
          </w:p>
        </w:tc>
        <w:tc>
          <w:tcPr>
            <w:tcW w:type="dxa" w:w="3135"/>
          </w:tcPr>
          <w:p>
            <w:r>
              <w:rPr>
                <w:rFonts w:ascii="Bookman Old Style" w:hAnsi="Bookman Old Style"/>
                <w:sz w:val="18"/>
              </w:rPr>
              <w:t>~1,500 HS2 × port × direction combos</w:t>
            </w:r>
          </w:p>
        </w:tc>
      </w:tr>
      <w:tr>
        <w:tc>
          <w:tcPr>
            <w:tcW w:type="dxa" w:w="3135"/>
          </w:tcPr>
          <w:p>
            <w:r>
              <w:rPr>
                <w:rFonts w:ascii="Bookman Old Style" w:hAnsi="Bookman Old Style"/>
                <w:sz w:val="18"/>
              </w:rPr>
              <w:t>Safety guards</w:t>
            </w:r>
          </w:p>
        </w:tc>
        <w:tc>
          <w:tcPr>
            <w:tcW w:type="dxa" w:w="3135"/>
          </w:tcPr>
          <w:p>
            <w:r>
              <w:rPr>
                <w:rFonts w:ascii="Bookman Old Style" w:hAnsi="Bookman Old Style"/>
                <w:sz w:val="18"/>
              </w:rPr>
              <w:t>Standard</w:t>
            </w:r>
          </w:p>
        </w:tc>
        <w:tc>
          <w:tcPr>
            <w:tcW w:type="dxa" w:w="3135"/>
          </w:tcPr>
          <w:p>
            <w:r>
              <w:rPr>
                <w:rFonts w:ascii="Bookman Old Style" w:hAnsi="Bookman Old Style"/>
                <w:sz w:val="18"/>
              </w:rPr>
              <w:t>Fallback splits for small series</w:t>
            </w:r>
          </w:p>
        </w:tc>
      </w:tr>
    </w:tbl>
    <w:p>
      <w:pPr>
        <w:spacing w:before="240" w:line="360" w:lineRule="auto"/>
        <w:jc w:val="both"/>
      </w:pPr>
    </w:p>
    <w:p>
      <w:pPr>
        <w:spacing w:before="240" w:line="360" w:lineRule="auto"/>
        <w:jc w:val="left"/>
      </w:pPr>
      <w:r>
        <w:rPr>
          <w:rFonts w:ascii="Bookman Old Style" w:hAnsi="Bookman Old Style"/>
          <w:b/>
          <w:color w:val="000000"/>
        </w:rPr>
        <w:t>13.4.2 Reduced Feature Set</w:t>
      </w:r>
    </w:p>
    <w:p>
      <w:pPr>
        <w:spacing w:before="240" w:line="360" w:lineRule="auto"/>
        <w:jc w:val="both"/>
      </w:pPr>
      <w:r>
        <w:rPr>
          <w:rFonts w:ascii="Bookman Old Style" w:hAnsi="Bookman Old Style"/>
          <w:color w:val="000000"/>
        </w:rPr>
        <w:t>The commodity pipeline uses 21 features instead of 26. The excluded features are:</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rFonts w:ascii="Bookman Old Style" w:hAnsi="Bookman Old Style"/>
                <w:b/>
                <w:sz w:val="18"/>
              </w:rPr>
              <w:t>Excluded Feature</w:t>
            </w:r>
          </w:p>
        </w:tc>
        <w:tc>
          <w:tcPr>
            <w:tcW w:type="dxa" w:w="4703"/>
          </w:tcPr>
          <w:p>
            <w:pPr>
              <w:jc w:val="center"/>
            </w:pPr>
            <w:r>
              <w:rPr>
                <w:rFonts w:ascii="Bookman Old Style" w:hAnsi="Bookman Old Style"/>
                <w:b/>
                <w:sz w:val="18"/>
              </w:rPr>
              <w:t>Why excluded at commodity level</w:t>
            </w:r>
          </w:p>
        </w:tc>
      </w:tr>
      <w:tr>
        <w:tc>
          <w:tcPr>
            <w:tcW w:type="dxa" w:w="4703"/>
          </w:tcPr>
          <w:p>
            <w:r>
              <w:rPr>
                <w:rFonts w:ascii="Bookman Old Style" w:hAnsi="Bookman Old Style"/>
                <w:sz w:val="18"/>
              </w:rPr>
              <w:t>pct_general, pct_bulk,</w:t>
              <w:br/>
              <w:t>pct_refrigerated, pct_container</w:t>
            </w:r>
          </w:p>
        </w:tc>
        <w:tc>
          <w:tcPr>
            <w:tcW w:type="dxa" w:w="4703"/>
          </w:tcPr>
          <w:p>
            <w:r>
              <w:rPr>
                <w:rFonts w:ascii="Bookman Old Style" w:hAnsi="Bookman Old Style"/>
                <w:sz w:val="18"/>
              </w:rPr>
              <w:t>At the HS2 level, the cargo type is largely determined by the commodity itself, fresh fruit is always refrigerated, copper is always bulk. These features are near-constant within each series and therefore uninformative.</w:t>
            </w:r>
          </w:p>
        </w:tc>
      </w:tr>
      <w:tr>
        <w:tc>
          <w:tcPr>
            <w:tcW w:type="dxa" w:w="4703"/>
          </w:tcPr>
          <w:p>
            <w:r>
              <w:rPr>
                <w:rFonts w:ascii="Bookman Old Style" w:hAnsi="Bookman Old Style"/>
                <w:sz w:val="18"/>
              </w:rPr>
              <w:t>commodity_diversity,</w:t>
              <w:br/>
              <w:t>hs4_diversity,</w:t>
              <w:br/>
              <w:t>country_diversity,</w:t>
              <w:br/>
              <w:t>continent_diversity</w:t>
            </w:r>
          </w:p>
        </w:tc>
        <w:tc>
          <w:tcPr>
            <w:tcW w:type="dxa" w:w="4703"/>
          </w:tcPr>
          <w:p>
            <w:r>
              <w:rPr>
                <w:rFonts w:ascii="Bookman Old Style" w:hAnsi="Bookman Old Style"/>
                <w:sz w:val="18"/>
              </w:rPr>
              <w:t>These are port-level features that measure how many different things pass through a port. Within a single HS2 × port combination, they do not vary meaningfully.</w:t>
            </w:r>
          </w:p>
        </w:tc>
      </w:tr>
      <w:tr>
        <w:tc>
          <w:tcPr>
            <w:tcW w:type="dxa" w:w="4703"/>
          </w:tcPr>
          <w:p>
            <w:r>
              <w:rPr>
                <w:rFonts w:ascii="Bookman Old Style" w:hAnsi="Bookman Old Style"/>
                <w:sz w:val="18"/>
              </w:rPr>
              <w:t>congestion_index</w:t>
            </w:r>
          </w:p>
        </w:tc>
        <w:tc>
          <w:tcPr>
            <w:tcW w:type="dxa" w:w="4703"/>
          </w:tcPr>
          <w:p>
            <w:r>
              <w:rPr>
                <w:rFonts w:ascii="Bookman Old Style" w:hAnsi="Bookman Old Style"/>
                <w:sz w:val="18"/>
              </w:rPr>
              <w:t>This is a port-level descriptive indicator, not a commodity-level feature.</w:t>
            </w:r>
          </w:p>
        </w:tc>
      </w:tr>
    </w:tbl>
    <w:p>
      <w:pPr>
        <w:spacing w:before="240" w:line="360" w:lineRule="auto"/>
        <w:jc w:val="both"/>
      </w:pPr>
    </w:p>
    <w:p>
      <w:pPr>
        <w:spacing w:before="240" w:line="360" w:lineRule="auto"/>
        <w:jc w:val="left"/>
      </w:pPr>
      <w:r>
        <w:rPr>
          <w:rFonts w:ascii="Bookman Old Style" w:hAnsi="Bookman Old Style"/>
          <w:b/>
          <w:color w:val="000000"/>
        </w:rPr>
        <w:t>13.4.3 Pure Model Selection Without Volume Override</w:t>
      </w:r>
    </w:p>
    <w:p>
      <w:pPr>
        <w:spacing w:before="240" w:line="360" w:lineRule="auto"/>
        <w:jc w:val="both"/>
      </w:pPr>
      <w:r>
        <w:rPr>
          <w:rFonts w:ascii="Bookman Old Style" w:hAnsi="Bookman Old Style"/>
          <w:color w:val="000000"/>
        </w:rPr>
        <w:t>Unlike the port pipeline, no volume-threshold override is applied. Even at high-volume ports, individual commodity flows exhibit seasonal profiles far more irregular than the aggregate, fresh grapes through Valparaiso spike dramatically from December to March then drop to near zero for nine months. The Baseline Seasonal Naive model, which works well for the smooth aggregate, performs poorly on these peaked distributions. Every HS2 × port × direction combination is therefore assigned its pure best model by lowest CV MAPE.</w:t>
      </w:r>
    </w:p>
    <w:p>
      <w:pPr>
        <w:spacing w:before="240" w:line="360" w:lineRule="auto"/>
        <w:jc w:val="left"/>
      </w:pPr>
      <w:r>
        <w:rPr>
          <w:rFonts w:ascii="Bookman Old Style" w:hAnsi="Bookman Old Style"/>
          <w:b/>
          <w:color w:val="000000"/>
        </w:rPr>
        <w:t>13.4.4 Safety Guards for Small Series</w:t>
      </w:r>
    </w:p>
    <w:p>
      <w:pPr>
        <w:spacing w:before="240" w:line="360" w:lineRule="auto"/>
        <w:jc w:val="both"/>
      </w:pPr>
      <w:r>
        <w:rPr>
          <w:rFonts w:ascii="Bookman Old Style" w:hAnsi="Bookman Old Style"/>
          <w:color w:val="000000"/>
        </w:rPr>
        <w:t>Because the commodity pipeline operates on ~1,500 combinations, many with sparse data, additional guards prevent training failures: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Bookman Old Style" w:hAnsi="Bookman Old Style"/>
                <w:b/>
                <w:sz w:val="18"/>
              </w:rPr>
              <w:t>Model</w:t>
            </w:r>
          </w:p>
        </w:tc>
        <w:tc>
          <w:tcPr>
            <w:tcW w:type="dxa" w:w="3135"/>
          </w:tcPr>
          <w:p>
            <w:pPr>
              <w:jc w:val="center"/>
            </w:pPr>
            <w:r>
              <w:rPr>
                <w:rFonts w:ascii="Bookman Old Style" w:hAnsi="Bookman Old Style"/>
                <w:b/>
                <w:sz w:val="18"/>
              </w:rPr>
              <w:t>Guard</w:t>
            </w:r>
          </w:p>
        </w:tc>
        <w:tc>
          <w:tcPr>
            <w:tcW w:type="dxa" w:w="3135"/>
          </w:tcPr>
          <w:p>
            <w:pPr>
              <w:jc w:val="center"/>
            </w:pPr>
            <w:r>
              <w:rPr>
                <w:rFonts w:ascii="Bookman Old Style" w:hAnsi="Bookman Old Style"/>
                <w:b/>
                <w:sz w:val="18"/>
              </w:rPr>
              <w:t>When it triggers</w:t>
            </w:r>
          </w:p>
        </w:tc>
      </w:tr>
      <w:tr>
        <w:tc>
          <w:tcPr>
            <w:tcW w:type="dxa" w:w="3135"/>
          </w:tcPr>
          <w:p>
            <w:r>
              <w:rPr>
                <w:rFonts w:ascii="Bookman Old Style" w:hAnsi="Bookman Old Style"/>
                <w:sz w:val="18"/>
              </w:rPr>
              <w:t>LightGBM, XGBoost</w:t>
            </w:r>
          </w:p>
        </w:tc>
        <w:tc>
          <w:tcPr>
            <w:tcW w:type="dxa" w:w="3135"/>
          </w:tcPr>
          <w:p>
            <w:r>
              <w:rPr>
                <w:rFonts w:ascii="Bookman Old Style" w:hAnsi="Bookman Old Style"/>
                <w:sz w:val="18"/>
              </w:rPr>
              <w:t>Fallback to smaller train/val split</w:t>
            </w:r>
          </w:p>
        </w:tc>
        <w:tc>
          <w:tcPr>
            <w:tcW w:type="dxa" w:w="3135"/>
          </w:tcPr>
          <w:p>
            <w:r>
              <w:rPr>
                <w:rFonts w:ascii="Bookman Old Style" w:hAnsi="Bookman Old Style"/>
                <w:sz w:val="18"/>
              </w:rPr>
              <w:t>When fewer than 12 clean-year training rows are available after excluding COVID years</w:t>
            </w:r>
          </w:p>
        </w:tc>
      </w:tr>
      <w:tr>
        <w:tc>
          <w:tcPr>
            <w:tcW w:type="dxa" w:w="3135"/>
          </w:tcPr>
          <w:p>
            <w:r>
              <w:rPr>
                <w:rFonts w:ascii="Bookman Old Style" w:hAnsi="Bookman Old Style"/>
                <w:sz w:val="18"/>
              </w:rPr>
              <w:t>Random Forest, Ridge,</w:t>
              <w:br/>
              <w:t>Lasso, ElasticNet</w:t>
            </w:r>
          </w:p>
        </w:tc>
        <w:tc>
          <w:tcPr>
            <w:tcW w:type="dxa" w:w="3135"/>
          </w:tcPr>
          <w:p>
            <w:r>
              <w:rPr>
                <w:rFonts w:ascii="Bookman Old Style" w:hAnsi="Bookman Old Style"/>
                <w:sz w:val="18"/>
              </w:rPr>
              <w:t>Fallback to full dataset</w:t>
              <w:br/>
              <w:t>(including COVID years)</w:t>
            </w:r>
          </w:p>
        </w:tc>
        <w:tc>
          <w:tcPr>
            <w:tcW w:type="dxa" w:w="3135"/>
          </w:tcPr>
          <w:p>
            <w:r>
              <w:rPr>
                <w:rFonts w:ascii="Bookman Old Style" w:hAnsi="Bookman Old Style"/>
                <w:sz w:val="18"/>
              </w:rPr>
              <w:t>When excluding COVID would leave fewer than 12 training rows</w:t>
            </w:r>
          </w:p>
        </w:tc>
      </w:tr>
    </w:tbl>
    <w:p>
      <w:pPr>
        <w:spacing w:before="240" w:line="360" w:lineRule="auto"/>
        <w:jc w:val="both"/>
      </w:pPr>
    </w:p>
    <w:p>
      <w:pPr>
        <w:spacing w:before="240" w:line="360" w:lineRule="auto"/>
        <w:jc w:val="left"/>
      </w:pPr>
      <w:r>
        <w:rPr>
          <w:rFonts w:ascii="Bookman Old Style" w:hAnsi="Bookman Old Style"/>
          <w:b/>
          <w:color w:val="000000"/>
        </w:rPr>
        <w:t>13.4.5 Activity Filter</w:t>
      </w:r>
    </w:p>
    <w:p>
      <w:pPr>
        <w:spacing w:before="240" w:line="360" w:lineRule="auto"/>
        <w:jc w:val="both"/>
      </w:pPr>
      <w:r>
        <w:rPr>
          <w:rFonts w:ascii="Bookman Old Style" w:hAnsi="Bookman Old Style"/>
          <w:color w:val="000000"/>
        </w:rPr>
        <w:t>Only combinations that recorded at least one shipment in 2024 or later are included in the 2026 forecast. This filter prevents the pipeline from generating forecasts for commodity flows that may have permanently ceased, a trade route that was active in 2010 but has not recorded a shipment in over a decade would produce meaningless predictions.</w:t>
      </w:r>
    </w:p>
    <w:p>
      <w:pPr>
        <w:spacing w:before="240" w:line="360" w:lineRule="auto"/>
        <w:jc w:val="left"/>
      </w:pPr>
      <w:r>
        <w:rPr>
          <w:rFonts w:ascii="Bookman Old Style" w:hAnsi="Bookman Old Style"/>
          <w:b/>
          <w:color w:val="000000"/>
        </w:rPr>
        <w:t>13.5 Output Tables Summary</w:t>
      </w:r>
    </w:p>
    <w:p>
      <w:pPr>
        <w:spacing w:before="240" w:line="360" w:lineRule="auto"/>
        <w:jc w:val="both"/>
      </w:pPr>
      <w:r>
        <w:rPr>
          <w:rFonts w:ascii="Bookman Old Style" w:hAnsi="Bookman Old Style"/>
          <w:color w:val="000000"/>
        </w:rPr>
        <w:t>The complete ML pipeline produces ten tables in the ml schema:</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Bookman Old Style" w:hAnsi="Bookman Old Style"/>
                <w:b/>
                <w:sz w:val="18"/>
              </w:rPr>
              <w:t>Table</w:t>
            </w:r>
          </w:p>
        </w:tc>
        <w:tc>
          <w:tcPr>
            <w:tcW w:type="dxa" w:w="1881"/>
          </w:tcPr>
          <w:p>
            <w:pPr>
              <w:jc w:val="center"/>
            </w:pPr>
            <w:r>
              <w:rPr>
                <w:rFonts w:ascii="Bookman Old Style" w:hAnsi="Bookman Old Style"/>
                <w:b/>
                <w:sz w:val="18"/>
              </w:rPr>
              <w:t>Pipeline</w:t>
            </w:r>
          </w:p>
        </w:tc>
        <w:tc>
          <w:tcPr>
            <w:tcW w:type="dxa" w:w="1881"/>
          </w:tcPr>
          <w:p>
            <w:pPr>
              <w:jc w:val="center"/>
            </w:pPr>
            <w:r>
              <w:rPr>
                <w:rFonts w:ascii="Bookman Old Style" w:hAnsi="Bookman Old Style"/>
                <w:b/>
                <w:sz w:val="18"/>
              </w:rPr>
              <w:t>Step</w:t>
            </w:r>
          </w:p>
        </w:tc>
        <w:tc>
          <w:tcPr>
            <w:tcW w:type="dxa" w:w="1881"/>
          </w:tcPr>
          <w:p>
            <w:pPr>
              <w:jc w:val="center"/>
            </w:pPr>
            <w:r>
              <w:rPr>
                <w:rFonts w:ascii="Bookman Old Style" w:hAnsi="Bookman Old Style"/>
                <w:b/>
                <w:sz w:val="18"/>
              </w:rPr>
              <w:t>Content</w:t>
            </w:r>
          </w:p>
        </w:tc>
        <w:tc>
          <w:tcPr>
            <w:tcW w:type="dxa" w:w="1881"/>
          </w:tcPr>
          <w:p>
            <w:pPr>
              <w:jc w:val="center"/>
            </w:pPr>
            <w:r>
              <w:rPr>
                <w:rFonts w:ascii="Bookman Old Style" w:hAnsi="Bookman Old Style"/>
                <w:b/>
                <w:sz w:val="18"/>
              </w:rPr>
              <w:t>Typical Rows</w:t>
            </w:r>
          </w:p>
        </w:tc>
      </w:tr>
      <w:tr>
        <w:tc>
          <w:tcPr>
            <w:tcW w:type="dxa" w:w="1881"/>
          </w:tcPr>
          <w:p>
            <w:r>
              <w:rPr>
                <w:rFonts w:ascii="Bookman Old Style" w:hAnsi="Bookman Old Style"/>
                <w:sz w:val="18"/>
              </w:rPr>
              <w:t>ml.port_monthly_agg</w:t>
            </w:r>
          </w:p>
        </w:tc>
        <w:tc>
          <w:tcPr>
            <w:tcW w:type="dxa" w:w="1881"/>
          </w:tcPr>
          <w:p>
            <w:r>
              <w:rPr>
                <w:rFonts w:ascii="Bookman Old Style" w:hAnsi="Bookman Old Style"/>
                <w:sz w:val="18"/>
              </w:rPr>
              <w:t>Port (04)</w:t>
            </w:r>
          </w:p>
        </w:tc>
        <w:tc>
          <w:tcPr>
            <w:tcW w:type="dxa" w:w="1881"/>
          </w:tcPr>
          <w:p>
            <w:r>
              <w:rPr>
                <w:rFonts w:ascii="Bookman Old Style" w:hAnsi="Bookman Old Style"/>
                <w:sz w:val="18"/>
              </w:rPr>
              <w:t>1</w:t>
            </w:r>
          </w:p>
        </w:tc>
        <w:tc>
          <w:tcPr>
            <w:tcW w:type="dxa" w:w="1881"/>
          </w:tcPr>
          <w:p>
            <w:r>
              <w:rPr>
                <w:rFonts w:ascii="Bookman Old Style" w:hAnsi="Bookman Old Style"/>
                <w:sz w:val="18"/>
              </w:rPr>
              <w:t>Monthly aggregates per port × direction</w:t>
            </w:r>
          </w:p>
        </w:tc>
        <w:tc>
          <w:tcPr>
            <w:tcW w:type="dxa" w:w="1881"/>
          </w:tcPr>
          <w:p>
            <w:r>
              <w:rPr>
                <w:rFonts w:ascii="Bookman Old Style" w:hAnsi="Bookman Old Style"/>
                <w:sz w:val="18"/>
              </w:rPr>
              <w:t>~5,000</w:t>
            </w:r>
          </w:p>
        </w:tc>
      </w:tr>
      <w:tr>
        <w:tc>
          <w:tcPr>
            <w:tcW w:type="dxa" w:w="1881"/>
          </w:tcPr>
          <w:p>
            <w:r>
              <w:rPr>
                <w:rFonts w:ascii="Bookman Old Style" w:hAnsi="Bookman Old Style"/>
                <w:sz w:val="18"/>
              </w:rPr>
              <w:t>ml.port_features_indexed</w:t>
            </w:r>
          </w:p>
        </w:tc>
        <w:tc>
          <w:tcPr>
            <w:tcW w:type="dxa" w:w="1881"/>
          </w:tcPr>
          <w:p>
            <w:r>
              <w:rPr>
                <w:rFonts w:ascii="Bookman Old Style" w:hAnsi="Bookman Old Style"/>
                <w:sz w:val="18"/>
              </w:rPr>
              <w:t>Port (04)</w:t>
            </w:r>
          </w:p>
        </w:tc>
        <w:tc>
          <w:tcPr>
            <w:tcW w:type="dxa" w:w="1881"/>
          </w:tcPr>
          <w:p>
            <w:r>
              <w:rPr>
                <w:rFonts w:ascii="Bookman Old Style" w:hAnsi="Bookman Old Style"/>
                <w:sz w:val="18"/>
              </w:rPr>
              <w:t>2</w:t>
            </w:r>
          </w:p>
        </w:tc>
        <w:tc>
          <w:tcPr>
            <w:tcW w:type="dxa" w:w="1881"/>
          </w:tcPr>
          <w:p>
            <w:r>
              <w:rPr>
                <w:rFonts w:ascii="Bookman Old Style" w:hAnsi="Bookman Old Style"/>
                <w:sz w:val="18"/>
              </w:rPr>
              <w:t>Feature panel with lags, rolling means, COVID flags, congestion index</w:t>
            </w:r>
          </w:p>
        </w:tc>
        <w:tc>
          <w:tcPr>
            <w:tcW w:type="dxa" w:w="1881"/>
          </w:tcPr>
          <w:p>
            <w:r>
              <w:rPr>
                <w:rFonts w:ascii="Bookman Old Style" w:hAnsi="Bookman Old Style"/>
                <w:sz w:val="18"/>
              </w:rPr>
              <w:t>~4,000</w:t>
            </w:r>
          </w:p>
        </w:tc>
      </w:tr>
      <w:tr>
        <w:tc>
          <w:tcPr>
            <w:tcW w:type="dxa" w:w="1881"/>
          </w:tcPr>
          <w:p>
            <w:r>
              <w:rPr>
                <w:rFonts w:ascii="Bookman Old Style" w:hAnsi="Bookman Old Style"/>
                <w:sz w:val="18"/>
              </w:rPr>
              <w:t>ml.port_cv_metrics</w:t>
            </w:r>
          </w:p>
        </w:tc>
        <w:tc>
          <w:tcPr>
            <w:tcW w:type="dxa" w:w="1881"/>
          </w:tcPr>
          <w:p>
            <w:r>
              <w:rPr>
                <w:rFonts w:ascii="Bookman Old Style" w:hAnsi="Bookman Old Style"/>
                <w:sz w:val="18"/>
              </w:rPr>
              <w:t>Port (04)</w:t>
            </w:r>
          </w:p>
        </w:tc>
        <w:tc>
          <w:tcPr>
            <w:tcW w:type="dxa" w:w="1881"/>
          </w:tcPr>
          <w:p>
            <w:r>
              <w:rPr>
                <w:rFonts w:ascii="Bookman Old Style" w:hAnsi="Bookman Old Style"/>
                <w:sz w:val="18"/>
              </w:rPr>
              <w:t>3</w:t>
            </w:r>
          </w:p>
        </w:tc>
        <w:tc>
          <w:tcPr>
            <w:tcW w:type="dxa" w:w="1881"/>
          </w:tcPr>
          <w:p>
            <w:r>
              <w:rPr>
                <w:rFonts w:ascii="Bookman Old Style" w:hAnsi="Bookman Old Style"/>
                <w:sz w:val="18"/>
              </w:rPr>
              <w:t>MAE, RMSE, MAPE, R² per model × port × fold</w:t>
            </w:r>
          </w:p>
        </w:tc>
        <w:tc>
          <w:tcPr>
            <w:tcW w:type="dxa" w:w="1881"/>
          </w:tcPr>
          <w:p>
            <w:r>
              <w:rPr>
                <w:rFonts w:ascii="Bookman Old Style" w:hAnsi="Bookman Old Style"/>
                <w:sz w:val="18"/>
              </w:rPr>
              <w:t>~2,000</w:t>
            </w:r>
          </w:p>
        </w:tc>
      </w:tr>
      <w:tr>
        <w:tc>
          <w:tcPr>
            <w:tcW w:type="dxa" w:w="1881"/>
          </w:tcPr>
          <w:p>
            <w:r>
              <w:rPr>
                <w:rFonts w:ascii="Bookman Old Style" w:hAnsi="Bookman Old Style"/>
                <w:sz w:val="18"/>
              </w:rPr>
              <w:t>ml.port_model_selection</w:t>
            </w:r>
          </w:p>
        </w:tc>
        <w:tc>
          <w:tcPr>
            <w:tcW w:type="dxa" w:w="1881"/>
          </w:tcPr>
          <w:p>
            <w:r>
              <w:rPr>
                <w:rFonts w:ascii="Bookman Old Style" w:hAnsi="Bookman Old Style"/>
                <w:sz w:val="18"/>
              </w:rPr>
              <w:t>Port (04)</w:t>
            </w:r>
          </w:p>
        </w:tc>
        <w:tc>
          <w:tcPr>
            <w:tcW w:type="dxa" w:w="1881"/>
          </w:tcPr>
          <w:p>
            <w:r>
              <w:rPr>
                <w:rFonts w:ascii="Bookman Old Style" w:hAnsi="Bookman Old Style"/>
                <w:sz w:val="18"/>
              </w:rPr>
              <w:t>4</w:t>
            </w:r>
          </w:p>
        </w:tc>
        <w:tc>
          <w:tcPr>
            <w:tcW w:type="dxa" w:w="1881"/>
          </w:tcPr>
          <w:p>
            <w:r>
              <w:rPr>
                <w:rFonts w:ascii="Bookman Old Style" w:hAnsi="Bookman Old Style"/>
                <w:sz w:val="18"/>
              </w:rPr>
              <w:t>Selected model per port × direction with hybrid strategy</w:t>
            </w:r>
          </w:p>
        </w:tc>
        <w:tc>
          <w:tcPr>
            <w:tcW w:type="dxa" w:w="1881"/>
          </w:tcPr>
          <w:p>
            <w:r>
              <w:rPr>
                <w:rFonts w:ascii="Bookman Old Style" w:hAnsi="Bookman Old Style"/>
                <w:sz w:val="18"/>
              </w:rPr>
              <w:t>~60</w:t>
            </w:r>
          </w:p>
        </w:tc>
      </w:tr>
      <w:tr>
        <w:tc>
          <w:tcPr>
            <w:tcW w:type="dxa" w:w="1881"/>
          </w:tcPr>
          <w:p>
            <w:r>
              <w:rPr>
                <w:rFonts w:ascii="Bookman Old Style" w:hAnsi="Bookman Old Style"/>
                <w:sz w:val="18"/>
              </w:rPr>
              <w:t>ml.port_forecast_2026</w:t>
            </w:r>
          </w:p>
        </w:tc>
        <w:tc>
          <w:tcPr>
            <w:tcW w:type="dxa" w:w="1881"/>
          </w:tcPr>
          <w:p>
            <w:r>
              <w:rPr>
                <w:rFonts w:ascii="Bookman Old Style" w:hAnsi="Bookman Old Style"/>
                <w:sz w:val="18"/>
              </w:rPr>
              <w:t>Port (04)</w:t>
            </w:r>
          </w:p>
        </w:tc>
        <w:tc>
          <w:tcPr>
            <w:tcW w:type="dxa" w:w="1881"/>
          </w:tcPr>
          <w:p>
            <w:r>
              <w:rPr>
                <w:rFonts w:ascii="Bookman Old Style" w:hAnsi="Bookman Old Style"/>
                <w:sz w:val="18"/>
              </w:rPr>
              <w:t>5</w:t>
            </w:r>
          </w:p>
        </w:tc>
        <w:tc>
          <w:tcPr>
            <w:tcW w:type="dxa" w:w="1881"/>
          </w:tcPr>
          <w:p>
            <w:r>
              <w:rPr>
                <w:rFonts w:ascii="Bookman Old Style" w:hAnsi="Bookman Old Style"/>
                <w:sz w:val="18"/>
              </w:rPr>
              <w:t>12-month forecast per port × direction</w:t>
            </w:r>
          </w:p>
        </w:tc>
        <w:tc>
          <w:tcPr>
            <w:tcW w:type="dxa" w:w="1881"/>
          </w:tcPr>
          <w:p>
            <w:r>
              <w:rPr>
                <w:rFonts w:ascii="Bookman Old Style" w:hAnsi="Bookman Old Style"/>
                <w:sz w:val="18"/>
              </w:rPr>
              <w:t>~700</w:t>
            </w:r>
          </w:p>
        </w:tc>
      </w:tr>
      <w:tr>
        <w:tc>
          <w:tcPr>
            <w:tcW w:type="dxa" w:w="1881"/>
          </w:tcPr>
          <w:p>
            <w:r>
              <w:rPr>
                <w:rFonts w:ascii="Bookman Old Style" w:hAnsi="Bookman Old Style"/>
                <w:sz w:val="18"/>
              </w:rPr>
              <w:t>ml.commodity_monthly_agg</w:t>
            </w:r>
          </w:p>
        </w:tc>
        <w:tc>
          <w:tcPr>
            <w:tcW w:type="dxa" w:w="1881"/>
          </w:tcPr>
          <w:p>
            <w:r>
              <w:rPr>
                <w:rFonts w:ascii="Bookman Old Style" w:hAnsi="Bookman Old Style"/>
                <w:sz w:val="18"/>
              </w:rPr>
              <w:t>Commodity (05)</w:t>
            </w:r>
          </w:p>
        </w:tc>
        <w:tc>
          <w:tcPr>
            <w:tcW w:type="dxa" w:w="1881"/>
          </w:tcPr>
          <w:p>
            <w:r>
              <w:rPr>
                <w:rFonts w:ascii="Bookman Old Style" w:hAnsi="Bookman Old Style"/>
                <w:sz w:val="18"/>
              </w:rPr>
              <w:t>1</w:t>
            </w:r>
          </w:p>
        </w:tc>
        <w:tc>
          <w:tcPr>
            <w:tcW w:type="dxa" w:w="1881"/>
          </w:tcPr>
          <w:p>
            <w:r>
              <w:rPr>
                <w:rFonts w:ascii="Bookman Old Style" w:hAnsi="Bookman Old Style"/>
                <w:sz w:val="18"/>
              </w:rPr>
              <w:t>Monthly aggregates per HS2 × port × direction</w:t>
            </w:r>
          </w:p>
        </w:tc>
        <w:tc>
          <w:tcPr>
            <w:tcW w:type="dxa" w:w="1881"/>
          </w:tcPr>
          <w:p>
            <w:r>
              <w:rPr>
                <w:rFonts w:ascii="Bookman Old Style" w:hAnsi="Bookman Old Style"/>
                <w:sz w:val="18"/>
              </w:rPr>
              <w:t>~80,000</w:t>
            </w:r>
          </w:p>
        </w:tc>
      </w:tr>
      <w:tr>
        <w:tc>
          <w:tcPr>
            <w:tcW w:type="dxa" w:w="1881"/>
          </w:tcPr>
          <w:p>
            <w:r>
              <w:rPr>
                <w:rFonts w:ascii="Bookman Old Style" w:hAnsi="Bookman Old Style"/>
                <w:sz w:val="18"/>
              </w:rPr>
              <w:t>ml.commodity_features</w:t>
            </w:r>
          </w:p>
        </w:tc>
        <w:tc>
          <w:tcPr>
            <w:tcW w:type="dxa" w:w="1881"/>
          </w:tcPr>
          <w:p>
            <w:r>
              <w:rPr>
                <w:rFonts w:ascii="Bookman Old Style" w:hAnsi="Bookman Old Style"/>
                <w:sz w:val="18"/>
              </w:rPr>
              <w:t>Commodity (05)</w:t>
            </w:r>
          </w:p>
        </w:tc>
        <w:tc>
          <w:tcPr>
            <w:tcW w:type="dxa" w:w="1881"/>
          </w:tcPr>
          <w:p>
            <w:r>
              <w:rPr>
                <w:rFonts w:ascii="Bookman Old Style" w:hAnsi="Bookman Old Style"/>
                <w:sz w:val="18"/>
              </w:rPr>
              <w:t>2</w:t>
            </w:r>
          </w:p>
        </w:tc>
        <w:tc>
          <w:tcPr>
            <w:tcW w:type="dxa" w:w="1881"/>
          </w:tcPr>
          <w:p>
            <w:r>
              <w:rPr>
                <w:rFonts w:ascii="Bookman Old Style" w:hAnsi="Bookman Old Style"/>
                <w:sz w:val="18"/>
              </w:rPr>
              <w:t>Feature panel with lags, rolling means, COVID flags</w:t>
            </w:r>
          </w:p>
        </w:tc>
        <w:tc>
          <w:tcPr>
            <w:tcW w:type="dxa" w:w="1881"/>
          </w:tcPr>
          <w:p>
            <w:r>
              <w:rPr>
                <w:rFonts w:ascii="Bookman Old Style" w:hAnsi="Bookman Old Style"/>
                <w:sz w:val="18"/>
              </w:rPr>
              <w:t>~60,000</w:t>
            </w:r>
          </w:p>
        </w:tc>
      </w:tr>
      <w:tr>
        <w:tc>
          <w:tcPr>
            <w:tcW w:type="dxa" w:w="1881"/>
          </w:tcPr>
          <w:p>
            <w:r>
              <w:rPr>
                <w:rFonts w:ascii="Bookman Old Style" w:hAnsi="Bookman Old Style"/>
                <w:sz w:val="18"/>
              </w:rPr>
              <w:t>ml.commodity_cv_metrics</w:t>
            </w:r>
          </w:p>
        </w:tc>
        <w:tc>
          <w:tcPr>
            <w:tcW w:type="dxa" w:w="1881"/>
          </w:tcPr>
          <w:p>
            <w:r>
              <w:rPr>
                <w:rFonts w:ascii="Bookman Old Style" w:hAnsi="Bookman Old Style"/>
                <w:sz w:val="18"/>
              </w:rPr>
              <w:t>Commodity (05)</w:t>
            </w:r>
          </w:p>
        </w:tc>
        <w:tc>
          <w:tcPr>
            <w:tcW w:type="dxa" w:w="1881"/>
          </w:tcPr>
          <w:p>
            <w:r>
              <w:rPr>
                <w:rFonts w:ascii="Bookman Old Style" w:hAnsi="Bookman Old Style"/>
                <w:sz w:val="18"/>
              </w:rPr>
              <w:t>3</w:t>
            </w:r>
          </w:p>
        </w:tc>
        <w:tc>
          <w:tcPr>
            <w:tcW w:type="dxa" w:w="1881"/>
          </w:tcPr>
          <w:p>
            <w:r>
              <w:rPr>
                <w:rFonts w:ascii="Bookman Old Style" w:hAnsi="Bookman Old Style"/>
                <w:sz w:val="18"/>
              </w:rPr>
              <w:t>MAE, RMSE, MAPE, R² per model × combo × fold</w:t>
            </w:r>
          </w:p>
        </w:tc>
        <w:tc>
          <w:tcPr>
            <w:tcW w:type="dxa" w:w="1881"/>
          </w:tcPr>
          <w:p>
            <w:r>
              <w:rPr>
                <w:rFonts w:ascii="Bookman Old Style" w:hAnsi="Bookman Old Style"/>
                <w:sz w:val="18"/>
              </w:rPr>
              <w:t>~30,000</w:t>
            </w:r>
          </w:p>
        </w:tc>
      </w:tr>
      <w:tr>
        <w:tc>
          <w:tcPr>
            <w:tcW w:type="dxa" w:w="1881"/>
          </w:tcPr>
          <w:p>
            <w:r>
              <w:rPr>
                <w:rFonts w:ascii="Bookman Old Style" w:hAnsi="Bookman Old Style"/>
                <w:sz w:val="18"/>
              </w:rPr>
              <w:t>ml.commodity_model_selection</w:t>
            </w:r>
          </w:p>
        </w:tc>
        <w:tc>
          <w:tcPr>
            <w:tcW w:type="dxa" w:w="1881"/>
          </w:tcPr>
          <w:p>
            <w:r>
              <w:rPr>
                <w:rFonts w:ascii="Bookman Old Style" w:hAnsi="Bookman Old Style"/>
                <w:sz w:val="18"/>
              </w:rPr>
              <w:t>Commodity (05)</w:t>
            </w:r>
          </w:p>
        </w:tc>
        <w:tc>
          <w:tcPr>
            <w:tcW w:type="dxa" w:w="1881"/>
          </w:tcPr>
          <w:p>
            <w:r>
              <w:rPr>
                <w:rFonts w:ascii="Bookman Old Style" w:hAnsi="Bookman Old Style"/>
                <w:sz w:val="18"/>
              </w:rPr>
              <w:t>4</w:t>
            </w:r>
          </w:p>
        </w:tc>
        <w:tc>
          <w:tcPr>
            <w:tcW w:type="dxa" w:w="1881"/>
          </w:tcPr>
          <w:p>
            <w:r>
              <w:rPr>
                <w:rFonts w:ascii="Bookman Old Style" w:hAnsi="Bookman Old Style"/>
                <w:sz w:val="18"/>
              </w:rPr>
              <w:t>Selected model per HS2 × port × direction</w:t>
            </w:r>
          </w:p>
        </w:tc>
        <w:tc>
          <w:tcPr>
            <w:tcW w:type="dxa" w:w="1881"/>
          </w:tcPr>
          <w:p>
            <w:r>
              <w:rPr>
                <w:rFonts w:ascii="Bookman Old Style" w:hAnsi="Bookman Old Style"/>
                <w:sz w:val="18"/>
              </w:rPr>
              <w:t>~1,500</w:t>
            </w:r>
          </w:p>
        </w:tc>
      </w:tr>
      <w:tr>
        <w:tc>
          <w:tcPr>
            <w:tcW w:type="dxa" w:w="1881"/>
          </w:tcPr>
          <w:p>
            <w:r>
              <w:rPr>
                <w:rFonts w:ascii="Bookman Old Style" w:hAnsi="Bookman Old Style"/>
                <w:sz w:val="18"/>
              </w:rPr>
              <w:t>ml.commodity_forecast_2026</w:t>
            </w:r>
          </w:p>
        </w:tc>
        <w:tc>
          <w:tcPr>
            <w:tcW w:type="dxa" w:w="1881"/>
          </w:tcPr>
          <w:p>
            <w:r>
              <w:rPr>
                <w:rFonts w:ascii="Bookman Old Style" w:hAnsi="Bookman Old Style"/>
                <w:sz w:val="18"/>
              </w:rPr>
              <w:t>Commodity (05)</w:t>
            </w:r>
          </w:p>
        </w:tc>
        <w:tc>
          <w:tcPr>
            <w:tcW w:type="dxa" w:w="1881"/>
          </w:tcPr>
          <w:p>
            <w:r>
              <w:rPr>
                <w:rFonts w:ascii="Bookman Old Style" w:hAnsi="Bookman Old Style"/>
                <w:sz w:val="18"/>
              </w:rPr>
              <w:t>5</w:t>
            </w:r>
          </w:p>
        </w:tc>
        <w:tc>
          <w:tcPr>
            <w:tcW w:type="dxa" w:w="1881"/>
          </w:tcPr>
          <w:p>
            <w:r>
              <w:rPr>
                <w:rFonts w:ascii="Bookman Old Style" w:hAnsi="Bookman Old Style"/>
                <w:sz w:val="18"/>
              </w:rPr>
              <w:t>12-month forecast per HS2 × port × direction with commodity descriptions</w:t>
            </w:r>
          </w:p>
        </w:tc>
        <w:tc>
          <w:tcPr>
            <w:tcW w:type="dxa" w:w="1881"/>
          </w:tcPr>
          <w:p>
            <w:r>
              <w:rPr>
                <w:rFonts w:ascii="Bookman Old Style" w:hAnsi="Bookman Old Style"/>
                <w:sz w:val="18"/>
              </w:rPr>
              <w:t>~10,000</w:t>
            </w:r>
          </w:p>
        </w:tc>
      </w:tr>
    </w:tbl>
    <w:p>
      <w:pPr>
        <w:spacing w:before="240" w:line="360" w:lineRule="auto"/>
        <w:jc w:val="both"/>
      </w:pPr>
    </w:p>
    <w:p>
      <w:pPr>
        <w:spacing w:before="240" w:line="360" w:lineRule="auto"/>
        <w:jc w:val="both"/>
      </w:pPr>
      <w:r>
        <w:rPr>
          <w:rFonts w:ascii="Bookman Old Style" w:hAnsi="Bookman Old Style"/>
          <w:color w:val="000000"/>
        </w:rPr>
        <w:t>All tables include a created_at timestamp for auditability. The entire pipeline is idempotent, running it again drops and recreates every output table, ensuring that the ml schema always reflects the most recent execution.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C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C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3C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