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6B6D4"/>
        </w:rPr>
        <w:t>WazeCargo — 2026 Forecast Accuracy Report</w:t>
      </w:r>
    </w:p>
    <w:p>
      <w:r>
        <w:t>Comparison of the hybrid ensemble ML forecasts against actual Chilean customs data (SNA) for January–May 2026. This report validates the production model on fully out-of-sample live data, five months after the forecast was generated from 2005–2025 training data.</w:t>
      </w:r>
    </w:p>
    <w:p>
      <w:pPr>
        <w:pStyle w:val="Heading1"/>
      </w:pPr>
      <w:r>
        <w:t>1. Data Sources &amp; Methodology</w:t>
      </w:r>
    </w:p>
    <w:p>
      <w:r>
        <w:t>Actual data comes from two raw SNA (Servicio Nacional de Aduanas) CSV files covering all Chilean trade through May 2026: Ingresos_mayo_2026.csv (776,075 rows) and Salidas_mayo2026.csv (139,989 rows). After filtering to maritime transport only (COD_VIA_TRANSPORTE = 1) and excluding airports and frontier posts via the structured.lkp_puertos lookup table on RDS, the dataset contains 317,000 import records and 77,399 export records across January–May 2026.</w:t>
      </w:r>
    </w:p>
    <w:p>
      <w:r>
        <w:t>Forecast data comes from port_forecast.json in Dashboard 2.0, generated by the hybrid ensemble ML pipeline (modeling/04_ml_congestion.py). The forecast was produced using a model trained on 2005–2025 data with 4-fold walk-forward cross-validation. The 2026 predictions use recursive 12-step forecasting where each month's output feeds as input to the next month.</w:t>
      </w:r>
    </w:p>
    <w:p>
      <w:r>
        <w:t>The primary accuracy metric is wMAPE (weighted Mean Absolute Percentage Error) = SUM(|actual - forecast|) / SUM(actual). This weights each port-month proportionally to its traffic volume, preventing small ports from dominating the error metric. Shipment count is defined as COUNT(*) of customs declaration line items, matching the ML pipeline definition.</w:t>
      </w:r>
    </w:p>
    <w:p>
      <w:pPr>
        <w:pStyle w:val="Heading1"/>
      </w:pPr>
      <w:r>
        <w:t>2. National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Imports</w:t>
            </w:r>
          </w:p>
        </w:tc>
        <w:tc>
          <w:tcPr>
            <w:tcW w:type="dxa" w:w="2160"/>
          </w:tcPr>
          <w:p>
            <w:r>
              <w:t>Exports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Actual (Jan–May 2026)</w:t>
            </w:r>
          </w:p>
        </w:tc>
        <w:tc>
          <w:tcPr>
            <w:tcW w:type="dxa" w:w="2160"/>
          </w:tcPr>
          <w:p>
            <w:r>
              <w:t>316,634</w:t>
            </w:r>
          </w:p>
        </w:tc>
        <w:tc>
          <w:tcPr>
            <w:tcW w:type="dxa" w:w="2160"/>
          </w:tcPr>
          <w:p>
            <w:r>
              <w:t>77,303</w:t>
            </w:r>
          </w:p>
        </w:tc>
        <w:tc>
          <w:tcPr>
            <w:tcW w:type="dxa" w:w="2160"/>
          </w:tcPr>
          <w:p>
            <w:r>
              <w:t>393,937</w:t>
            </w:r>
          </w:p>
        </w:tc>
      </w:tr>
      <w:tr>
        <w:tc>
          <w:tcPr>
            <w:tcW w:type="dxa" w:w="2160"/>
          </w:tcPr>
          <w:p>
            <w:r>
              <w:t>Forecast (Jan–May 2026)</w:t>
            </w:r>
          </w:p>
        </w:tc>
        <w:tc>
          <w:tcPr>
            <w:tcW w:type="dxa" w:w="2160"/>
          </w:tcPr>
          <w:p>
            <w:r>
              <w:t>341,052</w:t>
            </w:r>
          </w:p>
        </w:tc>
        <w:tc>
          <w:tcPr>
            <w:tcW w:type="dxa" w:w="2160"/>
          </w:tcPr>
          <w:p>
            <w:r>
              <w:t>80,757</w:t>
            </w:r>
          </w:p>
        </w:tc>
        <w:tc>
          <w:tcPr>
            <w:tcW w:type="dxa" w:w="2160"/>
          </w:tcPr>
          <w:p>
            <w:r>
              <w:t>421,809</w:t>
            </w:r>
          </w:p>
        </w:tc>
      </w:tr>
      <w:tr>
        <w:tc>
          <w:tcPr>
            <w:tcW w:type="dxa" w:w="2160"/>
          </w:tcPr>
          <w:p>
            <w:r>
              <w:t>Difference</w:t>
            </w:r>
          </w:p>
        </w:tc>
        <w:tc>
          <w:tcPr>
            <w:tcW w:type="dxa" w:w="2160"/>
          </w:tcPr>
          <w:p>
            <w:r>
              <w:t>+24,418</w:t>
            </w:r>
          </w:p>
        </w:tc>
        <w:tc>
          <w:tcPr>
            <w:tcW w:type="dxa" w:w="2160"/>
          </w:tcPr>
          <w:p>
            <w:r>
              <w:t>+3,454</w:t>
            </w:r>
          </w:p>
        </w:tc>
        <w:tc>
          <w:tcPr>
            <w:tcW w:type="dxa" w:w="2160"/>
          </w:tcPr>
          <w:p>
            <w:r>
              <w:t>+27,872</w:t>
            </w:r>
          </w:p>
        </w:tc>
      </w:tr>
      <w:tr>
        <w:tc>
          <w:tcPr>
            <w:tcW w:type="dxa" w:w="2160"/>
          </w:tcPr>
          <w:p>
            <w:r>
              <w:t>Error 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</w:tbl>
    <w:p/>
    <w:p>
      <w:r>
        <w:t>The model over-predicts national import volume by 7.7% and export volume by 4.5%, for an overall wMAPE of 8.5% across all 54 matched port-direction pairs. The largest single contributor to import over-prediction is Valparaiso (+26.1%), while San Antonio import — handling 57% of all maritime imports — tracks within 3.4%.</w:t>
      </w:r>
    </w:p>
    <w:p>
      <w:pPr>
        <w:pStyle w:val="Heading1"/>
      </w:pPr>
      <w:r>
        <w:t>3. Accuracy by Port Size</w:t>
      </w:r>
    </w:p>
    <w:p>
      <w:r>
        <w:t>Ports are classified by their average monthly shipment volume in the actual 2026 data: Large (&gt;=500/month), Medium (50–500/month), Small (&lt;50/month). This mirrors the hybrid ensemble's volume-threshold split, where Large ports use the Baseline Seasonal Naive model and Small ports use CV-selected ML models.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Pairs</w:t>
            </w:r>
          </w:p>
        </w:tc>
        <w:tc>
          <w:tcPr>
            <w:tcW w:type="dxa" w:w="1440"/>
          </w:tcPr>
          <w:p>
            <w:r>
              <w:t>wMAPE</w:t>
            </w:r>
          </w:p>
        </w:tc>
        <w:tc>
          <w:tcPr>
            <w:tcW w:type="dxa" w:w="1440"/>
          </w:tcPr>
          <w:p>
            <w:r>
              <w:t>Best</w:t>
            </w:r>
          </w:p>
        </w:tc>
        <w:tc>
          <w:tcPr>
            <w:tcW w:type="dxa" w:w="1440"/>
          </w:tcPr>
          <w:p>
            <w:r>
              <w:t>Worst</w:t>
            </w:r>
          </w:p>
        </w:tc>
        <w:tc>
          <w:tcPr>
            <w:tcW w:type="dxa" w:w="1440"/>
          </w:tcPr>
          <w:p>
            <w:r>
              <w:t>% of Volume</w:t>
            </w:r>
          </w:p>
        </w:tc>
      </w:tr>
      <w:tr>
        <w:tc>
          <w:tcPr>
            <w:tcW w:type="dxa" w:w="1440"/>
          </w:tcPr>
          <w:p>
            <w:r>
              <w:t>Large (&gt;=500/mo)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San Antonio export (1.2%)</w:t>
            </w:r>
          </w:p>
        </w:tc>
        <w:tc>
          <w:tcPr>
            <w:tcW w:type="dxa" w:w="1440"/>
          </w:tcPr>
          <w:p>
            <w:r>
              <w:t>Valparaiso import (26.1%)</w:t>
            </w:r>
          </w:p>
        </w:tc>
        <w:tc>
          <w:tcPr>
            <w:tcW w:type="dxa" w:w="1440"/>
          </w:tcPr>
          <w:p>
            <w:r>
              <w:t>98.2%</w:t>
            </w:r>
          </w:p>
        </w:tc>
      </w:tr>
      <w:tr>
        <w:tc>
          <w:tcPr>
            <w:tcW w:type="dxa" w:w="1440"/>
          </w:tcPr>
          <w:p>
            <w:r>
              <w:t>Medium (50–500/mo)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17.1%</w:t>
            </w:r>
          </w:p>
        </w:tc>
        <w:tc>
          <w:tcPr>
            <w:tcW w:type="dxa" w:w="1440"/>
          </w:tcPr>
          <w:p>
            <w:r>
              <w:t>Iquique import (1.2%)</w:t>
            </w:r>
          </w:p>
        </w:tc>
        <w:tc>
          <w:tcPr>
            <w:tcW w:type="dxa" w:w="1440"/>
          </w:tcPr>
          <w:p>
            <w:r>
              <w:t>Coquimbo export (127.3%)</w:t>
            </w:r>
          </w:p>
        </w:tc>
        <w:tc>
          <w:tcPr>
            <w:tcW w:type="dxa" w:w="1440"/>
          </w:tcPr>
          <w:p>
            <w:r>
              <w:t>1.5%</w:t>
            </w:r>
          </w:p>
        </w:tc>
      </w:tr>
      <w:tr>
        <w:tc>
          <w:tcPr>
            <w:tcW w:type="dxa" w:w="1440"/>
          </w:tcPr>
          <w:p>
            <w:r>
              <w:t>Small (&lt;50/mo)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  <w:tc>
          <w:tcPr>
            <w:tcW w:type="dxa" w:w="1440"/>
          </w:tcPr>
          <w:p>
            <w:r>
              <w:t>Chanaral export (0.0%)</w:t>
            </w:r>
          </w:p>
        </w:tc>
        <w:tc>
          <w:tcPr>
            <w:tcW w:type="dxa" w:w="1440"/>
          </w:tcPr>
          <w:p>
            <w:r>
              <w:t>Penco export (500.0%)</w:t>
            </w:r>
          </w:p>
        </w:tc>
        <w:tc>
          <w:tcPr>
            <w:tcW w:type="dxa" w:w="1440"/>
          </w:tcPr>
          <w:p>
            <w:r>
              <w:t>0.3%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8.5%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/>
    <w:p>
      <w:r>
        <w:t>The model is most accurate where it matters most. Large ports carry 98.2% of all maritime trade volume and achieve 8.3% wMAPE. Small ports have 25.2% wMAPE but represent only 0.3% of volume — high relative errors on tiny numbers (e.g., Penco: 40 actual vs 81 forecast) have minimal business impact.</w:t>
      </w:r>
    </w:p>
    <w:p>
      <w:pPr>
        <w:pStyle w:val="Heading1"/>
      </w:pPr>
      <w:r>
        <w:t>4. Large Port Monthly Breakdowns</w:t>
      </w:r>
    </w:p>
    <w:p>
      <w:r>
        <w:t>Large ports carry &gt;98% of all maritime trade volume. The model performs best here with 8.3% wMAPE. Monthly breakdowns for the eight largest port-direction pairs follow.</w:t>
      </w:r>
    </w:p>
    <w:p>
      <w:pPr>
        <w:pStyle w:val="Heading2"/>
      </w:pPr>
      <w:r>
        <w:t>SAN ANTONIO (import) — Error: +3.4%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46,062</w:t>
            </w:r>
          </w:p>
        </w:tc>
        <w:tc>
          <w:tcPr>
            <w:tcW w:type="dxa" w:w="1234"/>
          </w:tcPr>
          <w:p>
            <w:r>
              <w:t>37,372</w:t>
            </w:r>
          </w:p>
        </w:tc>
        <w:tc>
          <w:tcPr>
            <w:tcW w:type="dxa" w:w="1234"/>
          </w:tcPr>
          <w:p>
            <w:r>
              <w:t>45,482</w:t>
            </w:r>
          </w:p>
        </w:tc>
        <w:tc>
          <w:tcPr>
            <w:tcW w:type="dxa" w:w="1234"/>
          </w:tcPr>
          <w:p>
            <w:r>
              <w:t>49,490</w:t>
            </w:r>
          </w:p>
        </w:tc>
        <w:tc>
          <w:tcPr>
            <w:tcW w:type="dxa" w:w="1234"/>
          </w:tcPr>
          <w:p>
            <w:r>
              <w:t>45,594</w:t>
            </w:r>
          </w:p>
        </w:tc>
        <w:tc>
          <w:tcPr>
            <w:tcW w:type="dxa" w:w="1234"/>
          </w:tcPr>
          <w:p>
            <w:r>
              <w:t>224,000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47,475</w:t>
            </w:r>
          </w:p>
        </w:tc>
        <w:tc>
          <w:tcPr>
            <w:tcW w:type="dxa" w:w="1234"/>
          </w:tcPr>
          <w:p>
            <w:r>
              <w:t>41,292</w:t>
            </w:r>
          </w:p>
        </w:tc>
        <w:tc>
          <w:tcPr>
            <w:tcW w:type="dxa" w:w="1234"/>
          </w:tcPr>
          <w:p>
            <w:r>
              <w:t>48,319</w:t>
            </w:r>
          </w:p>
        </w:tc>
        <w:tc>
          <w:tcPr>
            <w:tcW w:type="dxa" w:w="1234"/>
          </w:tcPr>
          <w:p>
            <w:r>
              <w:t>49,132</w:t>
            </w:r>
          </w:p>
        </w:tc>
        <w:tc>
          <w:tcPr>
            <w:tcW w:type="dxa" w:w="1234"/>
          </w:tcPr>
          <w:p>
            <w:r>
              <w:t>45,354</w:t>
            </w:r>
          </w:p>
        </w:tc>
        <w:tc>
          <w:tcPr>
            <w:tcW w:type="dxa" w:w="1234"/>
          </w:tcPr>
          <w:p>
            <w:r>
              <w:t>231,572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+3.1%</w:t>
            </w:r>
          </w:p>
        </w:tc>
        <w:tc>
          <w:tcPr>
            <w:tcW w:type="dxa" w:w="1234"/>
          </w:tcPr>
          <w:p>
            <w:r>
              <w:t>+10.5%</w:t>
            </w:r>
          </w:p>
        </w:tc>
        <w:tc>
          <w:tcPr>
            <w:tcW w:type="dxa" w:w="1234"/>
          </w:tcPr>
          <w:p>
            <w:r>
              <w:t>+6.2%</w:t>
            </w:r>
          </w:p>
        </w:tc>
        <w:tc>
          <w:tcPr>
            <w:tcW w:type="dxa" w:w="1234"/>
          </w:tcPr>
          <w:p>
            <w:r>
              <w:t>-0.7%</w:t>
            </w:r>
          </w:p>
        </w:tc>
        <w:tc>
          <w:tcPr>
            <w:tcW w:type="dxa" w:w="1234"/>
          </w:tcPr>
          <w:p>
            <w:r>
              <w:t>-0.5%</w:t>
            </w:r>
          </w:p>
        </w:tc>
        <w:tc>
          <w:tcPr>
            <w:tcW w:type="dxa" w:w="1234"/>
          </w:tcPr>
          <w:p>
            <w:r>
              <w:t>+3.4%</w:t>
            </w:r>
          </w:p>
        </w:tc>
      </w:tr>
    </w:tbl>
    <w:p>
      <w:pPr>
        <w:pStyle w:val="Heading2"/>
      </w:pPr>
      <w:r>
        <w:t>SAN ANTONIO (export) — Error: -1.2%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7,725</w:t>
            </w:r>
          </w:p>
        </w:tc>
        <w:tc>
          <w:tcPr>
            <w:tcW w:type="dxa" w:w="1234"/>
          </w:tcPr>
          <w:p>
            <w:r>
              <w:t>6,470</w:t>
            </w:r>
          </w:p>
        </w:tc>
        <w:tc>
          <w:tcPr>
            <w:tcW w:type="dxa" w:w="1234"/>
          </w:tcPr>
          <w:p>
            <w:r>
              <w:t>7,383</w:t>
            </w:r>
          </w:p>
        </w:tc>
        <w:tc>
          <w:tcPr>
            <w:tcW w:type="dxa" w:w="1234"/>
          </w:tcPr>
          <w:p>
            <w:r>
              <w:t>7,808</w:t>
            </w:r>
          </w:p>
        </w:tc>
        <w:tc>
          <w:tcPr>
            <w:tcW w:type="dxa" w:w="1234"/>
          </w:tcPr>
          <w:p>
            <w:r>
              <w:t>6,757</w:t>
            </w:r>
          </w:p>
        </w:tc>
        <w:tc>
          <w:tcPr>
            <w:tcW w:type="dxa" w:w="1234"/>
          </w:tcPr>
          <w:p>
            <w:r>
              <w:t>36,143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7,624</w:t>
            </w:r>
          </w:p>
        </w:tc>
        <w:tc>
          <w:tcPr>
            <w:tcW w:type="dxa" w:w="1234"/>
          </w:tcPr>
          <w:p>
            <w:r>
              <w:t>5,756</w:t>
            </w:r>
          </w:p>
        </w:tc>
        <w:tc>
          <w:tcPr>
            <w:tcW w:type="dxa" w:w="1234"/>
          </w:tcPr>
          <w:p>
            <w:r>
              <w:t>7,020</w:t>
            </w:r>
          </w:p>
        </w:tc>
        <w:tc>
          <w:tcPr>
            <w:tcW w:type="dxa" w:w="1234"/>
          </w:tcPr>
          <w:p>
            <w:r>
              <w:t>8,146</w:t>
            </w:r>
          </w:p>
        </w:tc>
        <w:tc>
          <w:tcPr>
            <w:tcW w:type="dxa" w:w="1234"/>
          </w:tcPr>
          <w:p>
            <w:r>
              <w:t>7,166</w:t>
            </w:r>
          </w:p>
        </w:tc>
        <w:tc>
          <w:tcPr>
            <w:tcW w:type="dxa" w:w="1234"/>
          </w:tcPr>
          <w:p>
            <w:r>
              <w:t>35,712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-1.3%</w:t>
            </w:r>
          </w:p>
        </w:tc>
        <w:tc>
          <w:tcPr>
            <w:tcW w:type="dxa" w:w="1234"/>
          </w:tcPr>
          <w:p>
            <w:r>
              <w:t>-11.0%</w:t>
            </w:r>
          </w:p>
        </w:tc>
        <w:tc>
          <w:tcPr>
            <w:tcW w:type="dxa" w:w="1234"/>
          </w:tcPr>
          <w:p>
            <w:r>
              <w:t>-4.9%</w:t>
            </w:r>
          </w:p>
        </w:tc>
        <w:tc>
          <w:tcPr>
            <w:tcW w:type="dxa" w:w="1234"/>
          </w:tcPr>
          <w:p>
            <w:r>
              <w:t>+4.3%</w:t>
            </w:r>
          </w:p>
        </w:tc>
        <w:tc>
          <w:tcPr>
            <w:tcW w:type="dxa" w:w="1234"/>
          </w:tcPr>
          <w:p>
            <w:r>
              <w:t>+6.1%</w:t>
            </w:r>
          </w:p>
        </w:tc>
        <w:tc>
          <w:tcPr>
            <w:tcW w:type="dxa" w:w="1234"/>
          </w:tcPr>
          <w:p>
            <w:r>
              <w:t>-1.2%</w:t>
            </w:r>
          </w:p>
        </w:tc>
      </w:tr>
    </w:tbl>
    <w:p>
      <w:pPr>
        <w:pStyle w:val="Heading2"/>
      </w:pPr>
      <w:r>
        <w:t>VALPARAÍSO (import) — Error: +26.1%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15,340</w:t>
            </w:r>
          </w:p>
        </w:tc>
        <w:tc>
          <w:tcPr>
            <w:tcW w:type="dxa" w:w="1234"/>
          </w:tcPr>
          <w:p>
            <w:r>
              <w:t>12,901</w:t>
            </w:r>
          </w:p>
        </w:tc>
        <w:tc>
          <w:tcPr>
            <w:tcW w:type="dxa" w:w="1234"/>
          </w:tcPr>
          <w:p>
            <w:r>
              <w:t>17,468</w:t>
            </w:r>
          </w:p>
        </w:tc>
        <w:tc>
          <w:tcPr>
            <w:tcW w:type="dxa" w:w="1234"/>
          </w:tcPr>
          <w:p>
            <w:r>
              <w:t>12,401</w:t>
            </w:r>
          </w:p>
        </w:tc>
        <w:tc>
          <w:tcPr>
            <w:tcW w:type="dxa" w:w="1234"/>
          </w:tcPr>
          <w:p>
            <w:r>
              <w:t>11,856</w:t>
            </w:r>
          </w:p>
        </w:tc>
        <w:tc>
          <w:tcPr>
            <w:tcW w:type="dxa" w:w="1234"/>
          </w:tcPr>
          <w:p>
            <w:r>
              <w:t>69,966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19,503</w:t>
            </w:r>
          </w:p>
        </w:tc>
        <w:tc>
          <w:tcPr>
            <w:tcW w:type="dxa" w:w="1234"/>
          </w:tcPr>
          <w:p>
            <w:r>
              <w:t>14,694</w:t>
            </w:r>
          </w:p>
        </w:tc>
        <w:tc>
          <w:tcPr>
            <w:tcW w:type="dxa" w:w="1234"/>
          </w:tcPr>
          <w:p>
            <w:r>
              <w:t>17,012</w:t>
            </w:r>
          </w:p>
        </w:tc>
        <w:tc>
          <w:tcPr>
            <w:tcW w:type="dxa" w:w="1234"/>
          </w:tcPr>
          <w:p>
            <w:r>
              <w:t>14,405</w:t>
            </w:r>
          </w:p>
        </w:tc>
        <w:tc>
          <w:tcPr>
            <w:tcW w:type="dxa" w:w="1234"/>
          </w:tcPr>
          <w:p>
            <w:r>
              <w:t>22,603</w:t>
            </w:r>
          </w:p>
        </w:tc>
        <w:tc>
          <w:tcPr>
            <w:tcW w:type="dxa" w:w="1234"/>
          </w:tcPr>
          <w:p>
            <w:r>
              <w:t>88,217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+27.1%</w:t>
            </w:r>
          </w:p>
        </w:tc>
        <w:tc>
          <w:tcPr>
            <w:tcW w:type="dxa" w:w="1234"/>
          </w:tcPr>
          <w:p>
            <w:r>
              <w:t>+13.9%</w:t>
            </w:r>
          </w:p>
        </w:tc>
        <w:tc>
          <w:tcPr>
            <w:tcW w:type="dxa" w:w="1234"/>
          </w:tcPr>
          <w:p>
            <w:r>
              <w:t>-2.6%</w:t>
            </w:r>
          </w:p>
        </w:tc>
        <w:tc>
          <w:tcPr>
            <w:tcW w:type="dxa" w:w="1234"/>
          </w:tcPr>
          <w:p>
            <w:r>
              <w:t>+16.2%</w:t>
            </w:r>
          </w:p>
        </w:tc>
        <w:tc>
          <w:tcPr>
            <w:tcW w:type="dxa" w:w="1234"/>
          </w:tcPr>
          <w:p>
            <w:r>
              <w:t>+90.6%</w:t>
            </w:r>
          </w:p>
        </w:tc>
        <w:tc>
          <w:tcPr>
            <w:tcW w:type="dxa" w:w="1234"/>
          </w:tcPr>
          <w:p>
            <w:r>
              <w:t>+26.1%</w:t>
            </w:r>
          </w:p>
        </w:tc>
      </w:tr>
    </w:tbl>
    <w:p>
      <w:pPr>
        <w:pStyle w:val="Heading2"/>
      </w:pPr>
      <w:r>
        <w:t>VALPARAÍSO (export) — Error: +12.8%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4,403</w:t>
            </w:r>
          </w:p>
        </w:tc>
        <w:tc>
          <w:tcPr>
            <w:tcW w:type="dxa" w:w="1234"/>
          </w:tcPr>
          <w:p>
            <w:r>
              <w:t>3,895</w:t>
            </w:r>
          </w:p>
        </w:tc>
        <w:tc>
          <w:tcPr>
            <w:tcW w:type="dxa" w:w="1234"/>
          </w:tcPr>
          <w:p>
            <w:r>
              <w:t>4,830</w:t>
            </w:r>
          </w:p>
        </w:tc>
        <w:tc>
          <w:tcPr>
            <w:tcW w:type="dxa" w:w="1234"/>
          </w:tcPr>
          <w:p>
            <w:r>
              <w:t>4,973</w:t>
            </w:r>
          </w:p>
        </w:tc>
        <w:tc>
          <w:tcPr>
            <w:tcW w:type="dxa" w:w="1234"/>
          </w:tcPr>
          <w:p>
            <w:r>
              <w:t>4,150</w:t>
            </w:r>
          </w:p>
        </w:tc>
        <w:tc>
          <w:tcPr>
            <w:tcW w:type="dxa" w:w="1234"/>
          </w:tcPr>
          <w:p>
            <w:r>
              <w:t>22,251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3,965</w:t>
            </w:r>
          </w:p>
        </w:tc>
        <w:tc>
          <w:tcPr>
            <w:tcW w:type="dxa" w:w="1234"/>
          </w:tcPr>
          <w:p>
            <w:r>
              <w:t>4,687</w:t>
            </w:r>
          </w:p>
        </w:tc>
        <w:tc>
          <w:tcPr>
            <w:tcW w:type="dxa" w:w="1234"/>
          </w:tcPr>
          <w:p>
            <w:r>
              <w:t>5,331</w:t>
            </w:r>
          </w:p>
        </w:tc>
        <w:tc>
          <w:tcPr>
            <w:tcW w:type="dxa" w:w="1234"/>
          </w:tcPr>
          <w:p>
            <w:r>
              <w:t>5,679</w:t>
            </w:r>
          </w:p>
        </w:tc>
        <w:tc>
          <w:tcPr>
            <w:tcW w:type="dxa" w:w="1234"/>
          </w:tcPr>
          <w:p>
            <w:r>
              <w:t>5,436</w:t>
            </w:r>
          </w:p>
        </w:tc>
        <w:tc>
          <w:tcPr>
            <w:tcW w:type="dxa" w:w="1234"/>
          </w:tcPr>
          <w:p>
            <w:r>
              <w:t>25,098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-9.9%</w:t>
            </w:r>
          </w:p>
        </w:tc>
        <w:tc>
          <w:tcPr>
            <w:tcW w:type="dxa" w:w="1234"/>
          </w:tcPr>
          <w:p>
            <w:r>
              <w:t>+20.3%</w:t>
            </w:r>
          </w:p>
        </w:tc>
        <w:tc>
          <w:tcPr>
            <w:tcW w:type="dxa" w:w="1234"/>
          </w:tcPr>
          <w:p>
            <w:r>
              <w:t>+10.4%</w:t>
            </w:r>
          </w:p>
        </w:tc>
        <w:tc>
          <w:tcPr>
            <w:tcW w:type="dxa" w:w="1234"/>
          </w:tcPr>
          <w:p>
            <w:r>
              <w:t>+14.2%</w:t>
            </w:r>
          </w:p>
        </w:tc>
        <w:tc>
          <w:tcPr>
            <w:tcW w:type="dxa" w:w="1234"/>
          </w:tcPr>
          <w:p>
            <w:r>
              <w:t>+31.0%</w:t>
            </w:r>
          </w:p>
        </w:tc>
        <w:tc>
          <w:tcPr>
            <w:tcW w:type="dxa" w:w="1234"/>
          </w:tcPr>
          <w:p>
            <w:r>
              <w:t>+12.8%</w:t>
            </w:r>
          </w:p>
        </w:tc>
      </w:tr>
    </w:tbl>
    <w:p>
      <w:pPr>
        <w:pStyle w:val="Heading2"/>
      </w:pPr>
      <w:r>
        <w:t>SAN VICENTE (export) — Error: -3.3%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1,319</w:t>
            </w:r>
          </w:p>
        </w:tc>
        <w:tc>
          <w:tcPr>
            <w:tcW w:type="dxa" w:w="1234"/>
          </w:tcPr>
          <w:p>
            <w:r>
              <w:t>1,144</w:t>
            </w:r>
          </w:p>
        </w:tc>
        <w:tc>
          <w:tcPr>
            <w:tcW w:type="dxa" w:w="1234"/>
          </w:tcPr>
          <w:p>
            <w:r>
              <w:t>1,231</w:t>
            </w:r>
          </w:p>
        </w:tc>
        <w:tc>
          <w:tcPr>
            <w:tcW w:type="dxa" w:w="1234"/>
          </w:tcPr>
          <w:p>
            <w:r>
              <w:t>1,377</w:t>
            </w:r>
          </w:p>
        </w:tc>
        <w:tc>
          <w:tcPr>
            <w:tcW w:type="dxa" w:w="1234"/>
          </w:tcPr>
          <w:p>
            <w:r>
              <w:t>1,333</w:t>
            </w:r>
          </w:p>
        </w:tc>
        <w:tc>
          <w:tcPr>
            <w:tcW w:type="dxa" w:w="1234"/>
          </w:tcPr>
          <w:p>
            <w:r>
              <w:t>6,404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1,061</w:t>
            </w:r>
          </w:p>
        </w:tc>
        <w:tc>
          <w:tcPr>
            <w:tcW w:type="dxa" w:w="1234"/>
          </w:tcPr>
          <w:p>
            <w:r>
              <w:t>1,190</w:t>
            </w:r>
          </w:p>
        </w:tc>
        <w:tc>
          <w:tcPr>
            <w:tcW w:type="dxa" w:w="1234"/>
          </w:tcPr>
          <w:p>
            <w:r>
              <w:t>1,191</w:t>
            </w:r>
          </w:p>
        </w:tc>
        <w:tc>
          <w:tcPr>
            <w:tcW w:type="dxa" w:w="1234"/>
          </w:tcPr>
          <w:p>
            <w:r>
              <w:t>1,320</w:t>
            </w:r>
          </w:p>
        </w:tc>
        <w:tc>
          <w:tcPr>
            <w:tcW w:type="dxa" w:w="1234"/>
          </w:tcPr>
          <w:p>
            <w:r>
              <w:t>1,431</w:t>
            </w:r>
          </w:p>
        </w:tc>
        <w:tc>
          <w:tcPr>
            <w:tcW w:type="dxa" w:w="1234"/>
          </w:tcPr>
          <w:p>
            <w:r>
              <w:t>6,193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-19.6%</w:t>
            </w:r>
          </w:p>
        </w:tc>
        <w:tc>
          <w:tcPr>
            <w:tcW w:type="dxa" w:w="1234"/>
          </w:tcPr>
          <w:p>
            <w:r>
              <w:t>+4.0%</w:t>
            </w:r>
          </w:p>
        </w:tc>
        <w:tc>
          <w:tcPr>
            <w:tcW w:type="dxa" w:w="1234"/>
          </w:tcPr>
          <w:p>
            <w:r>
              <w:t>-3.2%</w:t>
            </w:r>
          </w:p>
        </w:tc>
        <w:tc>
          <w:tcPr>
            <w:tcW w:type="dxa" w:w="1234"/>
          </w:tcPr>
          <w:p>
            <w:r>
              <w:t>-4.1%</w:t>
            </w:r>
          </w:p>
        </w:tc>
        <w:tc>
          <w:tcPr>
            <w:tcW w:type="dxa" w:w="1234"/>
          </w:tcPr>
          <w:p>
            <w:r>
              <w:t>+7.4%</w:t>
            </w:r>
          </w:p>
        </w:tc>
        <w:tc>
          <w:tcPr>
            <w:tcW w:type="dxa" w:w="1234"/>
          </w:tcPr>
          <w:p>
            <w:r>
              <w:t>-3.3%</w:t>
            </w:r>
          </w:p>
        </w:tc>
      </w:tr>
    </w:tbl>
    <w:p>
      <w:pPr>
        <w:pStyle w:val="Heading2"/>
      </w:pPr>
      <w:r>
        <w:t>CORONEL (export) — Error: +14.9%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1,040</w:t>
            </w:r>
          </w:p>
        </w:tc>
        <w:tc>
          <w:tcPr>
            <w:tcW w:type="dxa" w:w="1234"/>
          </w:tcPr>
          <w:p>
            <w:r>
              <w:t>1,131</w:t>
            </w:r>
          </w:p>
        </w:tc>
        <w:tc>
          <w:tcPr>
            <w:tcW w:type="dxa" w:w="1234"/>
          </w:tcPr>
          <w:p>
            <w:r>
              <w:t>1,159</w:t>
            </w:r>
          </w:p>
        </w:tc>
        <w:tc>
          <w:tcPr>
            <w:tcW w:type="dxa" w:w="1234"/>
          </w:tcPr>
          <w:p>
            <w:r>
              <w:t>1,294</w:t>
            </w:r>
          </w:p>
        </w:tc>
        <w:tc>
          <w:tcPr>
            <w:tcW w:type="dxa" w:w="1234"/>
          </w:tcPr>
          <w:p>
            <w:r>
              <w:t>1,127</w:t>
            </w:r>
          </w:p>
        </w:tc>
        <w:tc>
          <w:tcPr>
            <w:tcW w:type="dxa" w:w="1234"/>
          </w:tcPr>
          <w:p>
            <w:r>
              <w:t>5,751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1,331</w:t>
            </w:r>
          </w:p>
        </w:tc>
        <w:tc>
          <w:tcPr>
            <w:tcW w:type="dxa" w:w="1234"/>
          </w:tcPr>
          <w:p>
            <w:r>
              <w:t>1,326</w:t>
            </w:r>
          </w:p>
        </w:tc>
        <w:tc>
          <w:tcPr>
            <w:tcW w:type="dxa" w:w="1234"/>
          </w:tcPr>
          <w:p>
            <w:r>
              <w:t>1,344</w:t>
            </w:r>
          </w:p>
        </w:tc>
        <w:tc>
          <w:tcPr>
            <w:tcW w:type="dxa" w:w="1234"/>
          </w:tcPr>
          <w:p>
            <w:r>
              <w:t>1,326</w:t>
            </w:r>
          </w:p>
        </w:tc>
        <w:tc>
          <w:tcPr>
            <w:tcW w:type="dxa" w:w="1234"/>
          </w:tcPr>
          <w:p>
            <w:r>
              <w:t>1,281</w:t>
            </w:r>
          </w:p>
        </w:tc>
        <w:tc>
          <w:tcPr>
            <w:tcW w:type="dxa" w:w="1234"/>
          </w:tcPr>
          <w:p>
            <w:r>
              <w:t>6,608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+28.0%</w:t>
            </w:r>
          </w:p>
        </w:tc>
        <w:tc>
          <w:tcPr>
            <w:tcW w:type="dxa" w:w="1234"/>
          </w:tcPr>
          <w:p>
            <w:r>
              <w:t>+17.2%</w:t>
            </w:r>
          </w:p>
        </w:tc>
        <w:tc>
          <w:tcPr>
            <w:tcW w:type="dxa" w:w="1234"/>
          </w:tcPr>
          <w:p>
            <w:r>
              <w:t>+16.0%</w:t>
            </w:r>
          </w:p>
        </w:tc>
        <w:tc>
          <w:tcPr>
            <w:tcW w:type="dxa" w:w="1234"/>
          </w:tcPr>
          <w:p>
            <w:r>
              <w:t>+2.5%</w:t>
            </w:r>
          </w:p>
        </w:tc>
        <w:tc>
          <w:tcPr>
            <w:tcW w:type="dxa" w:w="1234"/>
          </w:tcPr>
          <w:p>
            <w:r>
              <w:t>+13.7%</w:t>
            </w:r>
          </w:p>
        </w:tc>
        <w:tc>
          <w:tcPr>
            <w:tcW w:type="dxa" w:w="1234"/>
          </w:tcPr>
          <w:p>
            <w:r>
              <w:t>+14.9%</w:t>
            </w:r>
          </w:p>
        </w:tc>
      </w:tr>
    </w:tbl>
    <w:p>
      <w:pPr>
        <w:pStyle w:val="Heading2"/>
      </w:pPr>
      <w:r>
        <w:t>LIRQUÉN (import) — Error: -1.3%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990</w:t>
            </w:r>
          </w:p>
        </w:tc>
        <w:tc>
          <w:tcPr>
            <w:tcW w:type="dxa" w:w="1234"/>
          </w:tcPr>
          <w:p>
            <w:r>
              <w:t>1,488</w:t>
            </w:r>
          </w:p>
        </w:tc>
        <w:tc>
          <w:tcPr>
            <w:tcW w:type="dxa" w:w="1234"/>
          </w:tcPr>
          <w:p>
            <w:r>
              <w:t>1,190</w:t>
            </w:r>
          </w:p>
        </w:tc>
        <w:tc>
          <w:tcPr>
            <w:tcW w:type="dxa" w:w="1234"/>
          </w:tcPr>
          <w:p>
            <w:r>
              <w:t>1,171</w:t>
            </w:r>
          </w:p>
        </w:tc>
        <w:tc>
          <w:tcPr>
            <w:tcW w:type="dxa" w:w="1234"/>
          </w:tcPr>
          <w:p>
            <w:r>
              <w:t>1,050</w:t>
            </w:r>
          </w:p>
        </w:tc>
        <w:tc>
          <w:tcPr>
            <w:tcW w:type="dxa" w:w="1234"/>
          </w:tcPr>
          <w:p>
            <w:r>
              <w:t>5,889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1,095</w:t>
            </w:r>
          </w:p>
        </w:tc>
        <w:tc>
          <w:tcPr>
            <w:tcW w:type="dxa" w:w="1234"/>
          </w:tcPr>
          <w:p>
            <w:r>
              <w:t>1,179</w:t>
            </w:r>
          </w:p>
        </w:tc>
        <w:tc>
          <w:tcPr>
            <w:tcW w:type="dxa" w:w="1234"/>
          </w:tcPr>
          <w:p>
            <w:r>
              <w:t>1,320</w:t>
            </w:r>
          </w:p>
        </w:tc>
        <w:tc>
          <w:tcPr>
            <w:tcW w:type="dxa" w:w="1234"/>
          </w:tcPr>
          <w:p>
            <w:r>
              <w:t>784</w:t>
            </w:r>
          </w:p>
        </w:tc>
        <w:tc>
          <w:tcPr>
            <w:tcW w:type="dxa" w:w="1234"/>
          </w:tcPr>
          <w:p>
            <w:r>
              <w:t>1,434</w:t>
            </w:r>
          </w:p>
        </w:tc>
        <w:tc>
          <w:tcPr>
            <w:tcW w:type="dxa" w:w="1234"/>
          </w:tcPr>
          <w:p>
            <w:r>
              <w:t>5,812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+10.6%</w:t>
            </w:r>
          </w:p>
        </w:tc>
        <w:tc>
          <w:tcPr>
            <w:tcW w:type="dxa" w:w="1234"/>
          </w:tcPr>
          <w:p>
            <w:r>
              <w:t>-20.8%</w:t>
            </w:r>
          </w:p>
        </w:tc>
        <w:tc>
          <w:tcPr>
            <w:tcW w:type="dxa" w:w="1234"/>
          </w:tcPr>
          <w:p>
            <w:r>
              <w:t>+10.9%</w:t>
            </w:r>
          </w:p>
        </w:tc>
        <w:tc>
          <w:tcPr>
            <w:tcW w:type="dxa" w:w="1234"/>
          </w:tcPr>
          <w:p>
            <w:r>
              <w:t>-33.0%</w:t>
            </w:r>
          </w:p>
        </w:tc>
        <w:tc>
          <w:tcPr>
            <w:tcW w:type="dxa" w:w="1234"/>
          </w:tcPr>
          <w:p>
            <w:r>
              <w:t>+36.6%</w:t>
            </w:r>
          </w:p>
        </w:tc>
        <w:tc>
          <w:tcPr>
            <w:tcW w:type="dxa" w:w="1234"/>
          </w:tcPr>
          <w:p>
            <w:r>
              <w:t>-1.3%</w:t>
            </w:r>
          </w:p>
        </w:tc>
      </w:tr>
    </w:tbl>
    <w:p>
      <w:pPr>
        <w:pStyle w:val="Heading2"/>
      </w:pPr>
      <w:r>
        <w:t>PUERTO ANGAMOS (import) — Error: -12.5%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1,108</w:t>
            </w:r>
          </w:p>
        </w:tc>
        <w:tc>
          <w:tcPr>
            <w:tcW w:type="dxa" w:w="1234"/>
          </w:tcPr>
          <w:p>
            <w:r>
              <w:t>1,095</w:t>
            </w:r>
          </w:p>
        </w:tc>
        <w:tc>
          <w:tcPr>
            <w:tcW w:type="dxa" w:w="1234"/>
          </w:tcPr>
          <w:p>
            <w:r>
              <w:t>1,081</w:t>
            </w:r>
          </w:p>
        </w:tc>
        <w:tc>
          <w:tcPr>
            <w:tcW w:type="dxa" w:w="1234"/>
          </w:tcPr>
          <w:p>
            <w:r>
              <w:t>1,226</w:t>
            </w:r>
          </w:p>
        </w:tc>
        <w:tc>
          <w:tcPr>
            <w:tcW w:type="dxa" w:w="1234"/>
          </w:tcPr>
          <w:p>
            <w:r>
              <w:t>1,325</w:t>
            </w:r>
          </w:p>
        </w:tc>
        <w:tc>
          <w:tcPr>
            <w:tcW w:type="dxa" w:w="1234"/>
          </w:tcPr>
          <w:p>
            <w:r>
              <w:t>5,835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815</w:t>
            </w:r>
          </w:p>
        </w:tc>
        <w:tc>
          <w:tcPr>
            <w:tcW w:type="dxa" w:w="1234"/>
          </w:tcPr>
          <w:p>
            <w:r>
              <w:t>981</w:t>
            </w:r>
          </w:p>
        </w:tc>
        <w:tc>
          <w:tcPr>
            <w:tcW w:type="dxa" w:w="1234"/>
          </w:tcPr>
          <w:p>
            <w:r>
              <w:t>823</w:t>
            </w:r>
          </w:p>
        </w:tc>
        <w:tc>
          <w:tcPr>
            <w:tcW w:type="dxa" w:w="1234"/>
          </w:tcPr>
          <w:p>
            <w:r>
              <w:t>1,186</w:t>
            </w:r>
          </w:p>
        </w:tc>
        <w:tc>
          <w:tcPr>
            <w:tcW w:type="dxa" w:w="1234"/>
          </w:tcPr>
          <w:p>
            <w:r>
              <w:t>1,301</w:t>
            </w:r>
          </w:p>
        </w:tc>
        <w:tc>
          <w:tcPr>
            <w:tcW w:type="dxa" w:w="1234"/>
          </w:tcPr>
          <w:p>
            <w:r>
              <w:t>5,106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-26.4%</w:t>
            </w:r>
          </w:p>
        </w:tc>
        <w:tc>
          <w:tcPr>
            <w:tcW w:type="dxa" w:w="1234"/>
          </w:tcPr>
          <w:p>
            <w:r>
              <w:t>-10.4%</w:t>
            </w:r>
          </w:p>
        </w:tc>
        <w:tc>
          <w:tcPr>
            <w:tcW w:type="dxa" w:w="1234"/>
          </w:tcPr>
          <w:p>
            <w:r>
              <w:t>-23.9%</w:t>
            </w:r>
          </w:p>
        </w:tc>
        <w:tc>
          <w:tcPr>
            <w:tcW w:type="dxa" w:w="1234"/>
          </w:tcPr>
          <w:p>
            <w:r>
              <w:t>-3.3%</w:t>
            </w:r>
          </w:p>
        </w:tc>
        <w:tc>
          <w:tcPr>
            <w:tcW w:type="dxa" w:w="1234"/>
          </w:tcPr>
          <w:p>
            <w:r>
              <w:t>-1.8%</w:t>
            </w:r>
          </w:p>
        </w:tc>
        <w:tc>
          <w:tcPr>
            <w:tcW w:type="dxa" w:w="1234"/>
          </w:tcPr>
          <w:p>
            <w:r>
              <w:t>-12.5%</w:t>
            </w:r>
          </w:p>
        </w:tc>
      </w:tr>
    </w:tbl>
    <w:p>
      <w:pPr>
        <w:pStyle w:val="Heading1"/>
      </w:pPr>
      <w:r>
        <w:t>5. Medium Port Monthly Breakdowns</w:t>
      </w:r>
    </w:p>
    <w:p>
      <w:r>
        <w:t>Medium ports have higher relative error (17.1% wMAPE) due to higher month-to-month volatility and smaller sample sizes for training.</w:t>
      </w:r>
    </w:p>
    <w:p>
      <w:pPr>
        <w:pStyle w:val="Heading2"/>
      </w:pPr>
      <w:r>
        <w:t>ANTOFAGASTA (import) — Error: +17.5%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335</w:t>
            </w:r>
          </w:p>
        </w:tc>
        <w:tc>
          <w:tcPr>
            <w:tcW w:type="dxa" w:w="1234"/>
          </w:tcPr>
          <w:p>
            <w:r>
              <w:t>216</w:t>
            </w:r>
          </w:p>
        </w:tc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230</w:t>
            </w:r>
          </w:p>
        </w:tc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1,180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294</w:t>
            </w:r>
          </w:p>
        </w:tc>
        <w:tc>
          <w:tcPr>
            <w:tcW w:type="dxa" w:w="1234"/>
          </w:tcPr>
          <w:p>
            <w:r>
              <w:t>277</w:t>
            </w:r>
          </w:p>
        </w:tc>
        <w:tc>
          <w:tcPr>
            <w:tcW w:type="dxa" w:w="1234"/>
          </w:tcPr>
          <w:p>
            <w:r>
              <w:t>272</w:t>
            </w:r>
          </w:p>
        </w:tc>
        <w:tc>
          <w:tcPr>
            <w:tcW w:type="dxa" w:w="1234"/>
          </w:tcPr>
          <w:p>
            <w:r>
              <w:t>272</w:t>
            </w:r>
          </w:p>
        </w:tc>
        <w:tc>
          <w:tcPr>
            <w:tcW w:type="dxa" w:w="1234"/>
          </w:tcPr>
          <w:p>
            <w:r>
              <w:t>272</w:t>
            </w:r>
          </w:p>
        </w:tc>
        <w:tc>
          <w:tcPr>
            <w:tcW w:type="dxa" w:w="1234"/>
          </w:tcPr>
          <w:p>
            <w:r>
              <w:t>1,387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-12.2%</w:t>
            </w:r>
          </w:p>
        </w:tc>
        <w:tc>
          <w:tcPr>
            <w:tcW w:type="dxa" w:w="1234"/>
          </w:tcPr>
          <w:p>
            <w:r>
              <w:t>+28.2%</w:t>
            </w:r>
          </w:p>
        </w:tc>
        <w:tc>
          <w:tcPr>
            <w:tcW w:type="dxa" w:w="1234"/>
          </w:tcPr>
          <w:p>
            <w:r>
              <w:t>+13.3%</w:t>
            </w:r>
          </w:p>
        </w:tc>
        <w:tc>
          <w:tcPr>
            <w:tcW w:type="dxa" w:w="1234"/>
          </w:tcPr>
          <w:p>
            <w:r>
              <w:t>+18.3%</w:t>
            </w:r>
          </w:p>
        </w:tc>
        <w:tc>
          <w:tcPr>
            <w:tcW w:type="dxa" w:w="1234"/>
          </w:tcPr>
          <w:p>
            <w:r>
              <w:t>+71.1%</w:t>
            </w:r>
          </w:p>
        </w:tc>
        <w:tc>
          <w:tcPr>
            <w:tcW w:type="dxa" w:w="1234"/>
          </w:tcPr>
          <w:p>
            <w:r>
              <w:t>+17.5%</w:t>
            </w:r>
          </w:p>
        </w:tc>
      </w:tr>
    </w:tbl>
    <w:p>
      <w:pPr>
        <w:pStyle w:val="Heading2"/>
      </w:pPr>
      <w:r>
        <w:t>IQUIQUE (import) — Error: +1.2%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327</w:t>
            </w:r>
          </w:p>
        </w:tc>
        <w:tc>
          <w:tcPr>
            <w:tcW w:type="dxa" w:w="1234"/>
          </w:tcPr>
          <w:p>
            <w:r>
              <w:t>257</w:t>
            </w:r>
          </w:p>
        </w:tc>
        <w:tc>
          <w:tcPr>
            <w:tcW w:type="dxa" w:w="1234"/>
          </w:tcPr>
          <w:p>
            <w:r>
              <w:t>243</w:t>
            </w:r>
          </w:p>
        </w:tc>
        <w:tc>
          <w:tcPr>
            <w:tcW w:type="dxa" w:w="1234"/>
          </w:tcPr>
          <w:p>
            <w:r>
              <w:t>1,175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288</w:t>
            </w:r>
          </w:p>
        </w:tc>
        <w:tc>
          <w:tcPr>
            <w:tcW w:type="dxa" w:w="1234"/>
          </w:tcPr>
          <w:p>
            <w:r>
              <w:t>213</w:t>
            </w:r>
          </w:p>
        </w:tc>
        <w:tc>
          <w:tcPr>
            <w:tcW w:type="dxa" w:w="1234"/>
          </w:tcPr>
          <w:p>
            <w:r>
              <w:t>226</w:t>
            </w:r>
          </w:p>
        </w:tc>
        <w:tc>
          <w:tcPr>
            <w:tcW w:type="dxa" w:w="1234"/>
          </w:tcPr>
          <w:p>
            <w:r>
              <w:t>213</w:t>
            </w:r>
          </w:p>
        </w:tc>
        <w:tc>
          <w:tcPr>
            <w:tcW w:type="dxa" w:w="1234"/>
          </w:tcPr>
          <w:p>
            <w:r>
              <w:t>249</w:t>
            </w:r>
          </w:p>
        </w:tc>
        <w:tc>
          <w:tcPr>
            <w:tcW w:type="dxa" w:w="1234"/>
          </w:tcPr>
          <w:p>
            <w:r>
              <w:t>1,189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+46.2%</w:t>
            </w:r>
          </w:p>
        </w:tc>
        <w:tc>
          <w:tcPr>
            <w:tcW w:type="dxa" w:w="1234"/>
          </w:tcPr>
          <w:p>
            <w:r>
              <w:t>+41.1%</w:t>
            </w:r>
          </w:p>
        </w:tc>
        <w:tc>
          <w:tcPr>
            <w:tcW w:type="dxa" w:w="1234"/>
          </w:tcPr>
          <w:p>
            <w:r>
              <w:t>-30.9%</w:t>
            </w:r>
          </w:p>
        </w:tc>
        <w:tc>
          <w:tcPr>
            <w:tcW w:type="dxa" w:w="1234"/>
          </w:tcPr>
          <w:p>
            <w:r>
              <w:t>-17.1%</w:t>
            </w:r>
          </w:p>
        </w:tc>
        <w:tc>
          <w:tcPr>
            <w:tcW w:type="dxa" w:w="1234"/>
          </w:tcPr>
          <w:p>
            <w:r>
              <w:t>+2.5%</w:t>
            </w:r>
          </w:p>
        </w:tc>
        <w:tc>
          <w:tcPr>
            <w:tcW w:type="dxa" w:w="1234"/>
          </w:tcPr>
          <w:p>
            <w:r>
              <w:t>+1.2%</w:t>
            </w:r>
          </w:p>
        </w:tc>
      </w:tr>
    </w:tbl>
    <w:p>
      <w:pPr>
        <w:pStyle w:val="Heading2"/>
      </w:pPr>
      <w:r>
        <w:t>IQUIQUE (export) — Error: -28.6%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597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426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-42.4%</w:t>
            </w:r>
          </w:p>
        </w:tc>
        <w:tc>
          <w:tcPr>
            <w:tcW w:type="dxa" w:w="1234"/>
          </w:tcPr>
          <w:p>
            <w:r>
              <w:t>-25.6%</w:t>
            </w:r>
          </w:p>
        </w:tc>
        <w:tc>
          <w:tcPr>
            <w:tcW w:type="dxa" w:w="1234"/>
          </w:tcPr>
          <w:p>
            <w:r>
              <w:t>-40.3%</w:t>
            </w:r>
          </w:p>
        </w:tc>
        <w:tc>
          <w:tcPr>
            <w:tcW w:type="dxa" w:w="1234"/>
          </w:tcPr>
          <w:p>
            <w:r>
              <w:t>-13.7%</w:t>
            </w:r>
          </w:p>
        </w:tc>
        <w:tc>
          <w:tcPr>
            <w:tcW w:type="dxa" w:w="1234"/>
          </w:tcPr>
          <w:p>
            <w:r>
              <w:t>-7.6%</w:t>
            </w:r>
          </w:p>
        </w:tc>
        <w:tc>
          <w:tcPr>
            <w:tcW w:type="dxa" w:w="1234"/>
          </w:tcPr>
          <w:p>
            <w:r>
              <w:t>-28.6%</w:t>
            </w:r>
          </w:p>
        </w:tc>
      </w:tr>
    </w:tbl>
    <w:p>
      <w:pPr>
        <w:pStyle w:val="Heading2"/>
      </w:pPr>
      <w:r>
        <w:t>ARICA (import) — Error: -2.0%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307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301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-21.1%</w:t>
            </w:r>
          </w:p>
        </w:tc>
        <w:tc>
          <w:tcPr>
            <w:tcW w:type="dxa" w:w="1234"/>
          </w:tcPr>
          <w:p>
            <w:r>
              <w:t>+20.0%</w:t>
            </w:r>
          </w:p>
        </w:tc>
        <w:tc>
          <w:tcPr>
            <w:tcW w:type="dxa" w:w="1234"/>
          </w:tcPr>
          <w:p>
            <w:r>
              <w:t>-14.1%</w:t>
            </w:r>
          </w:p>
        </w:tc>
        <w:tc>
          <w:tcPr>
            <w:tcW w:type="dxa" w:w="1234"/>
          </w:tcPr>
          <w:p>
            <w:r>
              <w:t>-13.0%</w:t>
            </w:r>
          </w:p>
        </w:tc>
        <w:tc>
          <w:tcPr>
            <w:tcW w:type="dxa" w:w="1234"/>
          </w:tcPr>
          <w:p>
            <w:r>
              <w:t>+46.3%</w:t>
            </w:r>
          </w:p>
        </w:tc>
        <w:tc>
          <w:tcPr>
            <w:tcW w:type="dxa" w:w="1234"/>
          </w:tcPr>
          <w:p>
            <w:r>
              <w:t>-2.0%</w:t>
            </w:r>
          </w:p>
        </w:tc>
      </w:tr>
    </w:tbl>
    <w:p>
      <w:pPr>
        <w:pStyle w:val="Heading2"/>
      </w:pPr>
      <w:r>
        <w:t>COQUIMBO (export) — Error: +127.3%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322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281</w:t>
            </w:r>
          </w:p>
        </w:tc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732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+98.2%</w:t>
            </w:r>
          </w:p>
        </w:tc>
        <w:tc>
          <w:tcPr>
            <w:tcW w:type="dxa" w:w="1234"/>
          </w:tcPr>
          <w:p>
            <w:r>
              <w:t>+130.3%</w:t>
            </w:r>
          </w:p>
        </w:tc>
        <w:tc>
          <w:tcPr>
            <w:tcW w:type="dxa" w:w="1234"/>
          </w:tcPr>
          <w:p>
            <w:r>
              <w:t>+39.2%</w:t>
            </w:r>
          </w:p>
        </w:tc>
        <w:tc>
          <w:tcPr>
            <w:tcW w:type="dxa" w:w="1234"/>
          </w:tcPr>
          <w:p>
            <w:r>
              <w:t>+1437.5%</w:t>
            </w:r>
          </w:p>
        </w:tc>
        <w:tc>
          <w:tcPr>
            <w:tcW w:type="dxa" w:w="1234"/>
          </w:tcPr>
          <w:p>
            <w:r>
              <w:t>+275.0%</w:t>
            </w:r>
          </w:p>
        </w:tc>
        <w:tc>
          <w:tcPr>
            <w:tcW w:type="dxa" w:w="1234"/>
          </w:tcPr>
          <w:p>
            <w:r>
              <w:t>+127.3%</w:t>
            </w:r>
          </w:p>
        </w:tc>
      </w:tr>
    </w:tbl>
    <w:p>
      <w:pPr>
        <w:pStyle w:val="Heading2"/>
      </w:pPr>
      <w:r>
        <w:t>QUINTERO (import) — Error: +12.1%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324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+50.0%</w:t>
            </w:r>
          </w:p>
        </w:tc>
        <w:tc>
          <w:tcPr>
            <w:tcW w:type="dxa" w:w="1234"/>
          </w:tcPr>
          <w:p>
            <w:r>
              <w:t>+18.0%</w:t>
            </w:r>
          </w:p>
        </w:tc>
        <w:tc>
          <w:tcPr>
            <w:tcW w:type="dxa" w:w="1234"/>
          </w:tcPr>
          <w:p>
            <w:r>
              <w:t>-9.0%</w:t>
            </w:r>
          </w:p>
        </w:tc>
        <w:tc>
          <w:tcPr>
            <w:tcW w:type="dxa" w:w="1234"/>
          </w:tcPr>
          <w:p>
            <w:r>
              <w:t>+4.4%</w:t>
            </w:r>
          </w:p>
        </w:tc>
        <w:tc>
          <w:tcPr>
            <w:tcW w:type="dxa" w:w="1234"/>
          </w:tcPr>
          <w:p>
            <w:r>
              <w:t>+12.9%</w:t>
            </w:r>
          </w:p>
        </w:tc>
        <w:tc>
          <w:tcPr>
            <w:tcW w:type="dxa" w:w="1234"/>
          </w:tcPr>
          <w:p>
            <w:r>
              <w:t>+12.1%</w:t>
            </w:r>
          </w:p>
        </w:tc>
      </w:tr>
    </w:tbl>
    <w:p>
      <w:pPr>
        <w:pStyle w:val="Heading2"/>
      </w:pPr>
      <w:r>
        <w:t>MEJILLONES (import) — Error: +5.1%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273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287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-14.1%</w:t>
            </w:r>
          </w:p>
        </w:tc>
        <w:tc>
          <w:tcPr>
            <w:tcW w:type="dxa" w:w="1234"/>
          </w:tcPr>
          <w:p>
            <w:r>
              <w:t>+5.8%</w:t>
            </w:r>
          </w:p>
        </w:tc>
        <w:tc>
          <w:tcPr>
            <w:tcW w:type="dxa" w:w="1234"/>
          </w:tcPr>
          <w:p>
            <w:r>
              <w:t>-20.8%</w:t>
            </w:r>
          </w:p>
        </w:tc>
        <w:tc>
          <w:tcPr>
            <w:tcW w:type="dxa" w:w="1234"/>
          </w:tcPr>
          <w:p>
            <w:r>
              <w:t>+7.4%</w:t>
            </w:r>
          </w:p>
        </w:tc>
        <w:tc>
          <w:tcPr>
            <w:tcW w:type="dxa" w:w="1234"/>
          </w:tcPr>
          <w:p>
            <w:r>
              <w:t>+54.0%</w:t>
            </w:r>
          </w:p>
        </w:tc>
        <w:tc>
          <w:tcPr>
            <w:tcW w:type="dxa" w:w="1234"/>
          </w:tcPr>
          <w:p>
            <w:r>
              <w:t>+5.1%</w:t>
            </w:r>
          </w:p>
        </w:tc>
      </w:tr>
    </w:tbl>
    <w:p>
      <w:pPr>
        <w:pStyle w:val="Heading1"/>
      </w:pPr>
      <w:r>
        <w:t>6. Small Port Sample Breakdowns</w:t>
      </w:r>
    </w:p>
    <w:p>
      <w:r>
        <w:t>Small ports have the highest relative error (25.2% wMAPE) but represent less than 1% of total volume. High relative errors on small absolute numbers have minimal business impact.</w:t>
      </w:r>
    </w:p>
    <w:p>
      <w:pPr>
        <w:pStyle w:val="Heading2"/>
      </w:pPr>
      <w:r>
        <w:t>TALCAHUANO (import) — Error: -25.6%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117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87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-41.4%</w:t>
            </w:r>
          </w:p>
        </w:tc>
        <w:tc>
          <w:tcPr>
            <w:tcW w:type="dxa" w:w="1234"/>
          </w:tcPr>
          <w:p>
            <w:r>
              <w:t>+0.0%</w:t>
            </w:r>
          </w:p>
        </w:tc>
        <w:tc>
          <w:tcPr>
            <w:tcW w:type="dxa" w:w="1234"/>
          </w:tcPr>
          <w:p>
            <w:r>
              <w:t>-21.7%</w:t>
            </w:r>
          </w:p>
        </w:tc>
        <w:tc>
          <w:tcPr>
            <w:tcW w:type="dxa" w:w="1234"/>
          </w:tcPr>
          <w:p>
            <w:r>
              <w:t>-35.7%</w:t>
            </w:r>
          </w:p>
        </w:tc>
        <w:tc>
          <w:tcPr>
            <w:tcW w:type="dxa" w:w="1234"/>
          </w:tcPr>
          <w:p>
            <w:r>
              <w:t>-15.0%</w:t>
            </w:r>
          </w:p>
        </w:tc>
        <w:tc>
          <w:tcPr>
            <w:tcW w:type="dxa" w:w="1234"/>
          </w:tcPr>
          <w:p>
            <w:r>
              <w:t>-25.6%</w:t>
            </w:r>
          </w:p>
        </w:tc>
      </w:tr>
    </w:tbl>
    <w:p>
      <w:pPr>
        <w:pStyle w:val="Heading2"/>
      </w:pPr>
      <w:r>
        <w:t>PUNTA ARENAS (import) — Error: -5.6%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34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-22.2%</w:t>
            </w:r>
          </w:p>
        </w:tc>
        <w:tc>
          <w:tcPr>
            <w:tcW w:type="dxa" w:w="1234"/>
          </w:tcPr>
          <w:p>
            <w:r>
              <w:t>+75.0%</w:t>
            </w:r>
          </w:p>
        </w:tc>
        <w:tc>
          <w:tcPr>
            <w:tcW w:type="dxa" w:w="1234"/>
          </w:tcPr>
          <w:p>
            <w:r>
              <w:t>-53.3%</w:t>
            </w:r>
          </w:p>
        </w:tc>
        <w:tc>
          <w:tcPr>
            <w:tcW w:type="dxa" w:w="1234"/>
          </w:tcPr>
          <w:p>
            <w:r>
              <w:t>+133.3%</w:t>
            </w:r>
          </w:p>
        </w:tc>
        <w:tc>
          <w:tcPr>
            <w:tcW w:type="dxa" w:w="1234"/>
          </w:tcPr>
          <w:p>
            <w:r>
              <w:t>+20.0%</w:t>
            </w:r>
          </w:p>
        </w:tc>
        <w:tc>
          <w:tcPr>
            <w:tcW w:type="dxa" w:w="1234"/>
          </w:tcPr>
          <w:p>
            <w:r>
              <w:t>-5.6%</w:t>
            </w:r>
          </w:p>
        </w:tc>
      </w:tr>
    </w:tbl>
    <w:p>
      <w:pPr>
        <w:pStyle w:val="Heading2"/>
      </w:pPr>
      <w:r>
        <w:t>CALDERA (export) — Error: -5.0%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60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57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-29.2%</w:t>
            </w:r>
          </w:p>
        </w:tc>
        <w:tc>
          <w:tcPr>
            <w:tcW w:type="dxa" w:w="1234"/>
          </w:tcPr>
          <w:p>
            <w:r>
              <w:t>+6.2%</w:t>
            </w:r>
          </w:p>
        </w:tc>
        <w:tc>
          <w:tcPr>
            <w:tcW w:type="dxa" w:w="1234"/>
          </w:tcPr>
          <w:p>
            <w:r>
              <w:t>+28.6%</w:t>
            </w:r>
          </w:p>
        </w:tc>
        <w:tc>
          <w:tcPr>
            <w:tcW w:type="dxa" w:w="1234"/>
          </w:tcPr>
          <w:p>
            <w:r>
              <w:t>+16.7%</w:t>
            </w:r>
          </w:p>
        </w:tc>
        <w:tc>
          <w:tcPr>
            <w:tcW w:type="dxa" w:w="1234"/>
          </w:tcPr>
          <w:p>
            <w:r>
              <w:t>+0.0%</w:t>
            </w:r>
          </w:p>
        </w:tc>
        <w:tc>
          <w:tcPr>
            <w:tcW w:type="dxa" w:w="1234"/>
          </w:tcPr>
          <w:p>
            <w:r>
              <w:t>-5.0%</w:t>
            </w:r>
          </w:p>
        </w:tc>
      </w:tr>
    </w:tbl>
    <w:p>
      <w:pPr>
        <w:pStyle w:val="Heading2"/>
      </w:pPr>
      <w:r>
        <w:t>PENCO (import) — Error: +102.5%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Feb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Apr</w:t>
            </w:r>
          </w:p>
        </w:tc>
        <w:tc>
          <w:tcPr>
            <w:tcW w:type="dxa" w:w="1234"/>
          </w:tcPr>
          <w:p>
            <w:r>
              <w:t>May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Actual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40</w:t>
            </w:r>
          </w:p>
        </w:tc>
      </w:tr>
      <w:tr>
        <w:tc>
          <w:tcPr>
            <w:tcW w:type="dxa" w:w="1234"/>
          </w:tcPr>
          <w:p>
            <w:r>
              <w:t>Forecast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81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+55.6%</w:t>
            </w:r>
          </w:p>
        </w:tc>
        <w:tc>
          <w:tcPr>
            <w:tcW w:type="dxa" w:w="1234"/>
          </w:tcPr>
          <w:p>
            <w:r>
              <w:t>-11.8%</w:t>
            </w:r>
          </w:p>
        </w:tc>
        <w:tc>
          <w:tcPr>
            <w:tcW w:type="dxa" w:w="1234"/>
          </w:tcPr>
          <w:p>
            <w:r>
              <w:t>+128.6%</w:t>
            </w:r>
          </w:p>
        </w:tc>
        <w:tc>
          <w:tcPr>
            <w:tcW w:type="dxa" w:w="1234"/>
          </w:tcPr>
          <w:p>
            <w:r>
              <w:t>+500.0%</w:t>
            </w:r>
          </w:p>
        </w:tc>
        <w:tc>
          <w:tcPr>
            <w:tcW w:type="dxa" w:w="1234"/>
          </w:tcPr>
          <w:p>
            <w:r>
              <w:t>+350.0%</w:t>
            </w:r>
          </w:p>
        </w:tc>
        <w:tc>
          <w:tcPr>
            <w:tcW w:type="dxa" w:w="1234"/>
          </w:tcPr>
          <w:p>
            <w:r>
              <w:t>+102.5%</w:t>
            </w:r>
          </w:p>
        </w:tc>
      </w:tr>
    </w:tbl>
    <w:p>
      <w:pPr>
        <w:pStyle w:val="Heading1"/>
      </w:pPr>
      <w:r>
        <w:t>7. Key Findings</w:t>
      </w:r>
    </w:p>
    <w:p>
      <w:r>
        <w:t>1. San Antonio import, the single largest port handling 57% of maritime imports, tracks within 3.4% error. The hybrid ensemble's Baseline Seasonal Naive model works well for high-volume, highly seasonal ports.</w:t>
      </w:r>
    </w:p>
    <w:p>
      <w:r>
        <w:t>2. San Antonio export is even better at 1.2% error, confirming the volume-threshold design choice that assigns the Baseline to ports with &gt;=500 average monthly shipments.</w:t>
      </w:r>
    </w:p>
    <w:p>
      <w:r>
        <w:t>3. Valparaiso import is the biggest miss at 26.1% over-prediction. The May 2026 forecast was 22,603 vs actual 11,856 (+91%). This port may have experienced a structural shift in Q2 2026 — such as cargo diversion to San Antonio — not captured by the 2005–2025 training data.</w:t>
      </w:r>
    </w:p>
    <w:p>
      <w:r>
        <w:t>4. Coquimbo export shows 127% over-prediction. The model forecasted 732 shipments but only 322 occurred. This small, volatile port has highly seasonal fruit export patterns (January–March peak) that the model over-extended into April and May.</w:t>
      </w:r>
    </w:p>
    <w:p>
      <w:r>
        <w:t>5. The hybrid ensemble wMAPE of 4.03% on the 2025 holdout translates to 8.5% wMAPE on the first five months of live 2026 data. Some degradation is expected because: (a) 2026 is fully out-of-sample with no overlap to training, (b) the recursive 12-step forecast compounds small errors forward through the lag features, and (c) real-world conditions may diverge from historical patterns.</w:t>
      </w:r>
    </w:p>
    <w:p>
      <w:r>
        <w:t>6. Large ports (&gt;=500 ships/month) carry 98.2% of volume and achieve 8.3% wMAPE — the model is most accurate where it matters most for commercial routing decisions.</w:t>
      </w:r>
    </w:p>
    <w:p>
      <w:r>
        <w:t>7. Small ports (&lt;50 ships/month) have 25.2% wMAPE but represent only 0.3% of total volume. High relative errors on small numbers (Penco: 40 actual vs 81 forecast) have minimal business impact.</w:t>
      </w:r>
    </w:p>
    <w:p>
      <w:r>
        <w:t>8. The overall direction bias is slight over-prediction (+7.1%), suggesting that national maritime trade volume through May 2026 may be running slightly below 2025 levels, or that seasonal trade patterns have shifted compared to the historical average.</w:t>
      </w:r>
    </w:p>
    <w:p>
      <w:pPr>
        <w:pStyle w:val="Heading1"/>
      </w:pPr>
      <w:r>
        <w:t>8. Comparison to Holdout Performance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2025 Holdout</w:t>
            </w:r>
          </w:p>
        </w:tc>
        <w:tc>
          <w:tcPr>
            <w:tcW w:type="dxa" w:w="2880"/>
          </w:tcPr>
          <w:p>
            <w:r>
              <w:t>2026 Live (Jan–May)</w:t>
            </w:r>
          </w:p>
        </w:tc>
      </w:tr>
      <w:tr>
        <w:tc>
          <w:tcPr>
            <w:tcW w:type="dxa" w:w="2880"/>
          </w:tcPr>
          <w:p>
            <w:r>
              <w:t>wMAPE</w:t>
            </w:r>
          </w:p>
        </w:tc>
        <w:tc>
          <w:tcPr>
            <w:tcW w:type="dxa" w:w="2880"/>
          </w:tcPr>
          <w:p>
            <w:r>
              <w:t>4.03%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Evaluation type</w:t>
            </w:r>
          </w:p>
        </w:tc>
        <w:tc>
          <w:tcPr>
            <w:tcW w:type="dxa" w:w="2880"/>
          </w:tcPr>
          <w:p>
            <w:r>
              <w:t>1-step (single year)</w:t>
            </w:r>
          </w:p>
        </w:tc>
        <w:tc>
          <w:tcPr>
            <w:tcW w:type="dxa" w:w="2880"/>
          </w:tcPr>
          <w:p>
            <w:r>
              <w:t>Recursive 12-step (5 months observed)</w:t>
            </w:r>
          </w:p>
        </w:tc>
      </w:tr>
      <w:tr>
        <w:tc>
          <w:tcPr>
            <w:tcW w:type="dxa" w:w="2880"/>
          </w:tcPr>
          <w:p>
            <w:r>
              <w:t>Data overlap</w:t>
            </w:r>
          </w:p>
        </w:tc>
        <w:tc>
          <w:tcPr>
            <w:tcW w:type="dxa" w:w="2880"/>
          </w:tcPr>
          <w:p>
            <w:r>
              <w:t>Partial (trained on 2005–2024)</w:t>
            </w:r>
          </w:p>
        </w:tc>
        <w:tc>
          <w:tcPr>
            <w:tcW w:type="dxa" w:w="2880"/>
          </w:tcPr>
          <w:p>
            <w:r>
              <w:t>None (trained on 2005–2025)</w:t>
            </w:r>
          </w:p>
        </w:tc>
      </w:tr>
    </w:tbl>
    <w:p/>
    <w:p>
      <w:r>
        <w:t>The degradation from 4.03% to 8.5% is within the expected range for a recursive out-of-sample forecast. The 2025 holdout was evaluated with a single walk-forward step, while the 2026 forecast feeds predictions back as inputs for up to five consecutive months. Each compounding step introduces additional uncertainty. Despite this, the overall accuracy — particularly on the largest ports that drive commercial routing decisions — validates the hybrid ensemble as a viable production forecasting system.</w:t>
      </w:r>
    </w:p>
    <w:p>
      <w:pPr>
        <w:pStyle w:val="Heading1"/>
      </w:pPr>
      <w:r>
        <w:t>9. Source Files Reference</w:t>
      </w:r>
    </w:p>
    <w:p>
      <w:pPr>
        <w:pStyle w:val="ListBullet"/>
      </w:pPr>
      <w:r>
        <w:t>Actual data: 2026_data/Ingresos_mayo_2026.csv, 2026_data/Salidas_mayo2026.csv</w:t>
      </w:r>
    </w:p>
    <w:p>
      <w:pPr>
        <w:pStyle w:val="ListBullet"/>
      </w:pPr>
      <w:r>
        <w:t>Forecast data: dashboard-2.0/public/data/port_forecast.json</w:t>
      </w:r>
    </w:p>
    <w:p>
      <w:pPr>
        <w:pStyle w:val="ListBullet"/>
      </w:pPr>
      <w:r>
        <w:t>Port lookup: structured.lkp_puertos (AWS RDS PostgreSQL)</w:t>
      </w:r>
    </w:p>
    <w:p>
      <w:pPr>
        <w:pStyle w:val="ListBullet"/>
      </w:pPr>
      <w:r>
        <w:t>ML pipeline: modeling/04_ml_congestion.py</w:t>
      </w:r>
    </w:p>
    <w:p>
      <w:pPr>
        <w:pStyle w:val="ListBullet"/>
      </w:pPr>
      <w:r>
        <w:t>Shared utilities: modeling/wz_ml_utils.py</w:t>
      </w:r>
    </w:p>
    <w:p>
      <w:pPr>
        <w:pStyle w:val="ListBullet"/>
      </w:pPr>
      <w:r>
        <w:t>Hybrid ensemble notebook: modeling/notebooks/11_hybrid_ensemble.ipynb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