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WazeCargo — ML Forecasting Methodology &amp; Model Analysis</w:t>
      </w:r>
    </w:p>
    <w:p>
      <w:r>
        <w:t>Summary for the project memo. Covers both ML pipelines (port congestion and commodity), the model evaluation framework, which models win and why, the data-leakage discovery and fix, and the final production configuration.</w:t>
      </w:r>
    </w:p>
    <w:p>
      <w:pPr>
        <w:pStyle w:val="Heading1"/>
      </w:pPr>
      <w:r>
        <w:t>1. Overview of the Two ML Pipelines</w:t>
      </w:r>
    </w:p>
    <w:p>
      <w:r>
        <w:t>WazeCargo runs two independent ML pipelines to produce the 2026 port intelligence forecasts. Both share the same evaluation framework (walk-forward cross-validation, COVID-aware feature engineering, shared utility module) but differ in granularity, model selection strategy, and output schema.</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p>
        </w:tc>
        <w:tc>
          <w:tcPr>
            <w:tcW w:type="dxa" w:w="2160"/>
          </w:tcPr>
          <w:p>
            <w:r>
              <w:rPr>
                <w:b/>
              </w:rPr>
              <w:t>Port Congestion Pipeline</w:t>
            </w:r>
          </w:p>
        </w:tc>
        <w:tc>
          <w:tcPr>
            <w:tcW w:type="dxa" w:w="2160"/>
          </w:tcPr>
          <w:p>
            <w:r>
              <w:rPr>
                <w:b/>
              </w:rPr>
              <w:t>Commodity Pipeline</w:t>
            </w:r>
          </w:p>
        </w:tc>
        <w:tc>
          <w:tcPr>
            <w:tcW w:type="dxa" w:w="2160"/>
          </w:tcPr>
          <w:p>
            <w:r>
              <w:rPr>
                <w:b/>
              </w:rPr>
              <w:t>Key Difference</w:t>
            </w:r>
          </w:p>
        </w:tc>
      </w:tr>
      <w:tr>
        <w:tc>
          <w:tcPr>
            <w:tcW w:type="dxa" w:w="2160"/>
          </w:tcPr>
          <w:p>
            <w:r>
              <w:t>Granularity</w:t>
            </w:r>
          </w:p>
        </w:tc>
        <w:tc>
          <w:tcPr>
            <w:tcW w:type="dxa" w:w="2160"/>
          </w:tcPr>
          <w:p>
            <w:r>
              <w:t>Port x Direction (62 pairs)</w:t>
            </w:r>
          </w:p>
        </w:tc>
        <w:tc>
          <w:tcPr>
            <w:tcW w:type="dxa" w:w="2160"/>
          </w:tcPr>
          <w:p>
            <w:r>
              <w:t>HS2 x Port x Direction (hundreds of combos)</w:t>
            </w:r>
          </w:p>
        </w:tc>
        <w:tc>
          <w:tcPr>
            <w:tcW w:type="dxa" w:w="2160"/>
          </w:tcPr>
          <w:p>
            <w:r>
              <w:t>Commodity is finer-grained</w:t>
            </w:r>
          </w:p>
        </w:tc>
      </w:tr>
      <w:tr>
        <w:tc>
          <w:tcPr>
            <w:tcW w:type="dxa" w:w="2160"/>
          </w:tcPr>
          <w:p>
            <w:r>
              <w:t>Model selection</w:t>
            </w:r>
          </w:p>
        </w:tc>
        <w:tc>
          <w:tcPr>
            <w:tcW w:type="dxa" w:w="2160"/>
          </w:tcPr>
          <w:p>
            <w:r>
              <w:t>Hybrid: big ports -&gt; Baseline, small ports -&gt; best ML by CV</w:t>
            </w:r>
          </w:p>
        </w:tc>
        <w:tc>
          <w:tcPr>
            <w:tcW w:type="dxa" w:w="2160"/>
          </w:tcPr>
          <w:p>
            <w:r>
              <w:t>Pure best-model-per-combo by CV (no volume threshold)</w:t>
            </w:r>
          </w:p>
        </w:tc>
        <w:tc>
          <w:tcPr>
            <w:tcW w:type="dxa" w:w="2160"/>
          </w:tcPr>
          <w:p>
            <w:r>
              <w:t>Congestion uses domain knowledge to split strategy</w:t>
            </w:r>
          </w:p>
        </w:tc>
      </w:tr>
    </w:tbl>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Pipeline</w:t>
            </w:r>
          </w:p>
        </w:tc>
        <w:tc>
          <w:tcPr>
            <w:tcW w:type="dxa" w:w="2880"/>
          </w:tcPr>
          <w:p>
            <w:r>
              <w:rPr>
                <w:b/>
              </w:rPr>
              <w:t>Script</w:t>
            </w:r>
          </w:p>
        </w:tc>
        <w:tc>
          <w:tcPr>
            <w:tcW w:type="dxa" w:w="2880"/>
          </w:tcPr>
          <w:p>
            <w:r>
              <w:rPr>
                <w:b/>
              </w:rPr>
              <w:t>RDS Output Tables</w:t>
            </w:r>
          </w:p>
        </w:tc>
      </w:tr>
      <w:tr>
        <w:tc>
          <w:tcPr>
            <w:tcW w:type="dxa" w:w="2880"/>
          </w:tcPr>
          <w:p>
            <w:r>
              <w:t>Port Congestion</w:t>
            </w:r>
          </w:p>
        </w:tc>
        <w:tc>
          <w:tcPr>
            <w:tcW w:type="dxa" w:w="2880"/>
          </w:tcPr>
          <w:p>
            <w:r>
              <w:t>modeling/04_ml_congestion.py</w:t>
            </w:r>
          </w:p>
        </w:tc>
        <w:tc>
          <w:tcPr>
            <w:tcW w:type="dxa" w:w="2880"/>
          </w:tcPr>
          <w:p>
            <w:r>
              <w:t>ml.port_monthly_agg, ml.port_features_indexed, ml.port_cv_metrics, ml.port_model_selection, ml.port_forecast_2026</w:t>
            </w:r>
          </w:p>
        </w:tc>
      </w:tr>
      <w:tr>
        <w:tc>
          <w:tcPr>
            <w:tcW w:type="dxa" w:w="2880"/>
          </w:tcPr>
          <w:p>
            <w:r>
              <w:t>Commodity</w:t>
            </w:r>
          </w:p>
        </w:tc>
        <w:tc>
          <w:tcPr>
            <w:tcW w:type="dxa" w:w="2880"/>
          </w:tcPr>
          <w:p>
            <w:r>
              <w:t>modeling/05_ml_commodity.py</w:t>
            </w:r>
          </w:p>
        </w:tc>
        <w:tc>
          <w:tcPr>
            <w:tcW w:type="dxa" w:w="2880"/>
          </w:tcPr>
          <w:p>
            <w:r>
              <w:t>ml.commodity_monthly_agg, ml.commodity_features, ml.commodity_cv_metrics, ml.commodity_model_selection, ml.commodity_forecast_2026</w:t>
            </w:r>
          </w:p>
        </w:tc>
      </w:tr>
    </w:tbl>
    <w:p>
      <w:pPr>
        <w:pStyle w:val="Heading1"/>
      </w:pPr>
      <w:r>
        <w:t>2. Data &amp; Feature Engineering</w:t>
      </w:r>
    </w:p>
    <w:p>
      <w:pPr>
        <w:pStyle w:val="Heading2"/>
      </w:pPr>
      <w:r>
        <w:t>2.1 Data Sources</w:t>
      </w:r>
    </w:p>
    <w:p>
      <w:r>
        <w:t>Both pipelines read from the same cleaned customs tables in RDS: maritime.clean_maritime_imports (CIF records, 2005-2025) and maritime.clean_maritime_exports (FOB records, 2005-2025). These contain individual shipment records with port, commodity (HS2/HS4), origin/destination, cargo type, value, weight, and quantity fields.</w:t>
      </w:r>
    </w:p>
    <w:p>
      <w:pPr>
        <w:pStyle w:val="Heading2"/>
      </w:pPr>
      <w:r>
        <w:t>2.2 Monthly Aggregation</w:t>
      </w:r>
    </w:p>
    <w:p>
      <w:r>
        <w:t>The congestion pipeline aggregates to port x direction x month (shipment count, total value, total weight, commodity diversity, cargo-type shares). The commodity pipeline aggregates to HS2 x port x direction x month (same metrics but scoped to a single commodity chapter). This produces ~12,700 rows for congestion and tens of thousands for commodity.</w:t>
      </w:r>
    </w:p>
    <w:p>
      <w:pPr>
        <w:pStyle w:val="Heading2"/>
      </w:pPr>
      <w:r>
        <w:t>2.3 Feature Engineering (Shared Framework)</w:t>
      </w:r>
    </w:p>
    <w:p>
      <w:r>
        <w:t>Both pipelines apply the same feature engineering logic in SQL, producing a COVID-aware feature panel. The key feature groups are:</w:t>
      </w:r>
    </w:p>
    <w:p>
      <w:r>
        <w:rPr>
          <w:b/>
        </w:rPr>
        <w:t xml:space="preserve">Lag variables: </w:t>
      </w:r>
      <w:r>
        <w:t>lag_1, lag_2, lag_3, lag_12_clean (COVID-aware substitution), lag_value_12, lag_weight_12. The COVID-aware lag skips 2020-2022 when the 12-month lag falls in a COVID year, reaching back to lag_24, lag_36, or lag_48 to find a pre-pandemic comparison.</w:t>
      </w:r>
    </w:p>
    <w:p>
      <w:r>
        <w:rPr>
          <w:b/>
        </w:rPr>
        <w:t xml:space="preserve">Growth rates: </w:t>
      </w:r>
      <w:r>
        <w:t>yoy_growth_clean (COVID-aware year-over-year growth), yoy_value_growth. Growth is also COVID-corrected using the same skip logic.</w:t>
      </w:r>
    </w:p>
    <w:p>
      <w:r>
        <w:rPr>
          <w:b/>
        </w:rPr>
        <w:t xml:space="preserve">Seasonal encoding: </w:t>
      </w:r>
      <w:r>
        <w:t>month_sin, month_cos (Fourier), quarter, year_index (trend). These capture the strong seasonality in Chilean port traffic.</w:t>
      </w:r>
    </w:p>
    <w:p>
      <w:r>
        <w:rPr>
          <w:b/>
        </w:rPr>
        <w:t xml:space="preserve">Rolling means: </w:t>
      </w:r>
      <w:r>
        <w:t>rolling_3_mean, rolling_12_mean, rolling_value_12_mean. Computed over past-only windows (ROWS BETWEEN n PRECEDING AND 1 PRECEDING) after the data-leakage fix described in Section 5.</w:t>
      </w:r>
    </w:p>
    <w:p>
      <w:r>
        <w:rPr>
          <w:b/>
        </w:rPr>
        <w:t xml:space="preserve">Cargo-mix features: </w:t>
      </w:r>
      <w:r>
        <w:t>commodity_diversity, hs4_diversity, country_diversity, continent_diversity, pct_general, pct_bulk, pct_refrigerated, pct_container, avg_value_per_shipment, weight_per_shipment. These capture the structural profile of trade flowing through the port.</w:t>
      </w:r>
    </w:p>
    <w:p>
      <w:r>
        <w:rPr>
          <w:b/>
        </w:rPr>
        <w:t xml:space="preserve">COVID flags: </w:t>
      </w:r>
      <w:r>
        <w:t>is_covid_shock (2020), is_covid_rebound (2021), is_covid_aftershock (2022), lag_12_is_covid. These let models discount anomalous pandemic-era observations.</w:t>
      </w:r>
    </w:p>
    <w:p>
      <w:pPr>
        <w:pStyle w:val="Heading2"/>
      </w:pPr>
      <w:r>
        <w:t>2.4 COVID-Aware Sample Weighting</w:t>
      </w:r>
    </w:p>
    <w:p>
      <w:r>
        <w:t>During model training, observations from COVID years receive reduced sample weights: 2020 = 0.1, 2021 = 0.2, 2022 = 0.4 (normal years = 1.0). This prevents the pandemic disruption from dominating the learned patterns while still allowing models to see the recovery trajectory.</w:t>
      </w:r>
    </w:p>
    <w:p>
      <w:pPr>
        <w:pStyle w:val="Heading2"/>
      </w:pPr>
      <w:r>
        <w:t>2.5 Feature List Differences Between Pipelines</w:t>
      </w:r>
    </w:p>
    <w:p>
      <w:r>
        <w:t>The congestion pipeline uses 26 features including cargo-mix ratios (pct_general, pct_bulk, pct_container, pct_refrigerated) and diversity counts. The commodity pipeline uses 21 features, dropping the cargo-mix diversity features (which are not meaningful at the HS2 level since each combo is already a single commodity chapter).</w:t>
      </w:r>
    </w:p>
    <w:p>
      <w:pPr>
        <w:pStyle w:val="Heading1"/>
      </w:pPr>
      <w:r>
        <w:t>3. Models Evaluated</w:t>
      </w:r>
    </w:p>
    <w:p>
      <w:r>
        <w:t>Both pipelines evaluate the same seven model families under identical walk-forward cross-validation. An eighth model (Prophet) was tested only in the notebooks.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Model</w:t>
            </w:r>
          </w:p>
        </w:tc>
        <w:tc>
          <w:tcPr>
            <w:tcW w:type="dxa" w:w="2160"/>
          </w:tcPr>
          <w:p>
            <w:r>
              <w:rPr>
                <w:b/>
              </w:rPr>
              <w:t>Family</w:t>
            </w:r>
          </w:p>
        </w:tc>
        <w:tc>
          <w:tcPr>
            <w:tcW w:type="dxa" w:w="2160"/>
          </w:tcPr>
          <w:p>
            <w:r>
              <w:rPr>
                <w:b/>
              </w:rPr>
              <w:t>Key Hyperparameters</w:t>
            </w:r>
          </w:p>
        </w:tc>
        <w:tc>
          <w:tcPr>
            <w:tcW w:type="dxa" w:w="2160"/>
          </w:tcPr>
          <w:p>
            <w:r>
              <w:rPr>
                <w:b/>
              </w:rPr>
              <w:t>COVID Handling</w:t>
            </w:r>
          </w:p>
        </w:tc>
      </w:tr>
      <w:tr>
        <w:tc>
          <w:tcPr>
            <w:tcW w:type="dxa" w:w="2160"/>
          </w:tcPr>
          <w:p>
            <w:r>
              <w:t>Baseline Seasonal Naive</w:t>
            </w:r>
          </w:p>
        </w:tc>
        <w:tc>
          <w:tcPr>
            <w:tcW w:type="dxa" w:w="2160"/>
          </w:tcPr>
          <w:p>
            <w:r>
              <w:t>Heuristic</w:t>
            </w:r>
          </w:p>
        </w:tc>
        <w:tc>
          <w:tcPr>
            <w:tcW w:type="dxa" w:w="2160"/>
          </w:tcPr>
          <w:p>
            <w:r>
              <w:t>lag_12_clean x (1 + yoy_growth_clean), growth capped at +/-20%</w:t>
            </w:r>
          </w:p>
        </w:tc>
        <w:tc>
          <w:tcPr>
            <w:tcW w:type="dxa" w:w="2160"/>
          </w:tcPr>
          <w:p>
            <w:r>
              <w:t>COVID-aware lag substitution</w:t>
            </w:r>
          </w:p>
        </w:tc>
      </w:tr>
      <w:tr>
        <w:tc>
          <w:tcPr>
            <w:tcW w:type="dxa" w:w="2160"/>
          </w:tcPr>
          <w:p>
            <w:r>
              <w:t>LightGBM</w:t>
            </w:r>
          </w:p>
        </w:tc>
        <w:tc>
          <w:tcPr>
            <w:tcW w:type="dxa" w:w="2160"/>
          </w:tcPr>
          <w:p>
            <w:r>
              <w:t>Gradient Boosting</w:t>
            </w:r>
          </w:p>
        </w:tc>
        <w:tc>
          <w:tcPr>
            <w:tcW w:type="dxa" w:w="2160"/>
          </w:tcPr>
          <w:p>
            <w:r>
              <w:t>lr=0.05, leaves=31, 500 rounds, early stop 50, bagging=0.8</w:t>
            </w:r>
          </w:p>
        </w:tc>
        <w:tc>
          <w:tcPr>
            <w:tcW w:type="dxa" w:w="2160"/>
          </w:tcPr>
          <w:p>
            <w:r>
              <w:t>Sample weights + early stop on clean validation year</w:t>
            </w:r>
          </w:p>
        </w:tc>
      </w:tr>
      <w:tr>
        <w:tc>
          <w:tcPr>
            <w:tcW w:type="dxa" w:w="2160"/>
          </w:tcPr>
          <w:p>
            <w:r>
              <w:t>XGBoost</w:t>
            </w:r>
          </w:p>
        </w:tc>
        <w:tc>
          <w:tcPr>
            <w:tcW w:type="dxa" w:w="2160"/>
          </w:tcPr>
          <w:p>
            <w:r>
              <w:t>Gradient Boosting</w:t>
            </w:r>
          </w:p>
        </w:tc>
        <w:tc>
          <w:tcPr>
            <w:tcW w:type="dxa" w:w="2160"/>
          </w:tcPr>
          <w:p>
            <w:r>
              <w:t>lr=0.05, depth=5, 500 rounds, early stop 50, subsample=0.8</w:t>
            </w:r>
          </w:p>
        </w:tc>
        <w:tc>
          <w:tcPr>
            <w:tcW w:type="dxa" w:w="2160"/>
          </w:tcPr>
          <w:p>
            <w:r>
              <w:t>Sample weights + early stop on clean validation year</w:t>
            </w:r>
          </w:p>
        </w:tc>
      </w:tr>
      <w:tr>
        <w:tc>
          <w:tcPr>
            <w:tcW w:type="dxa" w:w="2160"/>
          </w:tcPr>
          <w:p>
            <w:r>
              <w:t>Random Forest</w:t>
            </w:r>
          </w:p>
        </w:tc>
        <w:tc>
          <w:tcPr>
            <w:tcW w:type="dxa" w:w="2160"/>
          </w:tcPr>
          <w:p>
            <w:r>
              <w:t>Ensemble</w:t>
            </w:r>
          </w:p>
        </w:tc>
        <w:tc>
          <w:tcPr>
            <w:tcW w:type="dxa" w:w="2160"/>
          </w:tcPr>
          <w:p>
            <w:r>
              <w:t>400 trees, sqrt features, min_leaf=2</w:t>
            </w:r>
          </w:p>
        </w:tc>
        <w:tc>
          <w:tcPr>
            <w:tcW w:type="dxa" w:w="2160"/>
          </w:tcPr>
          <w:p>
            <w:r>
              <w:t>COVID years dropped from training set entirely</w:t>
            </w:r>
          </w:p>
        </w:tc>
      </w:tr>
      <w:tr>
        <w:tc>
          <w:tcPr>
            <w:tcW w:type="dxa" w:w="2160"/>
          </w:tcPr>
          <w:p>
            <w:r>
              <w:t>Ridge</w:t>
            </w:r>
          </w:p>
        </w:tc>
        <w:tc>
          <w:tcPr>
            <w:tcW w:type="dxa" w:w="2160"/>
          </w:tcPr>
          <w:p>
            <w:r>
              <w:t>Regularized Linear</w:t>
            </w:r>
          </w:p>
        </w:tc>
        <w:tc>
          <w:tcPr>
            <w:tcW w:type="dxa" w:w="2160"/>
          </w:tcPr>
          <w:p>
            <w:r>
              <w:t>CV alphas [0.01, 0.1, 1, 10, 100], StandardScaler</w:t>
            </w:r>
          </w:p>
        </w:tc>
        <w:tc>
          <w:tcPr>
            <w:tcW w:type="dxa" w:w="2160"/>
          </w:tcPr>
          <w:p>
            <w:r>
              <w:t>COVID years dropped from training set</w:t>
            </w:r>
          </w:p>
        </w:tc>
      </w:tr>
      <w:tr>
        <w:tc>
          <w:tcPr>
            <w:tcW w:type="dxa" w:w="2160"/>
          </w:tcPr>
          <w:p>
            <w:r>
              <w:t>Lasso</w:t>
            </w:r>
          </w:p>
        </w:tc>
        <w:tc>
          <w:tcPr>
            <w:tcW w:type="dxa" w:w="2160"/>
          </w:tcPr>
          <w:p>
            <w:r>
              <w:t>Regularized Linear</w:t>
            </w:r>
          </w:p>
        </w:tc>
        <w:tc>
          <w:tcPr>
            <w:tcW w:type="dxa" w:w="2160"/>
          </w:tcPr>
          <w:p>
            <w:r>
              <w:t>CV alphas [0.01, 0.1, 1, 10, 100], max_iter=5000</w:t>
            </w:r>
          </w:p>
        </w:tc>
        <w:tc>
          <w:tcPr>
            <w:tcW w:type="dxa" w:w="2160"/>
          </w:tcPr>
          <w:p>
            <w:r>
              <w:t>COVID years dropped from training set</w:t>
            </w:r>
          </w:p>
        </w:tc>
      </w:tr>
      <w:tr>
        <w:tc>
          <w:tcPr>
            <w:tcW w:type="dxa" w:w="2160"/>
          </w:tcPr>
          <w:p>
            <w:r>
              <w:t>ElasticNet</w:t>
            </w:r>
          </w:p>
        </w:tc>
        <w:tc>
          <w:tcPr>
            <w:tcW w:type="dxa" w:w="2160"/>
          </w:tcPr>
          <w:p>
            <w:r>
              <w:t>Regularized Linear</w:t>
            </w:r>
          </w:p>
        </w:tc>
        <w:tc>
          <w:tcPr>
            <w:tcW w:type="dxa" w:w="2160"/>
          </w:tcPr>
          <w:p>
            <w:r>
              <w:t>l1_ratio [0.1,0.5,0.7,0.9], CV alphas, max_iter=5000</w:t>
            </w:r>
          </w:p>
        </w:tc>
        <w:tc>
          <w:tcPr>
            <w:tcW w:type="dxa" w:w="2160"/>
          </w:tcPr>
          <w:p>
            <w:r>
              <w:t>COVID years dropped from training set</w:t>
            </w:r>
          </w:p>
        </w:tc>
      </w:tr>
      <w:tr>
        <w:tc>
          <w:tcPr>
            <w:tcW w:type="dxa" w:w="2160"/>
          </w:tcPr>
          <w:p>
            <w:r>
              <w:t>Prophet</w:t>
            </w:r>
          </w:p>
        </w:tc>
        <w:tc>
          <w:tcPr>
            <w:tcW w:type="dxa" w:w="2160"/>
          </w:tcPr>
          <w:p>
            <w:r>
              <w:t>Additive/Multiplicative</w:t>
            </w:r>
          </w:p>
        </w:tc>
        <w:tc>
          <w:tcPr>
            <w:tcW w:type="dxa" w:w="2160"/>
          </w:tcPr>
          <w:p>
            <w:r>
              <w:t>Multiplicative seasonality, COVID changepoints, cp_prior=0.05</w:t>
            </w:r>
          </w:p>
        </w:tc>
        <w:tc>
          <w:tcPr>
            <w:tcW w:type="dxa" w:w="2160"/>
          </w:tcPr>
          <w:p>
            <w:r>
              <w:t>COVID rows excluded; explicit changepoints at pandemic transitions</w:t>
            </w:r>
          </w:p>
        </w:tc>
      </w:tr>
    </w:tbl>
    <w:p>
      <w:pPr>
        <w:pStyle w:val="Heading1"/>
      </w:pPr>
      <w:r>
        <w:t>4. Evaluation Framework</w:t>
      </w:r>
    </w:p>
    <w:p>
      <w:pPr>
        <w:pStyle w:val="Heading2"/>
      </w:pPr>
      <w:r>
        <w:t>4.1 Walk-Forward Cross-Validation</w:t>
      </w:r>
    </w:p>
    <w:p>
      <w:r>
        <w:t>All models are evaluated under a strict temporal walk-forward protocol with four folds. Each fold trains on all data up to a cutoff year and tests on the following year. This mimics the real production scenario: the model never sees future data during training.</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Fold</w:t>
            </w:r>
          </w:p>
        </w:tc>
        <w:tc>
          <w:tcPr>
            <w:tcW w:type="dxa" w:w="2160"/>
          </w:tcPr>
          <w:p>
            <w:r>
              <w:rPr>
                <w:b/>
              </w:rPr>
              <w:t>Train up to</w:t>
            </w:r>
          </w:p>
        </w:tc>
        <w:tc>
          <w:tcPr>
            <w:tcW w:type="dxa" w:w="2160"/>
          </w:tcPr>
          <w:p>
            <w:r>
              <w:rPr>
                <w:b/>
              </w:rPr>
              <w:t>Test year</w:t>
            </w:r>
          </w:p>
        </w:tc>
        <w:tc>
          <w:tcPr>
            <w:tcW w:type="dxa" w:w="2160"/>
          </w:tcPr>
          <w:p>
            <w:r>
              <w:rPr>
                <w:b/>
              </w:rPr>
              <w:t>Purpose</w:t>
            </w:r>
          </w:p>
        </w:tc>
      </w:tr>
      <w:tr>
        <w:tc>
          <w:tcPr>
            <w:tcW w:type="dxa" w:w="2160"/>
          </w:tcPr>
          <w:p>
            <w:r>
              <w:t>1</w:t>
            </w:r>
          </w:p>
        </w:tc>
        <w:tc>
          <w:tcPr>
            <w:tcW w:type="dxa" w:w="2160"/>
          </w:tcPr>
          <w:p>
            <w:r>
              <w:t>2018</w:t>
            </w:r>
          </w:p>
        </w:tc>
        <w:tc>
          <w:tcPr>
            <w:tcW w:type="dxa" w:w="2160"/>
          </w:tcPr>
          <w:p>
            <w:r>
              <w:t>2019</w:t>
            </w:r>
          </w:p>
        </w:tc>
        <w:tc>
          <w:tcPr>
            <w:tcW w:type="dxa" w:w="2160"/>
          </w:tcPr>
          <w:p>
            <w:r>
              <w:t>Pre-COVID baseline accuracy</w:t>
            </w:r>
          </w:p>
        </w:tc>
      </w:tr>
      <w:tr>
        <w:tc>
          <w:tcPr>
            <w:tcW w:type="dxa" w:w="2160"/>
          </w:tcPr>
          <w:p>
            <w:r>
              <w:t>2</w:t>
            </w:r>
          </w:p>
        </w:tc>
        <w:tc>
          <w:tcPr>
            <w:tcW w:type="dxa" w:w="2160"/>
          </w:tcPr>
          <w:p>
            <w:r>
              <w:t>2019</w:t>
            </w:r>
          </w:p>
        </w:tc>
        <w:tc>
          <w:tcPr>
            <w:tcW w:type="dxa" w:w="2160"/>
          </w:tcPr>
          <w:p>
            <w:r>
              <w:t>2023</w:t>
            </w:r>
          </w:p>
        </w:tc>
        <w:tc>
          <w:tcPr>
            <w:tcW w:type="dxa" w:w="2160"/>
          </w:tcPr>
          <w:p>
            <w:r>
              <w:t>Post-COVID recovery (hardest fold; baseline collapses)</w:t>
            </w:r>
          </w:p>
        </w:tc>
      </w:tr>
      <w:tr>
        <w:tc>
          <w:tcPr>
            <w:tcW w:type="dxa" w:w="2160"/>
          </w:tcPr>
          <w:p>
            <w:r>
              <w:t>3</w:t>
            </w:r>
          </w:p>
        </w:tc>
        <w:tc>
          <w:tcPr>
            <w:tcW w:type="dxa" w:w="2160"/>
          </w:tcPr>
          <w:p>
            <w:r>
              <w:t>2023</w:t>
            </w:r>
          </w:p>
        </w:tc>
        <w:tc>
          <w:tcPr>
            <w:tcW w:type="dxa" w:w="2160"/>
          </w:tcPr>
          <w:p>
            <w:r>
              <w:t>2024</w:t>
            </w:r>
          </w:p>
        </w:tc>
        <w:tc>
          <w:tcPr>
            <w:tcW w:type="dxa" w:w="2160"/>
          </w:tcPr>
          <w:p>
            <w:r>
              <w:t>Recent accuracy on recovery year</w:t>
            </w:r>
          </w:p>
        </w:tc>
      </w:tr>
      <w:tr>
        <w:tc>
          <w:tcPr>
            <w:tcW w:type="dxa" w:w="2160"/>
          </w:tcPr>
          <w:p>
            <w:r>
              <w:t>4</w:t>
            </w:r>
          </w:p>
        </w:tc>
        <w:tc>
          <w:tcPr>
            <w:tcW w:type="dxa" w:w="2160"/>
          </w:tcPr>
          <w:p>
            <w:r>
              <w:t>2024</w:t>
            </w:r>
          </w:p>
        </w:tc>
        <w:tc>
          <w:tcPr>
            <w:tcW w:type="dxa" w:w="2160"/>
          </w:tcPr>
          <w:p>
            <w:r>
              <w:t>2025</w:t>
            </w:r>
          </w:p>
        </w:tc>
        <w:tc>
          <w:tcPr>
            <w:tcW w:type="dxa" w:w="2160"/>
          </w:tcPr>
          <w:p>
            <w:r>
              <w:t>Most recent fold — primary selection criterion</w:t>
            </w:r>
          </w:p>
        </w:tc>
      </w:tr>
    </w:tbl>
    <w:p>
      <w:pPr>
        <w:pStyle w:val="Heading2"/>
      </w:pPr>
      <w:r>
        <w:t>4.2 Metrics</w:t>
      </w:r>
    </w:p>
    <w:p>
      <w:r>
        <w:t>Four metrics are computed per port-direction pair per fold: MAE, RMSE, MAPE, and R-squared. The primary ranking metric is volume-weighted MAPE (wMAPE) — this prevents tiny ports with a handful of shipments per month from dominating the headline accuracy number. Large ports that handle most of Chile's trade carry more weight in the aggregate score.</w:t>
      </w:r>
    </w:p>
    <w:p>
      <w:pPr>
        <w:pStyle w:val="Heading2"/>
      </w:pPr>
      <w:r>
        <w:t>4.3 Feature Selection</w:t>
      </w:r>
    </w:p>
    <w:p>
      <w:r>
        <w:t>Before training, a correlation filter drops features with Pearson correlation &gt; 0.95 on the training fold. This removes redundant columns without manual tuning and adapts per port-direction pair.</w:t>
      </w:r>
    </w:p>
    <w:p>
      <w:pPr>
        <w:pStyle w:val="Heading1"/>
      </w:pPr>
      <w:r>
        <w:t>5. Data Leakage Discovery &amp; Fix</w:t>
      </w:r>
    </w:p>
    <w:p>
      <w:r>
        <w:t>During the EDA process, two critical data-leakage bugs were discovered in the feature engineering SQL. These are documented in detail in notebook 09 (Bugs Found) and represent the most important methodological finding of the project.</w:t>
      </w:r>
    </w:p>
    <w:p>
      <w:pPr>
        <w:pStyle w:val="Heading2"/>
      </w:pPr>
      <w:r>
        <w:t>5.1 Bug 1: Full-History Min-Max Normalization</w:t>
      </w:r>
    </w:p>
    <w:p>
      <w:r>
        <w:t>The columns sc_norm, v_norm, w_norm, and cd_norm were computed with a PARTITION BY window that had no ORDER BY or frame bounds. This meant the min and max were computed over the ENTIRE history (2005-2025), so a training row from 2015 already embedded the 2025 maximum value. Since sc_norm is a perfect affine transformation of shipment_count (the target), linear models could recover the target exactly: Ridge/Lasso/ElasticNet all achieved R-squared = 1.000 with MAE near zero — an impossible result that was the first alarm signal.</w:t>
      </w:r>
    </w:p>
    <w:p>
      <w:pPr>
        <w:pStyle w:val="Heading2"/>
      </w:pPr>
      <w:r>
        <w:t>5.2 Bug 2: Inclusive Rolling Means</w:t>
      </w:r>
    </w:p>
    <w:p>
      <w:r>
        <w:t>The rolling_3_mean and rolling_12_mean features were computed with ROWS BETWEEN n PRECEDING AND CURRENT ROW, meaning they included the current row's target value. This created an algebraic identity: shipment_count = 3 x rolling_3_mean - lag_1 - lag_2. Linear models exploited this exactly; tree models exploited it partially (R-squared ~0.91 instead of 1.0), making the leak harder to detect visually.</w:t>
      </w:r>
    </w:p>
    <w:p>
      <w:pPr>
        <w:pStyle w:val="Heading2"/>
      </w:pPr>
      <w:r>
        <w:t>5.3 Impact on Reported Metrics</w:t>
      </w:r>
    </w:p>
    <w:p>
      <w:r>
        <w:t>Before vs. after the leakage fix (median R-squared across all ports and folds):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Model</w:t>
            </w:r>
          </w:p>
        </w:tc>
        <w:tc>
          <w:tcPr>
            <w:tcW w:type="dxa" w:w="2160"/>
          </w:tcPr>
          <w:p>
            <w:r>
              <w:rPr>
                <w:b/>
              </w:rPr>
              <w:t>R-squared (Leaky)</w:t>
            </w:r>
          </w:p>
        </w:tc>
        <w:tc>
          <w:tcPr>
            <w:tcW w:type="dxa" w:w="2160"/>
          </w:tcPr>
          <w:p>
            <w:r>
              <w:rPr>
                <w:b/>
              </w:rPr>
              <w:t>R-squared (Clean)</w:t>
            </w:r>
          </w:p>
        </w:tc>
        <w:tc>
          <w:tcPr>
            <w:tcW w:type="dxa" w:w="2160"/>
          </w:tcPr>
          <w:p>
            <w:r>
              <w:rPr>
                <w:b/>
              </w:rPr>
              <w:t>Delta</w:t>
            </w:r>
          </w:p>
        </w:tc>
      </w:tr>
      <w:tr>
        <w:tc>
          <w:tcPr>
            <w:tcW w:type="dxa" w:w="2160"/>
          </w:tcPr>
          <w:p>
            <w:r>
              <w:t>Ridge</w:t>
            </w:r>
          </w:p>
        </w:tc>
        <w:tc>
          <w:tcPr>
            <w:tcW w:type="dxa" w:w="2160"/>
          </w:tcPr>
          <w:p>
            <w:r>
              <w:t>1.000</w:t>
            </w:r>
          </w:p>
        </w:tc>
        <w:tc>
          <w:tcPr>
            <w:tcW w:type="dxa" w:w="2160"/>
          </w:tcPr>
          <w:p>
            <w:r>
              <w:t>0.369</w:t>
            </w:r>
          </w:p>
        </w:tc>
        <w:tc>
          <w:tcPr>
            <w:tcW w:type="dxa" w:w="2160"/>
          </w:tcPr>
          <w:p>
            <w:r>
              <w:t>-0.631</w:t>
            </w:r>
          </w:p>
        </w:tc>
      </w:tr>
      <w:tr>
        <w:tc>
          <w:tcPr>
            <w:tcW w:type="dxa" w:w="2160"/>
          </w:tcPr>
          <w:p>
            <w:r>
              <w:t>Lasso</w:t>
            </w:r>
          </w:p>
        </w:tc>
        <w:tc>
          <w:tcPr>
            <w:tcW w:type="dxa" w:w="2160"/>
          </w:tcPr>
          <w:p>
            <w:r>
              <w:t>1.000</w:t>
            </w:r>
          </w:p>
        </w:tc>
        <w:tc>
          <w:tcPr>
            <w:tcW w:type="dxa" w:w="2160"/>
          </w:tcPr>
          <w:p>
            <w:r>
              <w:t>0.349</w:t>
            </w:r>
          </w:p>
        </w:tc>
        <w:tc>
          <w:tcPr>
            <w:tcW w:type="dxa" w:w="2160"/>
          </w:tcPr>
          <w:p>
            <w:r>
              <w:t>-0.651</w:t>
            </w:r>
          </w:p>
        </w:tc>
      </w:tr>
      <w:tr>
        <w:tc>
          <w:tcPr>
            <w:tcW w:type="dxa" w:w="2160"/>
          </w:tcPr>
          <w:p>
            <w:r>
              <w:t>ElasticNet</w:t>
            </w:r>
          </w:p>
        </w:tc>
        <w:tc>
          <w:tcPr>
            <w:tcW w:type="dxa" w:w="2160"/>
          </w:tcPr>
          <w:p>
            <w:r>
              <w:t>1.000</w:t>
            </w:r>
          </w:p>
        </w:tc>
        <w:tc>
          <w:tcPr>
            <w:tcW w:type="dxa" w:w="2160"/>
          </w:tcPr>
          <w:p>
            <w:r>
              <w:t>0.368</w:t>
            </w:r>
          </w:p>
        </w:tc>
        <w:tc>
          <w:tcPr>
            <w:tcW w:type="dxa" w:w="2160"/>
          </w:tcPr>
          <w:p>
            <w:r>
              <w:t>-0.632</w:t>
            </w:r>
          </w:p>
        </w:tc>
      </w:tr>
      <w:tr>
        <w:tc>
          <w:tcPr>
            <w:tcW w:type="dxa" w:w="2160"/>
          </w:tcPr>
          <w:p>
            <w:r>
              <w:t>LightGBM</w:t>
            </w:r>
          </w:p>
        </w:tc>
        <w:tc>
          <w:tcPr>
            <w:tcW w:type="dxa" w:w="2160"/>
          </w:tcPr>
          <w:p>
            <w:r>
              <w:t>0.535</w:t>
            </w:r>
          </w:p>
        </w:tc>
        <w:tc>
          <w:tcPr>
            <w:tcW w:type="dxa" w:w="2160"/>
          </w:tcPr>
          <w:p>
            <w:r>
              <w:t>0.220</w:t>
            </w:r>
          </w:p>
        </w:tc>
        <w:tc>
          <w:tcPr>
            <w:tcW w:type="dxa" w:w="2160"/>
          </w:tcPr>
          <w:p>
            <w:r>
              <w:t>-0.315</w:t>
            </w:r>
          </w:p>
        </w:tc>
      </w:tr>
      <w:tr>
        <w:tc>
          <w:tcPr>
            <w:tcW w:type="dxa" w:w="2160"/>
          </w:tcPr>
          <w:p>
            <w:r>
              <w:t>XGBoost</w:t>
            </w:r>
          </w:p>
        </w:tc>
        <w:tc>
          <w:tcPr>
            <w:tcW w:type="dxa" w:w="2160"/>
          </w:tcPr>
          <w:p>
            <w:r>
              <w:t>0.588</w:t>
            </w:r>
          </w:p>
        </w:tc>
        <w:tc>
          <w:tcPr>
            <w:tcW w:type="dxa" w:w="2160"/>
          </w:tcPr>
          <w:p>
            <w:r>
              <w:t>0.319</w:t>
            </w:r>
          </w:p>
        </w:tc>
        <w:tc>
          <w:tcPr>
            <w:tcW w:type="dxa" w:w="2160"/>
          </w:tcPr>
          <w:p>
            <w:r>
              <w:t>-0.269</w:t>
            </w:r>
          </w:p>
        </w:tc>
      </w:tr>
      <w:tr>
        <w:tc>
          <w:tcPr>
            <w:tcW w:type="dxa" w:w="2160"/>
          </w:tcPr>
          <w:p>
            <w:r>
              <w:t>Random Forest</w:t>
            </w:r>
          </w:p>
        </w:tc>
        <w:tc>
          <w:tcPr>
            <w:tcW w:type="dxa" w:w="2160"/>
          </w:tcPr>
          <w:p>
            <w:r>
              <w:t>0.510</w:t>
            </w:r>
          </w:p>
        </w:tc>
        <w:tc>
          <w:tcPr>
            <w:tcW w:type="dxa" w:w="2160"/>
          </w:tcPr>
          <w:p>
            <w:r>
              <w:t>0.247</w:t>
            </w:r>
          </w:p>
        </w:tc>
        <w:tc>
          <w:tcPr>
            <w:tcW w:type="dxa" w:w="2160"/>
          </w:tcPr>
          <w:p>
            <w:r>
              <w:t>-0.263</w:t>
            </w:r>
          </w:p>
        </w:tc>
      </w:tr>
      <w:tr>
        <w:tc>
          <w:tcPr>
            <w:tcW w:type="dxa" w:w="2160"/>
          </w:tcPr>
          <w:p>
            <w:r>
              <w:t>Baseline</w:t>
            </w:r>
          </w:p>
        </w:tc>
        <w:tc>
          <w:tcPr>
            <w:tcW w:type="dxa" w:w="2160"/>
          </w:tcPr>
          <w:p>
            <w:r>
              <w:t>-0.479</w:t>
            </w:r>
          </w:p>
        </w:tc>
        <w:tc>
          <w:tcPr>
            <w:tcW w:type="dxa" w:w="2160"/>
          </w:tcPr>
          <w:p>
            <w:r>
              <w:t>-0.194</w:t>
            </w:r>
          </w:p>
        </w:tc>
        <w:tc>
          <w:tcPr>
            <w:tcW w:type="dxa" w:w="2160"/>
          </w:tcPr>
          <w:p>
            <w:r>
              <w:t>+0.285</w:t>
            </w:r>
          </w:p>
        </w:tc>
      </w:tr>
      <w:tr>
        <w:tc>
          <w:tcPr>
            <w:tcW w:type="dxa" w:w="2160"/>
          </w:tcPr>
          <w:p>
            <w:r>
              <w:t>Prophet</w:t>
            </w:r>
          </w:p>
        </w:tc>
        <w:tc>
          <w:tcPr>
            <w:tcW w:type="dxa" w:w="2160"/>
          </w:tcPr>
          <w:p>
            <w:r>
              <w:t>-0.072</w:t>
            </w:r>
          </w:p>
        </w:tc>
        <w:tc>
          <w:tcPr>
            <w:tcW w:type="dxa" w:w="2160"/>
          </w:tcPr>
          <w:p>
            <w:r>
              <w:t>-3.246</w:t>
            </w:r>
          </w:p>
        </w:tc>
        <w:tc>
          <w:tcPr>
            <w:tcW w:type="dxa" w:w="2160"/>
          </w:tcPr>
          <w:p>
            <w:r>
              <w:t>-3.174</w:t>
            </w:r>
          </w:p>
        </w:tc>
      </w:tr>
    </w:tbl>
    <w:p/>
    <w:p>
      <w:r>
        <w:t>The original project report cited LightGBM at R-squared = 0.91 — this was the partially-leaked metric. The honest, leak-free figure is R-squared ~0.57 (volume-weighted). The thesis presents both numbers transparently, with the debugging process as a central finding.</w:t>
      </w:r>
    </w:p>
    <w:p>
      <w:pPr>
        <w:pStyle w:val="Heading2"/>
      </w:pPr>
      <w:r>
        <w:t>5.4 The Fix</w:t>
      </w:r>
    </w:p>
    <w:p>
      <w:r>
        <w:t>The leaked columns (sc_norm, v_norm, w_norm, cd_norm) were excluded from the ML feature list in wz_ml_utils.py FEATURE_COLS. The rolling means were corrected to use past-only windows (ROWS BETWEEN n PRECEDING AND 1 PRECEDING). Both notebooks and production pipeline scripts import the same FEATURE_COLS constant, ensuring the fix propagates everywhere.</w:t>
      </w:r>
    </w:p>
    <w:p>
      <w:pPr>
        <w:pStyle w:val="Heading1"/>
      </w:pPr>
      <w:r>
        <w:t>6. Results — Port Congestion Pipeline</w:t>
      </w:r>
    </w:p>
    <w:p>
      <w:pPr>
        <w:pStyle w:val="Heading2"/>
      </w:pPr>
      <w:r>
        <w:t>6.1 Model Ranking on Most Recent Fold (2025)</w:t>
      </w:r>
    </w:p>
    <w:p>
      <w:r>
        <w:t>The table below shows the volume-weighted MAPE on the 2025 holdout fold — the primary metric for production model selection: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Rank</w:t>
            </w:r>
          </w:p>
        </w:tc>
        <w:tc>
          <w:tcPr>
            <w:tcW w:type="dxa" w:w="2160"/>
          </w:tcPr>
          <w:p>
            <w:r>
              <w:rPr>
                <w:b/>
              </w:rPr>
              <w:t>Model</w:t>
            </w:r>
          </w:p>
        </w:tc>
        <w:tc>
          <w:tcPr>
            <w:tcW w:type="dxa" w:w="2160"/>
          </w:tcPr>
          <w:p>
            <w:r>
              <w:rPr>
                <w:b/>
              </w:rPr>
              <w:t>wMAPE (%)</w:t>
            </w:r>
          </w:p>
        </w:tc>
        <w:tc>
          <w:tcPr>
            <w:tcW w:type="dxa" w:w="2160"/>
          </w:tcPr>
          <w:p>
            <w:r>
              <w:rPr>
                <w:b/>
              </w:rPr>
              <w:t>wR-squared</w:t>
            </w:r>
          </w:p>
        </w:tc>
      </w:tr>
      <w:tr>
        <w:tc>
          <w:tcPr>
            <w:tcW w:type="dxa" w:w="2160"/>
          </w:tcPr>
          <w:p>
            <w:r>
              <w:t>1</w:t>
            </w:r>
          </w:p>
        </w:tc>
        <w:tc>
          <w:tcPr>
            <w:tcW w:type="dxa" w:w="2160"/>
          </w:tcPr>
          <w:p>
            <w:r>
              <w:t>Baseline Seasonal Naive</w:t>
            </w:r>
          </w:p>
        </w:tc>
        <w:tc>
          <w:tcPr>
            <w:tcW w:type="dxa" w:w="2160"/>
          </w:tcPr>
          <w:p>
            <w:r>
              <w:t>4.33</w:t>
            </w:r>
          </w:p>
        </w:tc>
        <w:tc>
          <w:tcPr>
            <w:tcW w:type="dxa" w:w="2160"/>
          </w:tcPr>
          <w:p>
            <w:r>
              <w:t>0.397</w:t>
            </w:r>
          </w:p>
        </w:tc>
      </w:tr>
      <w:tr>
        <w:tc>
          <w:tcPr>
            <w:tcW w:type="dxa" w:w="2160"/>
          </w:tcPr>
          <w:p>
            <w:r>
              <w:t>2</w:t>
            </w:r>
          </w:p>
        </w:tc>
        <w:tc>
          <w:tcPr>
            <w:tcW w:type="dxa" w:w="2160"/>
          </w:tcPr>
          <w:p>
            <w:r>
              <w:t>ElasticNet</w:t>
            </w:r>
          </w:p>
        </w:tc>
        <w:tc>
          <w:tcPr>
            <w:tcW w:type="dxa" w:w="2160"/>
          </w:tcPr>
          <w:p>
            <w:r>
              <w:t>8.16</w:t>
            </w:r>
          </w:p>
        </w:tc>
        <w:tc>
          <w:tcPr>
            <w:tcW w:type="dxa" w:w="2160"/>
          </w:tcPr>
          <w:p>
            <w:r>
              <w:t>0.445</w:t>
            </w:r>
          </w:p>
        </w:tc>
      </w:tr>
      <w:tr>
        <w:tc>
          <w:tcPr>
            <w:tcW w:type="dxa" w:w="2160"/>
          </w:tcPr>
          <w:p>
            <w:r>
              <w:t>3</w:t>
            </w:r>
          </w:p>
        </w:tc>
        <w:tc>
          <w:tcPr>
            <w:tcW w:type="dxa" w:w="2160"/>
          </w:tcPr>
          <w:p>
            <w:r>
              <w:t>LightGBM</w:t>
            </w:r>
          </w:p>
        </w:tc>
        <w:tc>
          <w:tcPr>
            <w:tcW w:type="dxa" w:w="2160"/>
          </w:tcPr>
          <w:p>
            <w:r>
              <w:t>8.16</w:t>
            </w:r>
          </w:p>
        </w:tc>
        <w:tc>
          <w:tcPr>
            <w:tcW w:type="dxa" w:w="2160"/>
          </w:tcPr>
          <w:p>
            <w:r>
              <w:t>0.028</w:t>
            </w:r>
          </w:p>
        </w:tc>
      </w:tr>
      <w:tr>
        <w:tc>
          <w:tcPr>
            <w:tcW w:type="dxa" w:w="2160"/>
          </w:tcPr>
          <w:p>
            <w:r>
              <w:t>4</w:t>
            </w:r>
          </w:p>
        </w:tc>
        <w:tc>
          <w:tcPr>
            <w:tcW w:type="dxa" w:w="2160"/>
          </w:tcPr>
          <w:p>
            <w:r>
              <w:t>Ridge</w:t>
            </w:r>
          </w:p>
        </w:tc>
        <w:tc>
          <w:tcPr>
            <w:tcW w:type="dxa" w:w="2160"/>
          </w:tcPr>
          <w:p>
            <w:r>
              <w:t>8.50</w:t>
            </w:r>
          </w:p>
        </w:tc>
        <w:tc>
          <w:tcPr>
            <w:tcW w:type="dxa" w:w="2160"/>
          </w:tcPr>
          <w:p>
            <w:r>
              <w:t>0.389</w:t>
            </w:r>
          </w:p>
        </w:tc>
      </w:tr>
      <w:tr>
        <w:tc>
          <w:tcPr>
            <w:tcW w:type="dxa" w:w="2160"/>
          </w:tcPr>
          <w:p>
            <w:r>
              <w:t>5</w:t>
            </w:r>
          </w:p>
        </w:tc>
        <w:tc>
          <w:tcPr>
            <w:tcW w:type="dxa" w:w="2160"/>
          </w:tcPr>
          <w:p>
            <w:r>
              <w:t>XGBoost</w:t>
            </w:r>
          </w:p>
        </w:tc>
        <w:tc>
          <w:tcPr>
            <w:tcW w:type="dxa" w:w="2160"/>
          </w:tcPr>
          <w:p>
            <w:r>
              <w:t>8.51</w:t>
            </w:r>
          </w:p>
        </w:tc>
        <w:tc>
          <w:tcPr>
            <w:tcW w:type="dxa" w:w="2160"/>
          </w:tcPr>
          <w:p>
            <w:r>
              <w:t>-0.028</w:t>
            </w:r>
          </w:p>
        </w:tc>
      </w:tr>
      <w:tr>
        <w:tc>
          <w:tcPr>
            <w:tcW w:type="dxa" w:w="2160"/>
          </w:tcPr>
          <w:p>
            <w:r>
              <w:t>6</w:t>
            </w:r>
          </w:p>
        </w:tc>
        <w:tc>
          <w:tcPr>
            <w:tcW w:type="dxa" w:w="2160"/>
          </w:tcPr>
          <w:p>
            <w:r>
              <w:t>Random Forest</w:t>
            </w:r>
          </w:p>
        </w:tc>
        <w:tc>
          <w:tcPr>
            <w:tcW w:type="dxa" w:w="2160"/>
          </w:tcPr>
          <w:p>
            <w:r>
              <w:t>8.82</w:t>
            </w:r>
          </w:p>
        </w:tc>
        <w:tc>
          <w:tcPr>
            <w:tcW w:type="dxa" w:w="2160"/>
          </w:tcPr>
          <w:p>
            <w:r>
              <w:t>0.002</w:t>
            </w:r>
          </w:p>
        </w:tc>
      </w:tr>
      <w:tr>
        <w:tc>
          <w:tcPr>
            <w:tcW w:type="dxa" w:w="2160"/>
          </w:tcPr>
          <w:p>
            <w:r>
              <w:t>7</w:t>
            </w:r>
          </w:p>
        </w:tc>
        <w:tc>
          <w:tcPr>
            <w:tcW w:type="dxa" w:w="2160"/>
          </w:tcPr>
          <w:p>
            <w:r>
              <w:t>Lasso</w:t>
            </w:r>
          </w:p>
        </w:tc>
        <w:tc>
          <w:tcPr>
            <w:tcW w:type="dxa" w:w="2160"/>
          </w:tcPr>
          <w:p>
            <w:r>
              <w:t>8.89</w:t>
            </w:r>
          </w:p>
        </w:tc>
        <w:tc>
          <w:tcPr>
            <w:tcW w:type="dxa" w:w="2160"/>
          </w:tcPr>
          <w:p>
            <w:r>
              <w:t>0.401</w:t>
            </w:r>
          </w:p>
        </w:tc>
      </w:tr>
      <w:tr>
        <w:tc>
          <w:tcPr>
            <w:tcW w:type="dxa" w:w="2160"/>
          </w:tcPr>
          <w:p>
            <w:r>
              <w:t>8</w:t>
            </w:r>
          </w:p>
        </w:tc>
        <w:tc>
          <w:tcPr>
            <w:tcW w:type="dxa" w:w="2160"/>
          </w:tcPr>
          <w:p>
            <w:r>
              <w:t>Prophet</w:t>
            </w:r>
          </w:p>
        </w:tc>
        <w:tc>
          <w:tcPr>
            <w:tcW w:type="dxa" w:w="2160"/>
          </w:tcPr>
          <w:p>
            <w:r>
              <w:t>14.18</w:t>
            </w:r>
          </w:p>
        </w:tc>
        <w:tc>
          <w:tcPr>
            <w:tcW w:type="dxa" w:w="2160"/>
          </w:tcPr>
          <w:p>
            <w:r>
              <w:t>-1.052</w:t>
            </w:r>
          </w:p>
        </w:tc>
      </w:tr>
    </w:tbl>
    <w:p>
      <w:pPr>
        <w:pStyle w:val="Heading2"/>
      </w:pPr>
      <w:r>
        <w:t>6.2 Why the Baseline Wins on Aggregate</w:t>
      </w:r>
    </w:p>
    <w:p>
      <w:r>
        <w:t>The Baseline Seasonal Naive model achieves the lowest wMAPE (4.33%) because Chilean port traffic is dominated by a few very large ports (San Antonio, Valparaiso) that are highly seasonal and stable year-over-year. For these ports, a simple "last year's same month + modest growth" heuristic is extremely hard to beat. The volume weighting means these big ports dominate the aggregate score.</w:t>
      </w:r>
    </w:p>
    <w:p>
      <w:r>
        <w:t>However, the Baseline collapses on the 2023 fold (wMAPE = 41.0%) because it cannot handle the post-COVID structural shift — it predicted 2023 volumes based on 2022 (still anomalous) lags. ML models, particularly XGBoost (14.3%) and LightGBM (15.9%), handled this fold much better because they could use cross-feature patterns to detect the recovery.</w:t>
      </w:r>
    </w:p>
    <w:p>
      <w:pPr>
        <w:pStyle w:val="Heading2"/>
      </w:pPr>
      <w:r>
        <w:t>6.3 Stability Across Folds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Model</w:t>
            </w:r>
          </w:p>
        </w:tc>
        <w:tc>
          <w:tcPr>
            <w:tcW w:type="dxa" w:w="1728"/>
          </w:tcPr>
          <w:p>
            <w:r>
              <w:rPr>
                <w:b/>
              </w:rPr>
              <w:t>Fold 2019</w:t>
            </w:r>
          </w:p>
        </w:tc>
        <w:tc>
          <w:tcPr>
            <w:tcW w:type="dxa" w:w="1728"/>
          </w:tcPr>
          <w:p>
            <w:r>
              <w:rPr>
                <w:b/>
              </w:rPr>
              <w:t>Fold 2023</w:t>
            </w:r>
          </w:p>
        </w:tc>
        <w:tc>
          <w:tcPr>
            <w:tcW w:type="dxa" w:w="1728"/>
          </w:tcPr>
          <w:p>
            <w:r>
              <w:rPr>
                <w:b/>
              </w:rPr>
              <w:t>Fold 2024</w:t>
            </w:r>
          </w:p>
        </w:tc>
        <w:tc>
          <w:tcPr>
            <w:tcW w:type="dxa" w:w="1728"/>
          </w:tcPr>
          <w:p>
            <w:r>
              <w:rPr>
                <w:b/>
              </w:rPr>
              <w:t>Fold 2025</w:t>
            </w:r>
          </w:p>
        </w:tc>
      </w:tr>
      <w:tr>
        <w:tc>
          <w:tcPr>
            <w:tcW w:type="dxa" w:w="1728"/>
          </w:tcPr>
          <w:p>
            <w:r>
              <w:t>Baseline</w:t>
            </w:r>
          </w:p>
        </w:tc>
        <w:tc>
          <w:tcPr>
            <w:tcW w:type="dxa" w:w="1728"/>
          </w:tcPr>
          <w:p>
            <w:r>
              <w:t>6.5%</w:t>
            </w:r>
          </w:p>
        </w:tc>
        <w:tc>
          <w:tcPr>
            <w:tcW w:type="dxa" w:w="1728"/>
          </w:tcPr>
          <w:p>
            <w:r>
              <w:t>41.0%</w:t>
            </w:r>
          </w:p>
        </w:tc>
        <w:tc>
          <w:tcPr>
            <w:tcW w:type="dxa" w:w="1728"/>
          </w:tcPr>
          <w:p>
            <w:r>
              <w:t>7.5%</w:t>
            </w:r>
          </w:p>
        </w:tc>
        <w:tc>
          <w:tcPr>
            <w:tcW w:type="dxa" w:w="1728"/>
          </w:tcPr>
          <w:p>
            <w:r>
              <w:t>4.3%</w:t>
            </w:r>
          </w:p>
        </w:tc>
      </w:tr>
      <w:tr>
        <w:tc>
          <w:tcPr>
            <w:tcW w:type="dxa" w:w="1728"/>
          </w:tcPr>
          <w:p>
            <w:r>
              <w:t>ElasticNet</w:t>
            </w:r>
          </w:p>
        </w:tc>
        <w:tc>
          <w:tcPr>
            <w:tcW w:type="dxa" w:w="1728"/>
          </w:tcPr>
          <w:p>
            <w:r>
              <w:t>8.0%</w:t>
            </w:r>
          </w:p>
        </w:tc>
        <w:tc>
          <w:tcPr>
            <w:tcW w:type="dxa" w:w="1728"/>
          </w:tcPr>
          <w:p>
            <w:r>
              <w:t>20.1%</w:t>
            </w:r>
          </w:p>
        </w:tc>
        <w:tc>
          <w:tcPr>
            <w:tcW w:type="dxa" w:w="1728"/>
          </w:tcPr>
          <w:p>
            <w:r>
              <w:t>14.3%</w:t>
            </w:r>
          </w:p>
        </w:tc>
        <w:tc>
          <w:tcPr>
            <w:tcW w:type="dxa" w:w="1728"/>
          </w:tcPr>
          <w:p>
            <w:r>
              <w:t>8.2%</w:t>
            </w:r>
          </w:p>
        </w:tc>
      </w:tr>
      <w:tr>
        <w:tc>
          <w:tcPr>
            <w:tcW w:type="dxa" w:w="1728"/>
          </w:tcPr>
          <w:p>
            <w:r>
              <w:t>LightGBM</w:t>
            </w:r>
          </w:p>
        </w:tc>
        <w:tc>
          <w:tcPr>
            <w:tcW w:type="dxa" w:w="1728"/>
          </w:tcPr>
          <w:p>
            <w:r>
              <w:t>17.2%</w:t>
            </w:r>
          </w:p>
        </w:tc>
        <w:tc>
          <w:tcPr>
            <w:tcW w:type="dxa" w:w="1728"/>
          </w:tcPr>
          <w:p>
            <w:r>
              <w:t>15.9%</w:t>
            </w:r>
          </w:p>
        </w:tc>
        <w:tc>
          <w:tcPr>
            <w:tcW w:type="dxa" w:w="1728"/>
          </w:tcPr>
          <w:p>
            <w:r>
              <w:t>7.7%</w:t>
            </w:r>
          </w:p>
        </w:tc>
        <w:tc>
          <w:tcPr>
            <w:tcW w:type="dxa" w:w="1728"/>
          </w:tcPr>
          <w:p>
            <w:r>
              <w:t>8.2%</w:t>
            </w:r>
          </w:p>
        </w:tc>
      </w:tr>
      <w:tr>
        <w:tc>
          <w:tcPr>
            <w:tcW w:type="dxa" w:w="1728"/>
          </w:tcPr>
          <w:p>
            <w:r>
              <w:t>Ridge</w:t>
            </w:r>
          </w:p>
        </w:tc>
        <w:tc>
          <w:tcPr>
            <w:tcW w:type="dxa" w:w="1728"/>
          </w:tcPr>
          <w:p>
            <w:r>
              <w:t>7.9%</w:t>
            </w:r>
          </w:p>
        </w:tc>
        <w:tc>
          <w:tcPr>
            <w:tcW w:type="dxa" w:w="1728"/>
          </w:tcPr>
          <w:p>
            <w:r>
              <w:t>20.8%</w:t>
            </w:r>
          </w:p>
        </w:tc>
        <w:tc>
          <w:tcPr>
            <w:tcW w:type="dxa" w:w="1728"/>
          </w:tcPr>
          <w:p>
            <w:r>
              <w:t>14.2%</w:t>
            </w:r>
          </w:p>
        </w:tc>
        <w:tc>
          <w:tcPr>
            <w:tcW w:type="dxa" w:w="1728"/>
          </w:tcPr>
          <w:p>
            <w:r>
              <w:t>8.5%</w:t>
            </w:r>
          </w:p>
        </w:tc>
      </w:tr>
      <w:tr>
        <w:tc>
          <w:tcPr>
            <w:tcW w:type="dxa" w:w="1728"/>
          </w:tcPr>
          <w:p>
            <w:r>
              <w:t>XGBoost</w:t>
            </w:r>
          </w:p>
        </w:tc>
        <w:tc>
          <w:tcPr>
            <w:tcW w:type="dxa" w:w="1728"/>
          </w:tcPr>
          <w:p>
            <w:r>
              <w:t>18.5%</w:t>
            </w:r>
          </w:p>
        </w:tc>
        <w:tc>
          <w:tcPr>
            <w:tcW w:type="dxa" w:w="1728"/>
          </w:tcPr>
          <w:p>
            <w:r>
              <w:t>14.3%</w:t>
            </w:r>
          </w:p>
        </w:tc>
        <w:tc>
          <w:tcPr>
            <w:tcW w:type="dxa" w:w="1728"/>
          </w:tcPr>
          <w:p>
            <w:r>
              <w:t>9.1%</w:t>
            </w:r>
          </w:p>
        </w:tc>
        <w:tc>
          <w:tcPr>
            <w:tcW w:type="dxa" w:w="1728"/>
          </w:tcPr>
          <w:p>
            <w:r>
              <w:t>8.5%</w:t>
            </w:r>
          </w:p>
        </w:tc>
      </w:tr>
      <w:tr>
        <w:tc>
          <w:tcPr>
            <w:tcW w:type="dxa" w:w="1728"/>
          </w:tcPr>
          <w:p>
            <w:r>
              <w:t>Random Forest</w:t>
            </w:r>
          </w:p>
        </w:tc>
        <w:tc>
          <w:tcPr>
            <w:tcW w:type="dxa" w:w="1728"/>
          </w:tcPr>
          <w:p>
            <w:r>
              <w:t>11.2%</w:t>
            </w:r>
          </w:p>
        </w:tc>
        <w:tc>
          <w:tcPr>
            <w:tcW w:type="dxa" w:w="1728"/>
          </w:tcPr>
          <w:p>
            <w:r>
              <w:t>17.0%</w:t>
            </w:r>
          </w:p>
        </w:tc>
        <w:tc>
          <w:tcPr>
            <w:tcW w:type="dxa" w:w="1728"/>
          </w:tcPr>
          <w:p>
            <w:r>
              <w:t>13.8%</w:t>
            </w:r>
          </w:p>
        </w:tc>
        <w:tc>
          <w:tcPr>
            <w:tcW w:type="dxa" w:w="1728"/>
          </w:tcPr>
          <w:p>
            <w:r>
              <w:t>8.8%</w:t>
            </w:r>
          </w:p>
        </w:tc>
      </w:tr>
      <w:tr>
        <w:tc>
          <w:tcPr>
            <w:tcW w:type="dxa" w:w="1728"/>
          </w:tcPr>
          <w:p>
            <w:r>
              <w:t>Lasso</w:t>
            </w:r>
          </w:p>
        </w:tc>
        <w:tc>
          <w:tcPr>
            <w:tcW w:type="dxa" w:w="1728"/>
          </w:tcPr>
          <w:p>
            <w:r>
              <w:t>7.6%</w:t>
            </w:r>
          </w:p>
        </w:tc>
        <w:tc>
          <w:tcPr>
            <w:tcW w:type="dxa" w:w="1728"/>
          </w:tcPr>
          <w:p>
            <w:r>
              <w:t>26.4%</w:t>
            </w:r>
          </w:p>
        </w:tc>
        <w:tc>
          <w:tcPr>
            <w:tcW w:type="dxa" w:w="1728"/>
          </w:tcPr>
          <w:p>
            <w:r>
              <w:t>16.1%</w:t>
            </w:r>
          </w:p>
        </w:tc>
        <w:tc>
          <w:tcPr>
            <w:tcW w:type="dxa" w:w="1728"/>
          </w:tcPr>
          <w:p>
            <w:r>
              <w:t>8.9%</w:t>
            </w:r>
          </w:p>
        </w:tc>
      </w:tr>
      <w:tr>
        <w:tc>
          <w:tcPr>
            <w:tcW w:type="dxa" w:w="1728"/>
          </w:tcPr>
          <w:p>
            <w:r>
              <w:t>Prophet</w:t>
            </w:r>
          </w:p>
        </w:tc>
        <w:tc>
          <w:tcPr>
            <w:tcW w:type="dxa" w:w="1728"/>
          </w:tcPr>
          <w:p>
            <w:r>
              <w:t>18.8%</w:t>
            </w:r>
          </w:p>
        </w:tc>
        <w:tc>
          <w:tcPr>
            <w:tcW w:type="dxa" w:w="1728"/>
          </w:tcPr>
          <w:p>
            <w:r>
              <w:t>32.8%</w:t>
            </w:r>
          </w:p>
        </w:tc>
        <w:tc>
          <w:tcPr>
            <w:tcW w:type="dxa" w:w="1728"/>
          </w:tcPr>
          <w:p>
            <w:r>
              <w:t>19.6%</w:t>
            </w:r>
          </w:p>
        </w:tc>
        <w:tc>
          <w:tcPr>
            <w:tcW w:type="dxa" w:w="1728"/>
          </w:tcPr>
          <w:p>
            <w:r>
              <w:t>14.2%</w:t>
            </w:r>
          </w:p>
        </w:tc>
      </w:tr>
    </w:tbl>
    <w:p/>
    <w:p>
      <w:r>
        <w:t>Key insight: the Baseline is either the best (folds 2019, 2024, 2025) or the worst (fold 2023). ML models are more consistent across folds. This motivates the hybrid approach.</w:t>
      </w:r>
    </w:p>
    <w:p>
      <w:pPr>
        <w:pStyle w:val="Heading2"/>
      </w:pPr>
      <w:r>
        <w:t>6.4 The Hybrid Ensemble Solution</w:t>
      </w:r>
    </w:p>
    <w:p>
      <w:r>
        <w:t>The production pipeline uses a hybrid ensemble that combines the strengths of both approaches:</w:t>
      </w:r>
    </w:p>
    <w:p>
      <w:pPr>
        <w:pStyle w:val="ListBullet"/>
      </w:pPr>
      <w:r>
        <w:t>Big ports (average &gt;= 500 shipments/month, 10 port-direction pairs): always use the Baseline Seasonal Naive. These ports are seasonal and stable — ML adds noise.</w:t>
      </w:r>
    </w:p>
    <w:p>
      <w:pPr>
        <w:pStyle w:val="ListBullet"/>
      </w:pPr>
      <w:r>
        <w:t>Small ports (average &lt; 500 shipments/month, ~51 port-direction pairs): use the ML model with the lowest average MAPE across all 4 CV folds. This avoids overfitting to any single fold.</w:t>
      </w:r>
    </w:p>
    <w:p/>
    <w:p>
      <w:r>
        <w:rPr>
          <w:b/>
        </w:rPr>
        <w:t>Hybrid result on the 2025 fold: wMAPE = 4.03%</w:t>
      </w:r>
      <w:r>
        <w:t xml:space="preserve"> — a 0.30 percentage point improvement over the pure Baseline (4.33%) and nearly half the error of pure LightGBM (8.16%). The improvement is modest in aggregate because big ports dominate the volume-weighted score, but it matters for the small ports where the ML models reduce individual port MAPE by 5-15 percentage points.</w:t>
      </w:r>
    </w:p>
    <w:p>
      <w:pPr>
        <w:pStyle w:val="Heading2"/>
      </w:pPr>
      <w:r>
        <w:t>6.5 Model Distribution in the Hybrid (Small Ports)</w:t>
      </w:r>
    </w:p>
    <w:p>
      <w:r>
        <w:t>For the ~51 small port-direction pairs, the CV-selected models distribute as:</w:t>
      </w:r>
    </w:p>
    <w:tbl>
      <w:tblPr>
        <w:tblStyle w:val="LightGrid-Accent1"/>
        <w:tblW w:type="auto" w:w="0"/>
        <w:tblLook w:firstColumn="1" w:firstRow="1" w:lastColumn="0" w:lastRow="0" w:noHBand="0" w:noVBand="1" w:val="04A0"/>
      </w:tblPr>
      <w:tblGrid>
        <w:gridCol w:w="4320"/>
        <w:gridCol w:w="4320"/>
      </w:tblGrid>
      <w:tr>
        <w:tc>
          <w:tcPr>
            <w:tcW w:type="dxa" w:w="4320"/>
          </w:tcPr>
          <w:p>
            <w:r>
              <w:rPr>
                <w:b/>
              </w:rPr>
              <w:t>Model</w:t>
            </w:r>
          </w:p>
        </w:tc>
        <w:tc>
          <w:tcPr>
            <w:tcW w:type="dxa" w:w="4320"/>
          </w:tcPr>
          <w:p>
            <w:r>
              <w:rPr>
                <w:b/>
              </w:rPr>
              <w:t>Ports Selected</w:t>
            </w:r>
          </w:p>
        </w:tc>
      </w:tr>
      <w:tr>
        <w:tc>
          <w:tcPr>
            <w:tcW w:type="dxa" w:w="4320"/>
          </w:tcPr>
          <w:p>
            <w:r>
              <w:t>Baseline Seasonal Naive</w:t>
            </w:r>
          </w:p>
        </w:tc>
        <w:tc>
          <w:tcPr>
            <w:tcW w:type="dxa" w:w="4320"/>
          </w:tcPr>
          <w:p>
            <w:r>
              <w:t>13 (also some small ports)</w:t>
            </w:r>
          </w:p>
        </w:tc>
      </w:tr>
      <w:tr>
        <w:tc>
          <w:tcPr>
            <w:tcW w:type="dxa" w:w="4320"/>
          </w:tcPr>
          <w:p>
            <w:r>
              <w:t>ElasticNet</w:t>
            </w:r>
          </w:p>
        </w:tc>
        <w:tc>
          <w:tcPr>
            <w:tcW w:type="dxa" w:w="4320"/>
          </w:tcPr>
          <w:p>
            <w:r>
              <w:t>13</w:t>
            </w:r>
          </w:p>
        </w:tc>
      </w:tr>
      <w:tr>
        <w:tc>
          <w:tcPr>
            <w:tcW w:type="dxa" w:w="4320"/>
          </w:tcPr>
          <w:p>
            <w:r>
              <w:t>XGBoost</w:t>
            </w:r>
          </w:p>
        </w:tc>
        <w:tc>
          <w:tcPr>
            <w:tcW w:type="dxa" w:w="4320"/>
          </w:tcPr>
          <w:p>
            <w:r>
              <w:t>11</w:t>
            </w:r>
          </w:p>
        </w:tc>
      </w:tr>
      <w:tr>
        <w:tc>
          <w:tcPr>
            <w:tcW w:type="dxa" w:w="4320"/>
          </w:tcPr>
          <w:p>
            <w:r>
              <w:t>Lasso</w:t>
            </w:r>
          </w:p>
        </w:tc>
        <w:tc>
          <w:tcPr>
            <w:tcW w:type="dxa" w:w="4320"/>
          </w:tcPr>
          <w:p>
            <w:r>
              <w:t>9</w:t>
            </w:r>
          </w:p>
        </w:tc>
      </w:tr>
      <w:tr>
        <w:tc>
          <w:tcPr>
            <w:tcW w:type="dxa" w:w="4320"/>
          </w:tcPr>
          <w:p>
            <w:r>
              <w:t>Ridge</w:t>
            </w:r>
          </w:p>
        </w:tc>
        <w:tc>
          <w:tcPr>
            <w:tcW w:type="dxa" w:w="4320"/>
          </w:tcPr>
          <w:p>
            <w:r>
              <w:t>7</w:t>
            </w:r>
          </w:p>
        </w:tc>
      </w:tr>
      <w:tr>
        <w:tc>
          <w:tcPr>
            <w:tcW w:type="dxa" w:w="4320"/>
          </w:tcPr>
          <w:p>
            <w:r>
              <w:t>LightGBM</w:t>
            </w:r>
          </w:p>
        </w:tc>
        <w:tc>
          <w:tcPr>
            <w:tcW w:type="dxa" w:w="4320"/>
          </w:tcPr>
          <w:p>
            <w:r>
              <w:t>5</w:t>
            </w:r>
          </w:p>
        </w:tc>
      </w:tr>
      <w:tr>
        <w:tc>
          <w:tcPr>
            <w:tcW w:type="dxa" w:w="4320"/>
          </w:tcPr>
          <w:p>
            <w:r>
              <w:t>Random Forest</w:t>
            </w:r>
          </w:p>
        </w:tc>
        <w:tc>
          <w:tcPr>
            <w:tcW w:type="dxa" w:w="4320"/>
          </w:tcPr>
          <w:p>
            <w:r>
              <w:t>3</w:t>
            </w:r>
          </w:p>
        </w:tc>
      </w:tr>
    </w:tbl>
    <w:p/>
    <w:p>
      <w:r>
        <w:t>ElasticNet and XGBoost are the most frequently selected ML models for small ports. ElasticNet performs well because it combines L1 (feature selection) and L2 (regularization) penalties, which is effective when the feature set has moderate multicollinearity and the training set is small (some ports have only 36-60 monthly observations). XGBoost excels at capturing non-linear interaction patterns in the cargo-mix features.</w:t>
      </w:r>
    </w:p>
    <w:p>
      <w:pPr>
        <w:pStyle w:val="Heading1"/>
      </w:pPr>
      <w:r>
        <w:t>7. Results — Commodity Pipeline</w:t>
      </w:r>
    </w:p>
    <w:p>
      <w:pPr>
        <w:pStyle w:val="Heading2"/>
      </w:pPr>
      <w:r>
        <w:t>7.1 Scope and Scale</w:t>
      </w:r>
    </w:p>
    <w:p>
      <w:r>
        <w:t>The commodity pipeline operates at the HS2 x port x direction level — hundreds of unique combinations, each with its own time series. Only combinations with &gt;= 36 months of history are eligible for forecasting. Active combinations (those with data in 2024 or later) are forecast for 2026.</w:t>
      </w:r>
    </w:p>
    <w:p>
      <w:pPr>
        <w:pStyle w:val="Heading2"/>
      </w:pPr>
      <w:r>
        <w:t>7.2 Model Selection Strategy</w:t>
      </w:r>
    </w:p>
    <w:p>
      <w:r>
        <w:t>Unlike the congestion pipeline, the commodity pipeline does not use a volume threshold. Instead, it selects the best model per HS2 x port x direction combination purely by lowest average CV MAPE across all folds. This is because commodity-level series are inherently more volatile and irregular — even high-volume commodity flows can have non-seasonal patterns driven by specific trade agreements, commodity prices, or supply chain shifts.</w:t>
      </w:r>
    </w:p>
    <w:p>
      <w:pPr>
        <w:pStyle w:val="Heading2"/>
      </w:pPr>
      <w:r>
        <w:t>7.3 Why No Volume Threshold for Commodity</w:t>
      </w:r>
    </w:p>
    <w:p>
      <w:r>
        <w:t>The congestion pipeline's hybrid approach works because port-level traffic aggregates many commodity flows into a stable seasonal signal. At the commodity level, this aggregation benefit disappears: a single HS2 chapter through a single port may have a completely different seasonal pattern than the port's total traffic. The Baseline's lag-12 + growth heuristic is less reliable when the underlying series can shift structurally due to trade policy changes, price fluctuations, or supply chain rerouting.</w:t>
      </w:r>
    </w:p>
    <w:p>
      <w:pPr>
        <w:pStyle w:val="Heading2"/>
      </w:pPr>
      <w:r>
        <w:t>7.4 Feature Differences</w:t>
      </w:r>
    </w:p>
    <w:p>
      <w:r>
        <w:t>The commodity pipeline uses 21 features (vs. 26 for congestion). The five dropped features are commodity diversity, HS4 diversity, country diversity, continent diversity, and cargo-type shares (pct_container, pct_bulk, etc.). These are meaningless at the HS2 level because each combination is already a single commodity chapter — there is no cargo-mix diversity to measure.</w:t>
      </w:r>
    </w:p>
    <w:p>
      <w:pPr>
        <w:pStyle w:val="Heading1"/>
      </w:pPr>
      <w:r>
        <w:t>8. 2026 Forecasting Methodology</w:t>
      </w:r>
    </w:p>
    <w:p>
      <w:pPr>
        <w:pStyle w:val="Heading2"/>
      </w:pPr>
      <w:r>
        <w:t>8.1 Recursive 12-Step Forecast</w:t>
      </w:r>
    </w:p>
    <w:p>
      <w:r>
        <w:t>Both pipelines use the same recursive forecasting approach implemented in wz_ml_utils.forecast_2026():</w:t>
      </w:r>
    </w:p>
    <w:p>
      <w:r>
        <w:t>1. Train the selected model on all clean data through 2025.</w:t>
      </w:r>
    </w:p>
    <w:p>
      <w:r>
        <w:t>2. For each month (January-December 2026), build the feature vector using the most recent available data (real observations for early months, previous predictions for later ones).</w:t>
      </w:r>
    </w:p>
    <w:p>
      <w:r>
        <w:t>3. Predict the shipment count for that month.</w:t>
      </w:r>
    </w:p>
    <w:p>
      <w:r>
        <w:t>4. Feed the prediction back into the feature pipeline as if it were a real observation (updating lag_1, lag_2, lag_3, rolling_3_mean, rolling_12_mean).</w:t>
      </w:r>
    </w:p>
    <w:p>
      <w:r>
        <w:t>5. Repeat for all 12 months.</w:t>
      </w:r>
    </w:p>
    <w:p/>
    <w:p>
      <w:r>
        <w:t>This recursive approach means that errors can accumulate over the 12-step horizon. However, since the lag-12 feature anchors the prediction to the same month in the previous year, the seasonal pattern is preserved even as short-term lags drift.</w:t>
      </w:r>
    </w:p>
    <w:p>
      <w:pPr>
        <w:pStyle w:val="Heading2"/>
      </w:pPr>
      <w:r>
        <w:t>8.2 Stable Feature Imputation</w:t>
      </w:r>
    </w:p>
    <w:p>
      <w:r>
        <w:t>For features that describe the structural profile of a port or commodity flow (cargo-mix, per-shipment averages, diversity indices), the forecast uses the mean of the most recent clean (non-COVID) observations. These features change slowly over time, so using historical averages is a reasonable assumption for a 12-month horizon.</w:t>
      </w:r>
    </w:p>
    <w:p>
      <w:pPr>
        <w:pStyle w:val="Heading2"/>
      </w:pPr>
      <w:r>
        <w:t>8.3 Weather Adjustment (Congestion Pipeline Only)</w:t>
      </w:r>
    </w:p>
    <w:p>
      <w:r>
        <w:t>The congestion pipeline's output (ci_raw, the trade-only forecast) is further adjusted by a weather multiplier derived from historical port-closure data. Each Chilean port has a seasonal weather profile showing the percentage of hours closed by swell and wind in each month. The weather-adjusted congestion index (ci_adjusted) reflects the compound effect of trade demand and weather disruption. This adjustment is applied at the dashboard export stage, not during ML training.</w:t>
      </w:r>
    </w:p>
    <w:p>
      <w:pPr>
        <w:pStyle w:val="Heading1"/>
      </w:pPr>
      <w:r>
        <w:t>9. 2026 National Forecast Summary</w:t>
      </w:r>
    </w:p>
    <w:p>
      <w:r>
        <w:t>The table below compares each model's Chile-wide 2026 forecast against actual 2025 volumes: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Model</w:t>
            </w:r>
          </w:p>
        </w:tc>
        <w:tc>
          <w:tcPr>
            <w:tcW w:type="dxa" w:w="2160"/>
          </w:tcPr>
          <w:p>
            <w:r>
              <w:rPr>
                <w:b/>
              </w:rPr>
              <w:t>Imports</w:t>
            </w:r>
          </w:p>
        </w:tc>
        <w:tc>
          <w:tcPr>
            <w:tcW w:type="dxa" w:w="2160"/>
          </w:tcPr>
          <w:p>
            <w:r>
              <w:rPr>
                <w:b/>
              </w:rPr>
              <w:t>Exports</w:t>
            </w:r>
          </w:p>
        </w:tc>
        <w:tc>
          <w:tcPr>
            <w:tcW w:type="dxa" w:w="2160"/>
          </w:tcPr>
          <w:p>
            <w:r>
              <w:rPr>
                <w:b/>
              </w:rPr>
              <w:t>Total</w:t>
            </w:r>
          </w:p>
        </w:tc>
      </w:tr>
      <w:tr>
        <w:tc>
          <w:tcPr>
            <w:tcW w:type="dxa" w:w="2160"/>
          </w:tcPr>
          <w:p>
            <w:r>
              <w:t>Baseline (production)</w:t>
            </w:r>
          </w:p>
        </w:tc>
        <w:tc>
          <w:tcPr>
            <w:tcW w:type="dxa" w:w="2160"/>
          </w:tcPr>
          <w:p>
            <w:r>
              <w:t>856,350</w:t>
            </w:r>
          </w:p>
        </w:tc>
        <w:tc>
          <w:tcPr>
            <w:tcW w:type="dxa" w:w="2160"/>
          </w:tcPr>
          <w:p>
            <w:r>
              <w:t>186,207</w:t>
            </w:r>
          </w:p>
        </w:tc>
        <w:tc>
          <w:tcPr>
            <w:tcW w:type="dxa" w:w="2160"/>
          </w:tcPr>
          <w:p>
            <w:r>
              <w:t>1,042,557</w:t>
            </w:r>
          </w:p>
        </w:tc>
      </w:tr>
      <w:tr>
        <w:tc>
          <w:tcPr>
            <w:tcW w:type="dxa" w:w="2160"/>
          </w:tcPr>
          <w:p>
            <w:r>
              <w:t>Hybrid Ensemble</w:t>
            </w:r>
          </w:p>
        </w:tc>
        <w:tc>
          <w:tcPr>
            <w:tcW w:type="dxa" w:w="2160"/>
          </w:tcPr>
          <w:p>
            <w:r>
              <w:t>855,281</w:t>
            </w:r>
          </w:p>
        </w:tc>
        <w:tc>
          <w:tcPr>
            <w:tcW w:type="dxa" w:w="2160"/>
          </w:tcPr>
          <w:p>
            <w:r>
              <w:t>185,549</w:t>
            </w:r>
          </w:p>
        </w:tc>
        <w:tc>
          <w:tcPr>
            <w:tcW w:type="dxa" w:w="2160"/>
          </w:tcPr>
          <w:p>
            <w:r>
              <w:t>1,040,830</w:t>
            </w:r>
          </w:p>
        </w:tc>
      </w:tr>
      <w:tr>
        <w:tc>
          <w:tcPr>
            <w:tcW w:type="dxa" w:w="2160"/>
          </w:tcPr>
          <w:p>
            <w:r>
              <w:t>LightGBM</w:t>
            </w:r>
          </w:p>
        </w:tc>
        <w:tc>
          <w:tcPr>
            <w:tcW w:type="dxa" w:w="2160"/>
          </w:tcPr>
          <w:p>
            <w:r>
              <w:t>790,873</w:t>
            </w:r>
          </w:p>
        </w:tc>
        <w:tc>
          <w:tcPr>
            <w:tcW w:type="dxa" w:w="2160"/>
          </w:tcPr>
          <w:p>
            <w:r>
              <w:t>181,557</w:t>
            </w:r>
          </w:p>
        </w:tc>
        <w:tc>
          <w:tcPr>
            <w:tcW w:type="dxa" w:w="2160"/>
          </w:tcPr>
          <w:p>
            <w:r>
              <w:t>972,430</w:t>
            </w:r>
          </w:p>
        </w:tc>
      </w:tr>
      <w:tr>
        <w:tc>
          <w:tcPr>
            <w:tcW w:type="dxa" w:w="2160"/>
          </w:tcPr>
          <w:p>
            <w:r>
              <w:t>XGBoost</w:t>
            </w:r>
          </w:p>
        </w:tc>
        <w:tc>
          <w:tcPr>
            <w:tcW w:type="dxa" w:w="2160"/>
          </w:tcPr>
          <w:p>
            <w:r>
              <w:t>768,530</w:t>
            </w:r>
          </w:p>
        </w:tc>
        <w:tc>
          <w:tcPr>
            <w:tcW w:type="dxa" w:w="2160"/>
          </w:tcPr>
          <w:p>
            <w:r>
              <w:t>177,917</w:t>
            </w:r>
          </w:p>
        </w:tc>
        <w:tc>
          <w:tcPr>
            <w:tcW w:type="dxa" w:w="2160"/>
          </w:tcPr>
          <w:p>
            <w:r>
              <w:t>946,447</w:t>
            </w:r>
          </w:p>
        </w:tc>
      </w:tr>
      <w:tr>
        <w:tc>
          <w:tcPr>
            <w:tcW w:type="dxa" w:w="2160"/>
          </w:tcPr>
          <w:p>
            <w:r>
              <w:t>Random Forest</w:t>
            </w:r>
          </w:p>
        </w:tc>
        <w:tc>
          <w:tcPr>
            <w:tcW w:type="dxa" w:w="2160"/>
          </w:tcPr>
          <w:p>
            <w:r>
              <w:t>807,536</w:t>
            </w:r>
          </w:p>
        </w:tc>
        <w:tc>
          <w:tcPr>
            <w:tcW w:type="dxa" w:w="2160"/>
          </w:tcPr>
          <w:p>
            <w:r>
              <w:t>177,744</w:t>
            </w:r>
          </w:p>
        </w:tc>
        <w:tc>
          <w:tcPr>
            <w:tcW w:type="dxa" w:w="2160"/>
          </w:tcPr>
          <w:p>
            <w:r>
              <w:t>985,280</w:t>
            </w:r>
          </w:p>
        </w:tc>
      </w:tr>
      <w:tr>
        <w:tc>
          <w:tcPr>
            <w:tcW w:type="dxa" w:w="2160"/>
          </w:tcPr>
          <w:p>
            <w:r>
              <w:t>Ridge</w:t>
            </w:r>
          </w:p>
        </w:tc>
        <w:tc>
          <w:tcPr>
            <w:tcW w:type="dxa" w:w="2160"/>
          </w:tcPr>
          <w:p>
            <w:r>
              <w:t>835,916</w:t>
            </w:r>
          </w:p>
        </w:tc>
        <w:tc>
          <w:tcPr>
            <w:tcW w:type="dxa" w:w="2160"/>
          </w:tcPr>
          <w:p>
            <w:r>
              <w:t>182,451</w:t>
            </w:r>
          </w:p>
        </w:tc>
        <w:tc>
          <w:tcPr>
            <w:tcW w:type="dxa" w:w="2160"/>
          </w:tcPr>
          <w:p>
            <w:r>
              <w:t>1,018,367</w:t>
            </w:r>
          </w:p>
        </w:tc>
      </w:tr>
      <w:tr>
        <w:tc>
          <w:tcPr>
            <w:tcW w:type="dxa" w:w="2160"/>
          </w:tcPr>
          <w:p>
            <w:r>
              <w:t>Actual 2025</w:t>
            </w:r>
          </w:p>
        </w:tc>
        <w:tc>
          <w:tcPr>
            <w:tcW w:type="dxa" w:w="2160"/>
          </w:tcPr>
          <w:p>
            <w:r>
              <w:t>814,110</w:t>
            </w:r>
          </w:p>
        </w:tc>
        <w:tc>
          <w:tcPr>
            <w:tcW w:type="dxa" w:w="2160"/>
          </w:tcPr>
          <w:p>
            <w:r>
              <w:t>181,800</w:t>
            </w:r>
          </w:p>
        </w:tc>
        <w:tc>
          <w:tcPr>
            <w:tcW w:type="dxa" w:w="2160"/>
          </w:tcPr>
          <w:p>
            <w:r>
              <w:t>995,910</w:t>
            </w:r>
          </w:p>
        </w:tc>
      </w:tr>
    </w:tbl>
    <w:p/>
    <w:p>
      <w:r>
        <w:t>All models project 2026 imports within +/-8% of 2025 actual, reflecting the stable trajectory of Chilean maritime trade post-pandemic. The Baseline and Hybrid ensemble forecast slightly higher than 2025 (~4-5% growth), while tree models (LightGBM, XGBoost) are more conservative. Export forecasts are tightly clustered across all models.</w:t>
      </w:r>
    </w:p>
    <w:p>
      <w:pPr>
        <w:pStyle w:val="Heading1"/>
      </w:pPr>
      <w:r>
        <w:t>10. Key Findings for the Thesis</w:t>
      </w:r>
    </w:p>
    <w:p>
      <w:r>
        <w:rPr>
          <w:b/>
        </w:rPr>
        <w:t xml:space="preserve">1. Feature engineering matters more than model choice. </w:t>
      </w:r>
      <w:r>
        <w:t>The COVID-aware feature pipeline (lag substitution, sample weighting, COVID flags) delivers a larger accuracy improvement than switching between model families. On the congestion pipeline, the gap between the best and worst ML models on the 2025 fold is ~4.7 pp (ElasticNet 8.2% vs Random Forest 8.8%), while the gap between COVID-aware and naive features is 5+ pp.</w:t>
      </w:r>
    </w:p>
    <w:p>
      <w:r>
        <w:rPr>
          <w:b/>
        </w:rPr>
        <w:t xml:space="preserve">2. Simple baselines are hard to beat for large, seasonal ports. </w:t>
      </w:r>
      <w:r>
        <w:t>The Baseline Seasonal Naive achieves 4.33% wMAPE on the most recent fold — nearly half the error of the best ML model. This is because large Chilean ports have extremely stable seasonal patterns that a lag-12 + growth heuristic captures efficiently.</w:t>
      </w:r>
    </w:p>
    <w:p>
      <w:r>
        <w:rPr>
          <w:b/>
        </w:rPr>
        <w:t xml:space="preserve">3. ML models earn their keep on small ports and structural breaks. </w:t>
      </w:r>
      <w:r>
        <w:t>The hybrid ensemble improves on the pure Baseline by selecting ML models for ports where traffic patterns are irregular or where COVID-era structural shifts make last-year comparisons unreliable. The 2023 fold demonstrates this clearly: Baseline wMAPE = 41.0% vs XGBoost 14.3%.</w:t>
      </w:r>
    </w:p>
    <w:p>
      <w:r>
        <w:rPr>
          <w:b/>
        </w:rPr>
        <w:t xml:space="preserve">4. Data leakage is the most dangerous bug in an ML pipeline. </w:t>
      </w:r>
      <w:r>
        <w:t>Two leakage bugs inflated the original LightGBM R-squared from ~0.57 (honest) to ~0.91 (leaked). The R-squared = 1.000 from linear models was the detection signal, but the partial leak in tree models was nearly invisible because 0.91 looks like a plausible result. The detection method — running the same features through multiple model families and comparing ordinally — should be a standard practice for any time-series ML project.</w:t>
      </w:r>
    </w:p>
    <w:p>
      <w:r>
        <w:rPr>
          <w:b/>
        </w:rPr>
        <w:t xml:space="preserve">5. Recursive forecasting is a reasonable strategy for a 12-month horizon. </w:t>
      </w:r>
      <w:r>
        <w:t>The 12-step recursive forecast preserves seasonality through the lag-12 anchor while allowing short-term lags to evolve. All models produce plausible national totals within +/-8% of 2025 actual, validating the approach for a one-year planning horizon.</w:t>
      </w:r>
    </w:p>
    <w:p>
      <w:r>
        <w:rPr>
          <w:b/>
        </w:rPr>
        <w:t xml:space="preserve">6. The hybrid ensemble is the optimal production configuration. </w:t>
      </w:r>
      <w:r>
        <w:t>Congestion: Baseline for big ports (&gt;= 500 ships/mo), CV-selected ML for small ports. Commodity: purely CV-selected best model per HS2 x port x direction. Both use 4-fold walk-forward CV with volume-weighted MAPE as the selection criterion.</w:t>
      </w:r>
    </w:p>
    <w:p>
      <w:pPr>
        <w:pStyle w:val="Heading1"/>
      </w:pPr>
      <w:r>
        <w:t>11. Source Files Reference</w:t>
      </w:r>
    </w:p>
    <w:tbl>
      <w:tblPr>
        <w:tblStyle w:val="LightGrid-Accent1"/>
        <w:tblW w:type="auto" w:w="0"/>
        <w:tblLook w:firstColumn="1" w:firstRow="1" w:lastColumn="0" w:lastRow="0" w:noHBand="0" w:noVBand="1" w:val="04A0"/>
      </w:tblPr>
      <w:tblGrid>
        <w:gridCol w:w="4320"/>
        <w:gridCol w:w="4320"/>
      </w:tblGrid>
      <w:tr>
        <w:tc>
          <w:tcPr>
            <w:tcW w:type="dxa" w:w="4320"/>
          </w:tcPr>
          <w:p>
            <w:r>
              <w:rPr>
                <w:b/>
              </w:rPr>
              <w:t>File</w:t>
            </w:r>
          </w:p>
        </w:tc>
        <w:tc>
          <w:tcPr>
            <w:tcW w:type="dxa" w:w="4320"/>
          </w:tcPr>
          <w:p>
            <w:r>
              <w:rPr>
                <w:b/>
              </w:rPr>
              <w:t>Purpose</w:t>
            </w:r>
          </w:p>
        </w:tc>
      </w:tr>
      <w:tr>
        <w:tc>
          <w:tcPr>
            <w:tcW w:type="dxa" w:w="4320"/>
          </w:tcPr>
          <w:p>
            <w:r>
              <w:t>modeling/wz_ml_utils.py</w:t>
            </w:r>
          </w:p>
        </w:tc>
        <w:tc>
          <w:tcPr>
            <w:tcW w:type="dxa" w:w="4320"/>
          </w:tcPr>
          <w:p>
            <w:r>
              <w:t>Shared ML utilities: feature list, walk-forward CV, scoring, recursive forecast</w:t>
            </w:r>
          </w:p>
        </w:tc>
      </w:tr>
      <w:tr>
        <w:tc>
          <w:tcPr>
            <w:tcW w:type="dxa" w:w="4320"/>
          </w:tcPr>
          <w:p>
            <w:r>
              <w:t>modeling/04_ml_congestion.py</w:t>
            </w:r>
          </w:p>
        </w:tc>
        <w:tc>
          <w:tcPr>
            <w:tcW w:type="dxa" w:w="4320"/>
          </w:tcPr>
          <w:p>
            <w:r>
              <w:t>Port congestion pipeline: aggregation, features, CV, hybrid selection, 2026 forecast</w:t>
            </w:r>
          </w:p>
        </w:tc>
      </w:tr>
      <w:tr>
        <w:tc>
          <w:tcPr>
            <w:tcW w:type="dxa" w:w="4320"/>
          </w:tcPr>
          <w:p>
            <w:r>
              <w:t>modeling/05_ml_commodity.py</w:t>
            </w:r>
          </w:p>
        </w:tc>
        <w:tc>
          <w:tcPr>
            <w:tcW w:type="dxa" w:w="4320"/>
          </w:tcPr>
          <w:p>
            <w:r>
              <w:t>Commodity pipeline: HS2-level aggregation, features, CV, model selection, 2026 forecast</w:t>
            </w:r>
          </w:p>
        </w:tc>
      </w:tr>
      <w:tr>
        <w:tc>
          <w:tcPr>
            <w:tcW w:type="dxa" w:w="4320"/>
          </w:tcPr>
          <w:p>
            <w:r>
              <w:t>modeling/notebooks/08_model_comparison_2026.ipynb</w:t>
            </w:r>
          </w:p>
        </w:tc>
        <w:tc>
          <w:tcPr>
            <w:tcW w:type="dxa" w:w="4320"/>
          </w:tcPr>
          <w:p>
            <w:r>
              <w:t>Model comparison: side-by-side wMAPE, head-to-head plots, national forecast</w:t>
            </w:r>
          </w:p>
        </w:tc>
      </w:tr>
      <w:tr>
        <w:tc>
          <w:tcPr>
            <w:tcW w:type="dxa" w:w="4320"/>
          </w:tcPr>
          <w:p>
            <w:r>
              <w:t>modeling/notebooks/09_bugs_found.ipynb</w:t>
            </w:r>
          </w:p>
        </w:tc>
        <w:tc>
          <w:tcPr>
            <w:tcW w:type="dxa" w:w="4320"/>
          </w:tcPr>
          <w:p>
            <w:r>
              <w:t>Data leakage forensic report: both bugs, proof, before/after metrics</w:t>
            </w:r>
          </w:p>
        </w:tc>
      </w:tr>
      <w:tr>
        <w:tc>
          <w:tcPr>
            <w:tcW w:type="dxa" w:w="4320"/>
          </w:tcPr>
          <w:p>
            <w:r>
              <w:t>modeling/notebooks/11_hybrid_ensemble.ipynb</w:t>
            </w:r>
          </w:p>
        </w:tc>
        <w:tc>
          <w:tcPr>
            <w:tcW w:type="dxa" w:w="4320"/>
          </w:tcPr>
          <w:p>
            <w:r>
              <w:t>Hybrid ensemble: volume threshold, per-port selection, 2025 holdout validation</w:t>
            </w:r>
          </w:p>
        </w:tc>
      </w:tr>
      <w:tr>
        <w:tc>
          <w:tcPr>
            <w:tcW w:type="dxa" w:w="4320"/>
          </w:tcPr>
          <w:p>
            <w:r>
              <w:t>modeling/notebooks/01-07</w:t>
            </w:r>
          </w:p>
        </w:tc>
        <w:tc>
          <w:tcPr>
            <w:tcW w:type="dxa" w:w="4320"/>
          </w:tcPr>
          <w:p>
            <w:r>
              <w:t>Individual model notebooks: EDA, Baseline, LightGBM, XGBoost, RF, Linear, Prophet</w:t>
            </w:r>
          </w:p>
        </w:tc>
      </w:tr>
      <w:tr>
        <w:tc>
          <w:tcPr>
            <w:tcW w:type="dxa" w:w="4320"/>
          </w:tcPr>
          <w:p>
            <w:r>
              <w:t>dashboard-2.0/src/App.jsx</w:t>
            </w:r>
          </w:p>
        </w:tc>
        <w:tc>
          <w:tcPr>
            <w:tcW w:type="dxa" w:w="4320"/>
          </w:tcPr>
          <w:p>
            <w:r>
              <w:t>Dashboard: renders congestion + weather fused forecasts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