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Work Sans" w:cs="Work Sans" w:eastAsia="Work Sans" w:hAnsi="Work Sans"/>
          <w:b/>
          <w:bCs/>
          <w:color w:val="015887"/>
          <w:sz w:val="36"/>
          <w:szCs w:val="36"/>
        </w:rPr>
        <w:t xml:space="preserve">Workflow Planning Template</w:t>
      </w:r>
    </w:p>
    <w:p>
      <w:pPr>
        <w:spacing w:after="200"/>
      </w:pPr>
      <w:r>
        <w:rPr>
          <w:rFonts w:ascii="Ubuntu" w:cs="Ubuntu" w:eastAsia="Ubuntu" w:hAnsi="Ubuntu"/>
          <w:color w:val="6b6b6b"/>
          <w:sz w:val="20"/>
          <w:szCs w:val="20"/>
        </w:rPr>
        <w:t xml:space="preserve">A workflow is a job broken into steps and linked together. The steps can be people, agents, or automations. Plan it here, then build it in Copilot Studio under Workflows, New workflow, in the same order.</w:t>
      </w:r>
    </w:p>
    <w:p>
      <w:pPr>
        <w:spacing w:after="140"/>
      </w:pPr>
      <w:r>
        <w:rPr>
          <w:rFonts w:ascii="Work Sans" w:cs="Work Sans" w:eastAsia="Work Sans" w:hAnsi="Work Sans"/>
          <w:b/>
          <w:bCs/>
          <w:color w:val="015887"/>
          <w:sz w:val="20"/>
          <w:szCs w:val="20"/>
        </w:rPr>
        <w:t xml:space="preserve">Workflow name</w:t>
      </w:r>
      <w:r>
        <w:rPr>
          <w:rFonts w:ascii="Ubuntu" w:cs="Ubuntu" w:eastAsia="Ubuntu" w:hAnsi="Ubuntu"/>
          <w:color w:val="b8d4e6"/>
          <w:sz w:val="20"/>
          <w:szCs w:val="20"/>
        </w:rPr>
        <w:t xml:space="preserve">  ________________________________________________</w:t>
      </w:r>
    </w:p>
    <w:p>
      <w:pPr>
        <w:spacing w:after="140"/>
      </w:pPr>
      <w:r>
        <w:rPr>
          <w:rFonts w:ascii="Work Sans" w:cs="Work Sans" w:eastAsia="Work Sans" w:hAnsi="Work Sans"/>
          <w:b/>
          <w:bCs/>
          <w:color w:val="015887"/>
          <w:sz w:val="20"/>
          <w:szCs w:val="20"/>
        </w:rPr>
        <w:t xml:space="preserve">The job it does</w:t>
      </w:r>
      <w:r>
        <w:rPr>
          <w:rFonts w:ascii="Ubuntu" w:cs="Ubuntu" w:eastAsia="Ubuntu" w:hAnsi="Ubuntu"/>
          <w:color w:val="b8d4e6"/>
          <w:sz w:val="20"/>
          <w:szCs w:val="20"/>
        </w:rPr>
        <w:t xml:space="preserve">  ________________________________________________</w:t>
      </w:r>
    </w:p>
    <w:p>
      <w:pPr>
        <w:spacing w:after="140"/>
      </w:pPr>
      <w:r>
        <w:rPr>
          <w:rFonts w:ascii="Work Sans" w:cs="Work Sans" w:eastAsia="Work Sans" w:hAnsi="Work Sans"/>
          <w:b/>
          <w:bCs/>
          <w:color w:val="015887"/>
          <w:sz w:val="20"/>
          <w:szCs w:val="20"/>
        </w:rPr>
        <w:t xml:space="preserve">Planned by, and date</w:t>
      </w:r>
      <w:r>
        <w:rPr>
          <w:rFonts w:ascii="Ubuntu" w:cs="Ubuntu" w:eastAsia="Ubuntu" w:hAnsi="Ubuntu"/>
          <w:color w:val="b8d4e6"/>
          <w:sz w:val="20"/>
          <w:szCs w:val="20"/>
        </w:rPr>
        <w:t xml:space="preserve">  ________________________________________________</w:t>
      </w:r>
    </w:p>
    <w:p>
      <w:pPr>
        <w:keepNext/>
        <w:keepLines/>
        <w:spacing w:after="100" w:before="240"/>
      </w:pPr>
      <w:r>
        <w:rPr>
          <w:rFonts w:ascii="Work Sans" w:cs="Work Sans" w:eastAsia="Work Sans" w:hAnsi="Work Sans"/>
          <w:b/>
          <w:bCs/>
          <w:color w:val="015887"/>
          <w:sz w:val="24"/>
          <w:szCs w:val="24"/>
        </w:rPr>
        <w:t xml:space="preserve">Start and finish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Field</w:t>
            </w:r>
          </w:p>
        </w:tc>
        <w:tc>
          <w:tcPr>
            <w:tcW w:type="dxa" w:w="6338"/>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Your plan</w:t>
            </w:r>
          </w:p>
        </w:tc>
      </w:tr>
      <w:tr>
        <w:trPr>
          <w:cantSplit/>
          <w:trHeight w:val="800" w:hRule="atLeast"/>
        </w:trPr>
        <w:tc>
          <w:tcPr>
            <w:tcW w:type="dxa" w:w="33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keepNext/>
              <w:spacing w:after="80"/>
            </w:pPr>
            <w:r>
              <w:rPr>
                <w:rFonts w:ascii="Ubuntu" w:cs="Ubuntu" w:eastAsia="Ubuntu" w:hAnsi="Ubuntu"/>
                <w:b/>
                <w:bCs/>
                <w:sz w:val="20"/>
                <w:szCs w:val="20"/>
              </w:rPr>
              <w:t xml:space="preserve">Trigger</w:t>
            </w:r>
          </w:p>
          <w:p>
            <w:pPr>
              <w:keepNext/>
              <w:spacing w:after="80"/>
            </w:pPr>
            <w:r>
              <w:rPr>
                <w:rFonts w:ascii="Ubuntu" w:cs="Ubuntu" w:eastAsia="Ubuntu" w:hAnsi="Ubuntu"/>
                <w:color w:val="6b6b6b"/>
                <w:sz w:val="17"/>
                <w:szCs w:val="17"/>
              </w:rPr>
              <w:t xml:space="preserve">What starts it: a file arriving in a folder, a weekly schedule, or a person pressing a button.</w:t>
            </w:r>
          </w:p>
        </w:tc>
        <w:tc>
          <w:tcPr>
            <w:tcW w:type="dxa" w:w="6338"/>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r>
        <w:trPr>
          <w:cantSplit/>
          <w:trHeight w:val="800" w:hRule="atLeast"/>
        </w:trPr>
        <w:tc>
          <w:tcPr>
            <w:tcW w:type="dxa" w:w="33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keepNext/>
              <w:spacing w:after="80"/>
            </w:pPr>
            <w:r>
              <w:rPr>
                <w:rFonts w:ascii="Ubuntu" w:cs="Ubuntu" w:eastAsia="Ubuntu" w:hAnsi="Ubuntu"/>
                <w:b/>
                <w:bCs/>
                <w:sz w:val="20"/>
                <w:szCs w:val="20"/>
              </w:rPr>
              <w:t xml:space="preserve">Where the output lands</w:t>
            </w:r>
          </w:p>
          <w:p>
            <w:pPr>
              <w:keepNext/>
              <w:spacing w:after="80"/>
            </w:pPr>
            <w:r>
              <w:rPr>
                <w:rFonts w:ascii="Ubuntu" w:cs="Ubuntu" w:eastAsia="Ubuntu" w:hAnsi="Ubuntu"/>
                <w:color w:val="6b6b6b"/>
                <w:sz w:val="17"/>
                <w:szCs w:val="17"/>
              </w:rPr>
              <w:t xml:space="preserve">The folder it's filed in, and who it's sent to. Nothing lands until the person has approved.</w:t>
            </w:r>
          </w:p>
        </w:tc>
        <w:tc>
          <w:tcPr>
            <w:tcW w:type="dxa" w:w="6338"/>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bl>
    <w:p>
      <w:pPr>
        <w:keepNext/>
        <w:keepLines/>
        <w:spacing w:after="100" w:before="240"/>
      </w:pPr>
      <w:r>
        <w:rPr>
          <w:rFonts w:ascii="Work Sans" w:cs="Work Sans" w:eastAsia="Work Sans" w:hAnsi="Work Sans"/>
          <w:b/>
          <w:bCs/>
          <w:color w:val="015887"/>
          <w:sz w:val="24"/>
          <w:szCs w:val="24"/>
        </w:rPr>
        <w:t xml:space="preserve">The steps, in order</w:t>
      </w:r>
    </w:p>
    <w:p>
      <w:pPr>
        <w:keepNext/>
        <w:spacing w:after="80"/>
      </w:pPr>
      <w:r>
        <w:rPr>
          <w:rFonts w:ascii="Ubuntu" w:cs="Ubuntu" w:eastAsia="Ubuntu" w:hAnsi="Ubuntu"/>
          <w:color w:val="6b6b6b"/>
          <w:sz w:val="18"/>
          <w:szCs w:val="18"/>
        </w:rPr>
        <w:t xml:space="preserve">Type is one of: Trigger, Action, Agent step, Condition, or Human review. Takes in and Passes on are the dynamic content: what each step receives from the steps before it, and what it hands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500"/>
        <w:gridCol w:w="1500"/>
        <w:gridCol w:w="2094"/>
        <w:gridCol w:w="2094"/>
      </w:tblGrid>
      <w:tr>
        <w:trPr>
          <w:tblHeader/>
        </w:trPr>
        <w:tc>
          <w:tcPr>
            <w:tcW w:type="dxa" w:w="450"/>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w:t>
            </w:r>
          </w:p>
        </w:tc>
        <w:tc>
          <w:tcPr>
            <w:tcW w:type="dxa" w:w="3500"/>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Step</w:t>
            </w:r>
          </w:p>
        </w:tc>
        <w:tc>
          <w:tcPr>
            <w:tcW w:type="dxa" w:w="1500"/>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Type</w:t>
            </w:r>
          </w:p>
        </w:tc>
        <w:tc>
          <w:tcPr>
            <w:tcW w:type="dxa" w:w="2094"/>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Takes in</w:t>
            </w:r>
          </w:p>
        </w:tc>
        <w:tc>
          <w:tcPr>
            <w:tcW w:type="dxa" w:w="2094"/>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Passes on</w:t>
            </w:r>
          </w:p>
        </w:tc>
      </w:tr>
      <w:tr>
        <w:trPr>
          <w:cantSplit/>
          <w:trHeight w:val="680" w:hRule="atLeas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1</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r>
        <w:trPr>
          <w:cantSplit/>
          <w:trHeight w:val="680" w:hRule="atLeas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2</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r>
        <w:trPr>
          <w:cantSplit/>
          <w:trHeight w:val="680" w:hRule="atLeas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3</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r>
        <w:trPr>
          <w:cantSplit/>
          <w:trHeight w:val="680" w:hRule="atLeas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4</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r>
        <w:trPr>
          <w:cantSplit/>
          <w:trHeight w:val="680" w:hRule="atLeas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5</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r>
        <w:trPr>
          <w:cantSplit/>
          <w:trHeight w:val="680" w:hRule="atLeas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6</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r>
        <w:trPr>
          <w:cantSplit/>
          <w:trHeight w:val="680" w:hRule="atLeas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7</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r>
        <w:trPr>
          <w:cantSplit/>
          <w:trHeight w:val="680" w:hRule="atLeas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8</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bl>
    <w:p>
      <w:pPr>
        <w:keepNext/>
        <w:keepLines/>
        <w:spacing w:after="100" w:before="240"/>
      </w:pPr>
      <w:r>
        <w:rPr>
          <w:rFonts w:ascii="Work Sans" w:cs="Work Sans" w:eastAsia="Work Sans" w:hAnsi="Work Sans"/>
          <w:b/>
          <w:bCs/>
          <w:color w:val="015887"/>
          <w:sz w:val="24"/>
          <w:szCs w:val="24"/>
        </w:rPr>
        <w:t xml:space="preserve">The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Field</w:t>
            </w:r>
          </w:p>
        </w:tc>
        <w:tc>
          <w:tcPr>
            <w:tcW w:type="dxa" w:w="6338"/>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Your plan</w:t>
            </w:r>
          </w:p>
        </w:tc>
      </w:tr>
      <w:tr>
        <w:trPr>
          <w:cantSplit/>
          <w:trHeight w:val="700" w:hRule="atLeast"/>
        </w:trPr>
        <w:tc>
          <w:tcPr>
            <w:tcW w:type="dxa" w:w="33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keepNext/>
              <w:spacing w:after="80"/>
            </w:pPr>
            <w:r>
              <w:rPr>
                <w:rFonts w:ascii="Ubuntu" w:cs="Ubuntu" w:eastAsia="Ubuntu" w:hAnsi="Ubuntu"/>
                <w:b/>
                <w:bCs/>
                <w:sz w:val="20"/>
                <w:szCs w:val="20"/>
              </w:rPr>
              <w:t xml:space="preserve">Who decides</w:t>
            </w:r>
          </w:p>
          <w:p>
            <w:pPr>
              <w:keepNext/>
              <w:spacing w:after="80"/>
            </w:pPr>
            <w:r>
              <w:rPr>
                <w:rFonts w:ascii="Ubuntu" w:cs="Ubuntu" w:eastAsia="Ubuntu" w:hAnsi="Ubuntu"/>
                <w:color w:val="6b6b6b"/>
                <w:sz w:val="17"/>
                <w:szCs w:val="17"/>
              </w:rPr>
              <w:t xml:space="preserve">One named person. The first person to respond decides, so assigning several makes it a race, not a vote. Inside the University's tenant only.</w:t>
            </w:r>
          </w:p>
        </w:tc>
        <w:tc>
          <w:tcPr>
            <w:tcW w:type="dxa" w:w="6338"/>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r>
        <w:trPr>
          <w:cantSplit/>
          <w:trHeight w:val="700" w:hRule="atLeast"/>
        </w:trPr>
        <w:tc>
          <w:tcPr>
            <w:tcW w:type="dxa" w:w="33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keepNext/>
              <w:spacing w:after="80"/>
            </w:pPr>
            <w:r>
              <w:rPr>
                <w:rFonts w:ascii="Ubuntu" w:cs="Ubuntu" w:eastAsia="Ubuntu" w:hAnsi="Ubuntu"/>
                <w:b/>
                <w:bCs/>
                <w:sz w:val="20"/>
                <w:szCs w:val="20"/>
              </w:rPr>
              <w:t xml:space="preserve">What they decide</w:t>
            </w:r>
          </w:p>
          <w:p>
            <w:pPr>
              <w:keepNext/>
              <w:spacing w:after="80"/>
            </w:pPr>
            <w:r>
              <w:rPr>
                <w:rFonts w:ascii="Ubuntu" w:cs="Ubuntu" w:eastAsia="Ubuntu" w:hAnsi="Ubuntu"/>
                <w:color w:val="6b6b6b"/>
                <w:sz w:val="17"/>
                <w:szCs w:val="17"/>
              </w:rPr>
              <w:t xml:space="preserve">Approve or reject, and the part only a person can write.</w:t>
            </w:r>
          </w:p>
        </w:tc>
        <w:tc>
          <w:tcPr>
            <w:tcW w:type="dxa" w:w="6338"/>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r>
        <w:trPr>
          <w:cantSplit/>
          <w:trHeight w:val="700" w:hRule="atLeast"/>
        </w:trPr>
        <w:tc>
          <w:tcPr>
            <w:tcW w:type="dxa" w:w="33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keepNext/>
              <w:spacing w:after="80"/>
            </w:pPr>
            <w:r>
              <w:rPr>
                <w:rFonts w:ascii="Ubuntu" w:cs="Ubuntu" w:eastAsia="Ubuntu" w:hAnsi="Ubuntu"/>
                <w:b/>
                <w:bCs/>
                <w:sz w:val="20"/>
                <w:szCs w:val="20"/>
              </w:rPr>
              <w:t xml:space="preserve">What they enter</w:t>
            </w:r>
          </w:p>
          <w:p>
            <w:pPr>
              <w:keepNext/>
              <w:spacing w:after="80"/>
            </w:pPr>
            <w:r>
              <w:rPr>
                <w:rFonts w:ascii="Ubuntu" w:cs="Ubuntu" w:eastAsia="Ubuntu" w:hAnsi="Ubuntu"/>
                <w:color w:val="6b6b6b"/>
                <w:sz w:val="17"/>
                <w:szCs w:val="17"/>
              </w:rPr>
              <w:t xml:space="preserve">Up to five inputs: text, yes or no, email, number, or date.</w:t>
            </w:r>
          </w:p>
        </w:tc>
        <w:tc>
          <w:tcPr>
            <w:tcW w:type="dxa" w:w="6338"/>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r>
        <w:trPr>
          <w:cantSplit/>
          <w:trHeight w:val="700" w:hRule="atLeast"/>
        </w:trPr>
        <w:tc>
          <w:tcPr>
            <w:tcW w:type="dxa" w:w="33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keepNext/>
              <w:spacing w:after="80"/>
            </w:pPr>
            <w:r>
              <w:rPr>
                <w:rFonts w:ascii="Ubuntu" w:cs="Ubuntu" w:eastAsia="Ubuntu" w:hAnsi="Ubuntu"/>
                <w:b/>
                <w:bCs/>
                <w:sz w:val="20"/>
                <w:szCs w:val="20"/>
              </w:rPr>
              <w:t xml:space="preserve">If the check fails or they reject</w:t>
            </w:r>
          </w:p>
          <w:p>
            <w:pPr>
              <w:keepNext/>
              <w:spacing w:after="80"/>
            </w:pPr>
            <w:r>
              <w:rPr>
                <w:rFonts w:ascii="Ubuntu" w:cs="Ubuntu" w:eastAsia="Ubuntu" w:hAnsi="Ubuntu"/>
                <w:color w:val="6b6b6b"/>
                <w:sz w:val="17"/>
                <w:szCs w:val="17"/>
              </w:rPr>
              <w:t xml:space="preserve">What happens instead. Usually: nothing is filed or sent.</w:t>
            </w:r>
          </w:p>
        </w:tc>
        <w:tc>
          <w:tcPr>
            <w:tcW w:type="dxa" w:w="6338"/>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
            </w:r>
          </w:p>
        </w:tc>
      </w:tr>
    </w:tbl>
    <w:p>
      <w:pPr>
        <w:keepNext/>
        <w:keepLines/>
        <w:spacing w:after="100" w:before="240"/>
      </w:pPr>
      <w:r>
        <w:rPr>
          <w:rFonts w:ascii="Work Sans" w:cs="Work Sans" w:eastAsia="Work Sans" w:hAnsi="Work Sans"/>
          <w:b/>
          <w:bCs/>
          <w:color w:val="015887"/>
          <w:sz w:val="24"/>
          <w:szCs w:val="24"/>
        </w:rPr>
        <w:t xml:space="preserve">Before you build</w:t>
      </w:r>
    </w:p>
    <w:p>
      <w:pPr>
        <w:spacing w:after="60"/>
      </w:pPr>
      <w:r>
        <w:rPr>
          <w:rFonts w:ascii="Ubuntu" w:cs="Ubuntu" w:eastAsia="Ubuntu" w:hAnsi="Ubuntu"/>
          <w:color w:val="015887"/>
          <w:sz w:val="22"/>
          <w:szCs w:val="22"/>
        </w:rPr>
        <w:t xml:space="preserve">☐  </w:t>
      </w:r>
      <w:r>
        <w:rPr>
          <w:rFonts w:ascii="Ubuntu" w:cs="Ubuntu" w:eastAsia="Ubuntu" w:hAnsi="Ubuntu"/>
          <w:sz w:val="20"/>
          <w:szCs w:val="20"/>
        </w:rPr>
        <w:t xml:space="preserve">At least one step isn't an agent.</w:t>
      </w:r>
    </w:p>
    <w:p>
      <w:pPr>
        <w:spacing w:after="60"/>
      </w:pPr>
      <w:r>
        <w:rPr>
          <w:rFonts w:ascii="Ubuntu" w:cs="Ubuntu" w:eastAsia="Ubuntu" w:hAnsi="Ubuntu"/>
          <w:color w:val="015887"/>
          <w:sz w:val="22"/>
          <w:szCs w:val="22"/>
        </w:rPr>
        <w:t xml:space="preserve">☐  </w:t>
      </w:r>
      <w:r>
        <w:rPr>
          <w:rFonts w:ascii="Ubuntu" w:cs="Ubuntu" w:eastAsia="Ubuntu" w:hAnsi="Ubuntu"/>
          <w:sz w:val="20"/>
          <w:szCs w:val="20"/>
        </w:rPr>
        <w:t xml:space="preserve">The checking agent is given less than the drafting agent, and nothing from the writing.</w:t>
      </w:r>
    </w:p>
    <w:p>
      <w:pPr>
        <w:spacing w:after="60"/>
      </w:pPr>
      <w:r>
        <w:rPr>
          <w:rFonts w:ascii="Ubuntu" w:cs="Ubuntu" w:eastAsia="Ubuntu" w:hAnsi="Ubuntu"/>
          <w:color w:val="015887"/>
          <w:sz w:val="22"/>
          <w:szCs w:val="22"/>
        </w:rPr>
        <w:t xml:space="preserve">☐  </w:t>
      </w:r>
      <w:r>
        <w:rPr>
          <w:rFonts w:ascii="Ubuntu" w:cs="Ubuntu" w:eastAsia="Ubuntu" w:hAnsi="Ubuntu"/>
          <w:sz w:val="20"/>
          <w:szCs w:val="20"/>
        </w:rPr>
        <w:t xml:space="preserve">The agent that judges has no tools. Filing and sending are actions, after approval.</w:t>
      </w:r>
    </w:p>
    <w:p>
      <w:pPr>
        <w:spacing w:after="60"/>
      </w:pPr>
      <w:r>
        <w:rPr>
          <w:rFonts w:ascii="Ubuntu" w:cs="Ubuntu" w:eastAsia="Ubuntu" w:hAnsi="Ubuntu"/>
          <w:color w:val="015887"/>
          <w:sz w:val="22"/>
          <w:szCs w:val="22"/>
        </w:rPr>
        <w:t xml:space="preserve">☐  </w:t>
      </w:r>
      <w:r>
        <w:rPr>
          <w:rFonts w:ascii="Ubuntu" w:cs="Ubuntu" w:eastAsia="Ubuntu" w:hAnsi="Ubuntu"/>
          <w:sz w:val="20"/>
          <w:szCs w:val="20"/>
        </w:rPr>
        <w:t xml:space="preserve">The person decides after the check and before anything is filed or sent.</w:t>
      </w:r>
    </w:p>
    <w:p>
      <w:pPr>
        <w:spacing w:after="60"/>
      </w:pPr>
      <w:r>
        <w:rPr>
          <w:rFonts w:ascii="Ubuntu" w:cs="Ubuntu" w:eastAsia="Ubuntu" w:hAnsi="Ubuntu"/>
          <w:color w:val="015887"/>
          <w:sz w:val="22"/>
          <w:szCs w:val="22"/>
        </w:rPr>
        <w:t xml:space="preserve">☐  </w:t>
      </w:r>
      <w:r>
        <w:rPr>
          <w:rFonts w:ascii="Ubuntu" w:cs="Ubuntu" w:eastAsia="Ubuntu" w:hAnsi="Ubuntu"/>
          <w:sz w:val="20"/>
          <w:szCs w:val="20"/>
        </w:rPr>
        <w:t xml:space="preserve">The review happens even when the check comes back clean.</w:t>
      </w:r>
    </w:p>
    <w:p>
      <w:r>
        <w:br w:type="page"/>
      </w:r>
    </w:p>
    <w:p>
      <w:pPr>
        <w:spacing w:after="60"/>
      </w:pPr>
      <w:r>
        <w:rPr>
          <w:rFonts w:ascii="Work Sans" w:cs="Work Sans" w:eastAsia="Work Sans" w:hAnsi="Work Sans"/>
          <w:b/>
          <w:bCs/>
          <w:color w:val="015887"/>
          <w:sz w:val="36"/>
          <w:szCs w:val="36"/>
        </w:rPr>
        <w:t xml:space="preserve">Worked example: the NSS report workflow</w:t>
      </w:r>
    </w:p>
    <w:p>
      <w:pPr>
        <w:spacing w:after="200"/>
      </w:pPr>
      <w:r>
        <w:rPr>
          <w:rFonts w:ascii="Ubuntu" w:cs="Ubuntu" w:eastAsia="Ubuntu" w:hAnsi="Ubuntu"/>
          <w:color w:val="6b6b6b"/>
          <w:sz w:val="20"/>
          <w:szCs w:val="20"/>
        </w:rPr>
        <w:t xml:space="preserve">Seven steps. One agent drafts, a second checks the draft cold, and the programme lead decides before anything is filed or sent.</w:t>
      </w:r>
    </w:p>
    <w:p>
      <w:pPr>
        <w:keepNext/>
        <w:keepLines/>
        <w:spacing w:after="100" w:before="240"/>
      </w:pPr>
      <w:r>
        <w:rPr>
          <w:rFonts w:ascii="Work Sans" w:cs="Work Sans" w:eastAsia="Work Sans" w:hAnsi="Work Sans"/>
          <w:b/>
          <w:bCs/>
          <w:color w:val="015887"/>
          <w:sz w:val="24"/>
          <w:szCs w:val="24"/>
        </w:rPr>
        <w:t xml:space="preserve">Start and finish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Field</w:t>
            </w:r>
          </w:p>
        </w:tc>
        <w:tc>
          <w:tcPr>
            <w:tcW w:type="dxa" w:w="6338"/>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NSS report workflow</w:t>
            </w:r>
          </w:p>
        </w:tc>
      </w:tr>
      <w:tr>
        <w:trPr>
          <w:cantSplit/>
        </w:trPr>
        <w:tc>
          <w:tcPr>
            <w:tcW w:type="dxa" w:w="33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keepNext/>
              <w:spacing w:after="80"/>
            </w:pPr>
            <w:r>
              <w:rPr>
                <w:rFonts w:ascii="Ubuntu" w:cs="Ubuntu" w:eastAsia="Ubuntu" w:hAnsi="Ubuntu"/>
                <w:b/>
                <w:bCs/>
                <w:sz w:val="20"/>
                <w:szCs w:val="20"/>
              </w:rPr>
              <w:t xml:space="preserve">Trigger</w:t>
            </w:r>
          </w:p>
          <w:p>
            <w:pPr>
              <w:keepNext/>
              <w:spacing w:after="80"/>
            </w:pPr>
            <w:r>
              <w:rPr>
                <w:rFonts w:ascii="Ubuntu" w:cs="Ubuntu" w:eastAsia="Ubuntu" w:hAnsi="Ubuntu"/>
                <w:color w:val="6b6b6b"/>
                <w:sz w:val="17"/>
                <w:szCs w:val="17"/>
              </w:rPr>
              <w:t xml:space="preserve">What starts it: a file arriving in a folder, a weekly schedule, or a person pressing a button.</w:t>
            </w:r>
          </w:p>
        </w:tc>
        <w:tc>
          <w:tcPr>
            <w:tcW w:type="dxa" w:w="6338"/>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A new response file is created in the NSS Responses folder.</w:t>
            </w:r>
          </w:p>
        </w:tc>
      </w:tr>
      <w:tr>
        <w:trPr>
          <w:cantSplit/>
        </w:trPr>
        <w:tc>
          <w:tcPr>
            <w:tcW w:type="dxa" w:w="33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keepNext/>
              <w:spacing w:after="80"/>
            </w:pPr>
            <w:r>
              <w:rPr>
                <w:rFonts w:ascii="Ubuntu" w:cs="Ubuntu" w:eastAsia="Ubuntu" w:hAnsi="Ubuntu"/>
                <w:b/>
                <w:bCs/>
                <w:sz w:val="20"/>
                <w:szCs w:val="20"/>
              </w:rPr>
              <w:t xml:space="preserve">Where the output lands</w:t>
            </w:r>
          </w:p>
          <w:p>
            <w:pPr>
              <w:keepNext/>
              <w:spacing w:after="80"/>
            </w:pPr>
            <w:r>
              <w:rPr>
                <w:rFonts w:ascii="Ubuntu" w:cs="Ubuntu" w:eastAsia="Ubuntu" w:hAnsi="Ubuntu"/>
                <w:color w:val="6b6b6b"/>
                <w:sz w:val="17"/>
                <w:szCs w:val="17"/>
              </w:rPr>
              <w:t xml:space="preserve">The folder it's filed in, and who it's sent to. Nothing lands until the person has approved.</w:t>
            </w:r>
          </w:p>
        </w:tc>
        <w:tc>
          <w:tcPr>
            <w:tcW w:type="dxa" w:w="6338"/>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The Reports folder, with the claims register beside the report. The report goes to its circulation list, and the accessibility section separately to the Disability and Inclusion Service.</w:t>
            </w:r>
          </w:p>
        </w:tc>
      </w:tr>
    </w:tbl>
    <w:p>
      <w:pPr>
        <w:keepNext/>
        <w:keepLines/>
        <w:spacing w:after="100" w:before="240"/>
      </w:pPr>
      <w:r>
        <w:rPr>
          <w:rFonts w:ascii="Work Sans" w:cs="Work Sans" w:eastAsia="Work Sans" w:hAnsi="Work Sans"/>
          <w:b/>
          <w:bCs/>
          <w:color w:val="015887"/>
          <w:sz w:val="24"/>
          <w:szCs w:val="24"/>
        </w:rPr>
        <w:t xml:space="preserve">The steps,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500"/>
        <w:gridCol w:w="1500"/>
        <w:gridCol w:w="2094"/>
        <w:gridCol w:w="2094"/>
      </w:tblGrid>
      <w:tr>
        <w:trPr>
          <w:tblHeader/>
        </w:trPr>
        <w:tc>
          <w:tcPr>
            <w:tcW w:type="dxa" w:w="450"/>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w:t>
            </w:r>
          </w:p>
        </w:tc>
        <w:tc>
          <w:tcPr>
            <w:tcW w:type="dxa" w:w="3500"/>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Step</w:t>
            </w:r>
          </w:p>
        </w:tc>
        <w:tc>
          <w:tcPr>
            <w:tcW w:type="dxa" w:w="1500"/>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Type</w:t>
            </w:r>
          </w:p>
        </w:tc>
        <w:tc>
          <w:tcPr>
            <w:tcW w:type="dxa" w:w="2094"/>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Takes in</w:t>
            </w:r>
          </w:p>
        </w:tc>
        <w:tc>
          <w:tcPr>
            <w:tcW w:type="dxa" w:w="2094"/>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Passes on</w:t>
            </w:r>
          </w:p>
        </w:tc>
      </w:tr>
      <w:tr>
        <w:trPr>
          <w:cantSpli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1</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A new response file is created in the NSS Responses folder</w:t>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Trigger</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Nothing</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The file</w:t>
            </w:r>
          </w:p>
        </w:tc>
      </w:tr>
      <w:tr>
        <w:trPr>
          <w:cantSpli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2</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Get the file's content, and its modified date</w:t>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Action</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The file</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Content and date</w:t>
            </w:r>
          </w:p>
        </w:tc>
      </w:tr>
      <w:tr>
        <w:trPr>
          <w:cantSpli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3</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The Programme Feedback Report agent drafts the report</w:t>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Agent step</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File content</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Draft report</w:t>
            </w:r>
          </w:p>
        </w:tc>
      </w:tr>
      <w:tr>
        <w:trPr>
          <w:cantSpli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4</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The Programme Feedback Report Checker checks the draft against the response file</w:t>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Agent step</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Draft report and file content, nothing from the writing</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Claims register</w:t>
            </w:r>
          </w:p>
        </w:tc>
      </w:tr>
      <w:tr>
        <w:trPr>
          <w:cantSpli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5</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If the checker flagged anything, those rows go first in the review message</w:t>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Condition</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Claims register</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Review message</w:t>
            </w:r>
          </w:p>
        </w:tc>
      </w:tr>
      <w:tr>
        <w:trPr>
          <w:cantSpli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6</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The programme lead reads the register and the report, approves or rejects, and writes Recommendations</w:t>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Human review</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Report, register, and review message</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Decision and Recommendations</w:t>
            </w:r>
          </w:p>
        </w:tc>
      </w:tr>
      <w:tr>
        <w:trPr>
          <w:cantSplit/>
        </w:trPr>
        <w:tc>
          <w:tcPr>
            <w:tcW w:type="dxa" w:w="450"/>
            <w:tcBorders>
              <w:top w:val="single" w:color="b8d4e6" w:sz="4"/>
              <w:left w:val="single" w:color="b8d4e6" w:sz="4"/>
              <w:bottom w:val="single" w:color="b8d4e6" w:sz="4"/>
              <w:right w:val="single" w:color="b8d4e6" w:sz="4"/>
            </w:tcBorders>
            <w:shd w:fill="e6f2fa" w:color="auto" w:val="clear"/>
            <w:tcMar>
              <w:top w:type="dxa" w:w="80"/>
              <w:left w:type="dxa" w:w="110"/>
              <w:bottom w:type="dxa" w:w="80"/>
              <w:right w:type="dxa" w:w="110"/>
            </w:tcMar>
            <w:vAlign w:val="top"/>
          </w:tcPr>
          <w:p>
            <w:pPr>
              <w:spacing w:after="80"/>
            </w:pPr>
            <w:r>
              <w:rPr>
                <w:rFonts w:ascii="Work Sans" w:cs="Work Sans" w:eastAsia="Work Sans" w:hAnsi="Work Sans"/>
                <w:b/>
                <w:bCs/>
                <w:color w:val="015887"/>
                <w:sz w:val="20"/>
                <w:szCs w:val="20"/>
              </w:rPr>
              <w:t xml:space="preserve">7</w:t>
            </w:r>
          </w:p>
        </w:tc>
        <w:tc>
          <w:tcPr>
            <w:tcW w:type="dxa" w:w="3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If approved: file the report and register side by side, send the report to its circulation list, and send the accessibility section to the Disability and Inclusion Service</w:t>
            </w:r>
          </w:p>
        </w:tc>
        <w:tc>
          <w:tcPr>
            <w:tcW w:type="dxa" w:w="15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b/>
                <w:bCs/>
                <w:sz w:val="20"/>
                <w:szCs w:val="20"/>
              </w:rPr>
              <w:t xml:space="preserve">Action</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Decision, report, and Recommendations</w:t>
            </w:r>
          </w:p>
        </w:tc>
        <w:tc>
          <w:tcPr>
            <w:tcW w:type="dxa" w:w="2094"/>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Filed and sent report</w:t>
            </w:r>
          </w:p>
        </w:tc>
      </w:tr>
    </w:tbl>
    <w:p>
      <w:pPr>
        <w:keepNext/>
        <w:keepLines/>
        <w:spacing w:after="100" w:before="240"/>
      </w:pPr>
      <w:r>
        <w:rPr>
          <w:rFonts w:ascii="Work Sans" w:cs="Work Sans" w:eastAsia="Work Sans" w:hAnsi="Work Sans"/>
          <w:b/>
          <w:bCs/>
          <w:color w:val="015887"/>
          <w:sz w:val="24"/>
          <w:szCs w:val="24"/>
        </w:rPr>
        <w:t xml:space="preserve">The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Field</w:t>
            </w:r>
          </w:p>
        </w:tc>
        <w:tc>
          <w:tcPr>
            <w:tcW w:type="dxa" w:w="6338"/>
            <w:tcBorders>
              <w:top w:val="single" w:color="b8d4e6" w:sz="4"/>
              <w:left w:val="single" w:color="b8d4e6" w:sz="4"/>
              <w:bottom w:val="single" w:color="b8d4e6" w:sz="4"/>
              <w:right w:val="single" w:color="b8d4e6" w:sz="4"/>
            </w:tcBorders>
            <w:shd w:fill="015887" w:color="auto" w:val="clear"/>
            <w:tcMar>
              <w:top w:type="dxa" w:w="80"/>
              <w:left w:type="dxa" w:w="110"/>
              <w:bottom w:type="dxa" w:w="80"/>
              <w:right w:type="dxa" w:w="110"/>
            </w:tcMar>
            <w:vAlign w:val="top"/>
          </w:tcPr>
          <w:p>
            <w:pPr>
              <w:keepNext/>
              <w:spacing w:after="80"/>
            </w:pPr>
            <w:r>
              <w:rPr>
                <w:rFonts w:ascii="Work Sans" w:cs="Work Sans" w:eastAsia="Work Sans" w:hAnsi="Work Sans"/>
                <w:b/>
                <w:bCs/>
                <w:color w:val="ffffff"/>
                <w:sz w:val="20"/>
                <w:szCs w:val="20"/>
              </w:rPr>
              <w:t xml:space="preserve">NSS report workflow</w:t>
            </w:r>
          </w:p>
        </w:tc>
      </w:tr>
      <w:tr>
        <w:trPr>
          <w:cantSplit/>
        </w:trPr>
        <w:tc>
          <w:tcPr>
            <w:tcW w:type="dxa" w:w="33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keepNext/>
              <w:spacing w:after="80"/>
            </w:pPr>
            <w:r>
              <w:rPr>
                <w:rFonts w:ascii="Ubuntu" w:cs="Ubuntu" w:eastAsia="Ubuntu" w:hAnsi="Ubuntu"/>
                <w:b/>
                <w:bCs/>
                <w:sz w:val="20"/>
                <w:szCs w:val="20"/>
              </w:rPr>
              <w:t xml:space="preserve">Who decides</w:t>
            </w:r>
          </w:p>
          <w:p>
            <w:pPr>
              <w:keepNext/>
              <w:spacing w:after="80"/>
            </w:pPr>
            <w:r>
              <w:rPr>
                <w:rFonts w:ascii="Ubuntu" w:cs="Ubuntu" w:eastAsia="Ubuntu" w:hAnsi="Ubuntu"/>
                <w:color w:val="6b6b6b"/>
                <w:sz w:val="17"/>
                <w:szCs w:val="17"/>
              </w:rPr>
              <w:t xml:space="preserve">One named person. The first person to respond decides, so assigning several makes it a race, not a vote. Inside the University's tenant only.</w:t>
            </w:r>
          </w:p>
        </w:tc>
        <w:tc>
          <w:tcPr>
            <w:tcW w:type="dxa" w:w="6338"/>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The programme lead. One named person.</w:t>
            </w:r>
          </w:p>
        </w:tc>
      </w:tr>
      <w:tr>
        <w:trPr>
          <w:cantSplit/>
        </w:trPr>
        <w:tc>
          <w:tcPr>
            <w:tcW w:type="dxa" w:w="33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keepNext/>
              <w:spacing w:after="80"/>
            </w:pPr>
            <w:r>
              <w:rPr>
                <w:rFonts w:ascii="Ubuntu" w:cs="Ubuntu" w:eastAsia="Ubuntu" w:hAnsi="Ubuntu"/>
                <w:b/>
                <w:bCs/>
                <w:sz w:val="20"/>
                <w:szCs w:val="20"/>
              </w:rPr>
              <w:t xml:space="preserve">What they decide</w:t>
            </w:r>
          </w:p>
          <w:p>
            <w:pPr>
              <w:keepNext/>
              <w:spacing w:after="80"/>
            </w:pPr>
            <w:r>
              <w:rPr>
                <w:rFonts w:ascii="Ubuntu" w:cs="Ubuntu" w:eastAsia="Ubuntu" w:hAnsi="Ubuntu"/>
                <w:color w:val="6b6b6b"/>
                <w:sz w:val="17"/>
                <w:szCs w:val="17"/>
              </w:rPr>
              <w:t xml:space="preserve">Approve or reject, and the part only a person can write.</w:t>
            </w:r>
          </w:p>
        </w:tc>
        <w:tc>
          <w:tcPr>
            <w:tcW w:type="dxa" w:w="6338"/>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Approve or reject the report, having read the claims register. Write the Recommendations section.</w:t>
            </w:r>
          </w:p>
        </w:tc>
      </w:tr>
      <w:tr>
        <w:trPr>
          <w:cantSplit/>
        </w:trPr>
        <w:tc>
          <w:tcPr>
            <w:tcW w:type="dxa" w:w="33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keepNext/>
              <w:spacing w:after="80"/>
            </w:pPr>
            <w:r>
              <w:rPr>
                <w:rFonts w:ascii="Ubuntu" w:cs="Ubuntu" w:eastAsia="Ubuntu" w:hAnsi="Ubuntu"/>
                <w:b/>
                <w:bCs/>
                <w:sz w:val="20"/>
                <w:szCs w:val="20"/>
              </w:rPr>
              <w:t xml:space="preserve">What they enter</w:t>
            </w:r>
          </w:p>
          <w:p>
            <w:pPr>
              <w:keepNext/>
              <w:spacing w:after="80"/>
            </w:pPr>
            <w:r>
              <w:rPr>
                <w:rFonts w:ascii="Ubuntu" w:cs="Ubuntu" w:eastAsia="Ubuntu" w:hAnsi="Ubuntu"/>
                <w:color w:val="6b6b6b"/>
                <w:sz w:val="17"/>
                <w:szCs w:val="17"/>
              </w:rPr>
              <w:t xml:space="preserve">Up to five inputs: text, yes or no, email, number, or date.</w:t>
            </w:r>
          </w:p>
        </w:tc>
        <w:tc>
          <w:tcPr>
            <w:tcW w:type="dxa" w:w="6338"/>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Yes or no to approve, and text for the Recommendations.</w:t>
            </w:r>
          </w:p>
        </w:tc>
      </w:tr>
      <w:tr>
        <w:trPr>
          <w:cantSplit/>
        </w:trPr>
        <w:tc>
          <w:tcPr>
            <w:tcW w:type="dxa" w:w="3300"/>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keepNext/>
              <w:spacing w:after="80"/>
            </w:pPr>
            <w:r>
              <w:rPr>
                <w:rFonts w:ascii="Ubuntu" w:cs="Ubuntu" w:eastAsia="Ubuntu" w:hAnsi="Ubuntu"/>
                <w:b/>
                <w:bCs/>
                <w:sz w:val="20"/>
                <w:szCs w:val="20"/>
              </w:rPr>
              <w:t xml:space="preserve">If the check fails or they reject</w:t>
            </w:r>
          </w:p>
          <w:p>
            <w:pPr>
              <w:keepNext/>
              <w:spacing w:after="80"/>
            </w:pPr>
            <w:r>
              <w:rPr>
                <w:rFonts w:ascii="Ubuntu" w:cs="Ubuntu" w:eastAsia="Ubuntu" w:hAnsi="Ubuntu"/>
                <w:color w:val="6b6b6b"/>
                <w:sz w:val="17"/>
                <w:szCs w:val="17"/>
              </w:rPr>
              <w:t xml:space="preserve">What happens instead. Usually: nothing is filed or sent.</w:t>
            </w:r>
          </w:p>
        </w:tc>
        <w:tc>
          <w:tcPr>
            <w:tcW w:type="dxa" w:w="6338"/>
            <w:tcBorders>
              <w:top w:val="single" w:color="b8d4e6" w:sz="4"/>
              <w:left w:val="single" w:color="b8d4e6" w:sz="4"/>
              <w:bottom w:val="single" w:color="b8d4e6" w:sz="4"/>
              <w:right w:val="single" w:color="b8d4e6" w:sz="4"/>
            </w:tcBorders>
            <w:tcMar>
              <w:top w:type="dxa" w:w="80"/>
              <w:left w:type="dxa" w:w="110"/>
              <w:bottom w:type="dxa" w:w="80"/>
              <w:right w:type="dxa" w:w="110"/>
            </w:tcMar>
            <w:vAlign w:val="top"/>
          </w:tcPr>
          <w:p>
            <w:pPr>
              <w:spacing w:after="80"/>
            </w:pPr>
            <w:r>
              <w:rPr>
                <w:rFonts w:ascii="Ubuntu" w:cs="Ubuntu" w:eastAsia="Ubuntu" w:hAnsi="Ubuntu"/>
                <w:sz w:val="20"/>
                <w:szCs w:val="20"/>
              </w:rPr>
              <w:t xml:space="preserve">Nothing is filed or sent. The review still happens when the register is clean: a clean register is a result, not a way past the gate.</w:t>
            </w:r>
          </w:p>
        </w:tc>
      </w:tr>
    </w:tbl>
    <w:p>
      <w:pPr>
        <w:spacing w:before="200"/>
      </w:pPr>
      <w:r>
        <w:rPr>
          <w:rFonts w:ascii="Ubuntu" w:cs="Ubuntu" w:eastAsia="Ubuntu" w:hAnsi="Ubuntu"/>
          <w:b/>
          <w:bCs/>
          <w:color w:val="ff7700"/>
          <w:sz w:val="20"/>
          <w:szCs w:val="20"/>
        </w:rPr>
        <w:t xml:space="preserve">Credits: </w:t>
      </w:r>
      <w:r>
        <w:rPr>
          <w:rFonts w:ascii="Ubuntu" w:cs="Ubuntu" w:eastAsia="Ubuntu" w:hAnsi="Ubuntu"/>
          <w:sz w:val="20"/>
          <w:szCs w:val="20"/>
        </w:rPr>
        <w:t xml:space="preserve">agent steps use Copilot Credits each time they run. Test one step at a time with dummy files in test folders.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rFonts w:ascii="Ubuntu" w:cs="Ubuntu" w:eastAsia="Ubuntu" w:hAnsi="Ubuntu"/>
        <w:color w:val="6b6b6b"/>
        <w:sz w:val="16"/>
        <w:szCs w:val="16"/>
      </w:rPr>
      <w:t xml:space="preserve">WorkSmart-AI  |  From Prompts to Agents and Workflows  |  Workflow Planning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Ubuntu" w:cs="Ubuntu" w:eastAsia="Ubuntu" w:hAnsi="Ubuntu"/>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2026-09-28T13:37:28.737Z</dcterms:created>
  <dcterms:modified xsi:type="dcterms:W3CDTF">2026-09-28T13:37:28.738Z</dcterms:modified>
</cp:coreProperties>
</file>

<file path=docProps/custom.xml><?xml version="1.0" encoding="utf-8"?>
<Properties xmlns="http://schemas.openxmlformats.org/officeDocument/2006/custom-properties" xmlns:vt="http://schemas.openxmlformats.org/officeDocument/2006/docPropsVTypes"/>
</file>