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3D3C4686" w:rsidR="00CE3959" w:rsidRPr="00A92D25" w:rsidRDefault="3BE73E9B" w:rsidP="3BE73E9B">
      <w:pPr>
        <w:spacing w:after="0" w:line="216" w:lineRule="auto"/>
        <w:ind w:left="2655" w:right="5" w:hanging="2654"/>
        <w:jc w:val="center"/>
        <w:rPr>
          <w:b/>
          <w:bCs/>
          <w:sz w:val="44"/>
          <w:szCs w:val="44"/>
        </w:rPr>
      </w:pPr>
      <w:r w:rsidRPr="00A92D25">
        <w:rPr>
          <w:b/>
          <w:bCs/>
          <w:sz w:val="44"/>
          <w:szCs w:val="44"/>
        </w:rPr>
        <w:t xml:space="preserve">Blue Sky Utility 2017 III LLC (NSG </w:t>
      </w:r>
      <w:r w:rsidR="00895AE6" w:rsidRPr="00A92D25">
        <w:rPr>
          <w:b/>
          <w:bCs/>
          <w:sz w:val="44"/>
          <w:szCs w:val="44"/>
        </w:rPr>
        <w:t>Orland</w:t>
      </w:r>
      <w:r w:rsidRPr="00A92D25">
        <w:rPr>
          <w:b/>
          <w:bCs/>
          <w:sz w:val="44"/>
          <w:szCs w:val="44"/>
        </w:rPr>
        <w:t>)</w:t>
      </w:r>
    </w:p>
    <w:p w14:paraId="60595C53" w14:textId="77777777" w:rsidR="00CE3959" w:rsidRPr="00A92D25" w:rsidRDefault="3BE73E9B" w:rsidP="3BE73E9B">
      <w:pPr>
        <w:spacing w:after="139" w:line="259" w:lineRule="auto"/>
        <w:ind w:left="1" w:firstLine="0"/>
        <w:jc w:val="left"/>
      </w:pPr>
      <w:r w:rsidRPr="00A92D25">
        <w:t xml:space="preserve"> </w:t>
      </w:r>
    </w:p>
    <w:p w14:paraId="5F37CFFD" w14:textId="1EC8CEE7" w:rsidR="00CE3959" w:rsidRPr="00A92D25" w:rsidRDefault="006845B8" w:rsidP="3BE73E9B">
      <w:pPr>
        <w:tabs>
          <w:tab w:val="center" w:pos="4676"/>
        </w:tabs>
        <w:spacing w:after="68" w:line="259" w:lineRule="auto"/>
        <w:ind w:left="-14" w:firstLine="0"/>
        <w:jc w:val="center"/>
        <w:rPr>
          <w:b/>
          <w:bCs/>
        </w:rPr>
      </w:pPr>
      <w:r w:rsidRPr="00A92D25">
        <w:rPr>
          <w:b/>
          <w:bCs/>
        </w:rPr>
        <w:t>Quarterly Report- Q</w:t>
      </w:r>
      <w:r w:rsidR="00A92D25">
        <w:rPr>
          <w:b/>
          <w:bCs/>
        </w:rPr>
        <w:t>2</w:t>
      </w:r>
      <w:r w:rsidR="3BE73E9B" w:rsidRPr="00A92D25">
        <w:rPr>
          <w:b/>
          <w:bCs/>
        </w:rPr>
        <w:t xml:space="preserve"> 201</w:t>
      </w:r>
      <w:r w:rsidR="004A273F" w:rsidRPr="00A92D25">
        <w:rPr>
          <w:b/>
          <w:bCs/>
        </w:rPr>
        <w:t>9</w:t>
      </w:r>
    </w:p>
    <w:p w14:paraId="7B331611" w14:textId="2F40A9C2" w:rsidR="00CE3959" w:rsidRDefault="004A273F" w:rsidP="00E663EF">
      <w:pPr>
        <w:tabs>
          <w:tab w:val="center" w:pos="4675"/>
        </w:tabs>
        <w:spacing w:after="68" w:line="259" w:lineRule="auto"/>
        <w:ind w:left="-14" w:firstLine="0"/>
        <w:jc w:val="center"/>
      </w:pPr>
      <w:r w:rsidRPr="00A92D25">
        <w:rPr>
          <w:b/>
          <w:bCs/>
        </w:rPr>
        <w:t>0</w:t>
      </w:r>
      <w:r w:rsidR="00A92D25" w:rsidRPr="00A92D25">
        <w:rPr>
          <w:b/>
          <w:bCs/>
        </w:rPr>
        <w:t>4</w:t>
      </w:r>
      <w:r w:rsidR="006845B8" w:rsidRPr="00A92D25">
        <w:rPr>
          <w:b/>
          <w:bCs/>
        </w:rPr>
        <w:t>/</w:t>
      </w:r>
      <w:r w:rsidRPr="00A92D25">
        <w:rPr>
          <w:b/>
          <w:bCs/>
        </w:rPr>
        <w:t>0</w:t>
      </w:r>
      <w:r w:rsidR="006845B8" w:rsidRPr="00A92D25">
        <w:rPr>
          <w:b/>
          <w:bCs/>
        </w:rPr>
        <w:t>1/201</w:t>
      </w:r>
      <w:r w:rsidRPr="00A92D25">
        <w:rPr>
          <w:b/>
          <w:bCs/>
        </w:rPr>
        <w:t>9</w:t>
      </w:r>
      <w:r w:rsidR="006845B8" w:rsidRPr="00A92D25">
        <w:rPr>
          <w:b/>
          <w:bCs/>
        </w:rPr>
        <w:t xml:space="preserve"> – </w:t>
      </w:r>
      <w:r w:rsidRPr="00A92D25">
        <w:rPr>
          <w:b/>
          <w:bCs/>
        </w:rPr>
        <w:t>0</w:t>
      </w:r>
      <w:r w:rsidR="00A92D25" w:rsidRPr="00A92D25">
        <w:rPr>
          <w:b/>
          <w:bCs/>
        </w:rPr>
        <w:t>7</w:t>
      </w:r>
      <w:r w:rsidR="00B4233C" w:rsidRPr="00A92D25">
        <w:rPr>
          <w:b/>
          <w:bCs/>
        </w:rPr>
        <w:t>/1</w:t>
      </w:r>
      <w:r w:rsidR="3BE73E9B" w:rsidRPr="00A92D25">
        <w:rPr>
          <w:b/>
          <w:bCs/>
        </w:rPr>
        <w:t>/201</w:t>
      </w:r>
      <w:r w:rsidRPr="00A92D25">
        <w:rPr>
          <w:b/>
          <w:bCs/>
        </w:rPr>
        <w:t>9</w:t>
      </w:r>
    </w:p>
    <w:p w14:paraId="71E27F5C" w14:textId="77777777" w:rsidR="00CE3959" w:rsidRDefault="00C57C89">
      <w:pPr>
        <w:spacing w:after="302" w:line="259" w:lineRule="auto"/>
        <w:ind w:left="1" w:firstLine="0"/>
        <w:jc w:val="left"/>
      </w:pPr>
      <w:r>
        <w:t xml:space="preserve"> </w:t>
      </w:r>
    </w:p>
    <w:p w14:paraId="193CEFEC" w14:textId="587D9FD5" w:rsidR="00CE3959" w:rsidRDefault="3BE73E9B" w:rsidP="3BE73E9B">
      <w:pPr>
        <w:spacing w:after="259" w:line="240" w:lineRule="auto"/>
        <w:ind w:left="1" w:right="2" w:firstLine="0"/>
        <w:rPr>
          <w:i/>
          <w:iCs/>
          <w:sz w:val="24"/>
          <w:szCs w:val="24"/>
        </w:rPr>
      </w:pPr>
      <w:r w:rsidRPr="3BE73E9B">
        <w:rPr>
          <w:i/>
          <w:iCs/>
          <w:sz w:val="24"/>
          <w:szCs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w:t>
      </w:r>
      <w:r w:rsidRPr="00A92D25">
        <w:rPr>
          <w:i/>
          <w:iCs/>
          <w:sz w:val="24"/>
          <w:szCs w:val="24"/>
        </w:rPr>
        <w:t>to 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1E3F6D3F" w14:textId="4D49A92F" w:rsidR="00DE5493" w:rsidRPr="00A92D25" w:rsidRDefault="006845B8" w:rsidP="3BE73E9B">
      <w:pPr>
        <w:ind w:left="-4"/>
      </w:pPr>
      <w:r w:rsidRPr="00A92D25">
        <w:t>In Q</w:t>
      </w:r>
      <w:r w:rsidR="00A92D25">
        <w:t>2</w:t>
      </w:r>
      <w:r w:rsidR="3BE73E9B" w:rsidRPr="00A92D25">
        <w:t xml:space="preserve"> 201</w:t>
      </w:r>
      <w:r w:rsidR="000D2DE6" w:rsidRPr="00A92D25">
        <w:t>9</w:t>
      </w:r>
      <w:r w:rsidR="3BE73E9B" w:rsidRPr="00A92D25">
        <w:t xml:space="preserve">, the portfolio </w:t>
      </w:r>
      <w:r w:rsidR="00965CFC" w:rsidRPr="00A92D25">
        <w:t xml:space="preserve">performed </w:t>
      </w:r>
      <w:r w:rsidR="00A92D25">
        <w:t>-11</w:t>
      </w:r>
      <w:r w:rsidR="00A76A0C" w:rsidRPr="00A92D25">
        <w:t xml:space="preserve"> </w:t>
      </w:r>
      <w:r w:rsidR="3BE73E9B" w:rsidRPr="00A92D25">
        <w:t xml:space="preserve">% below the predicted production for the quarter.  </w:t>
      </w:r>
    </w:p>
    <w:p w14:paraId="1640DBF5" w14:textId="77777777" w:rsidR="00AC302B" w:rsidRDefault="5C515B70" w:rsidP="00A92D25">
      <w:pPr>
        <w:ind w:left="0" w:firstLine="0"/>
      </w:pPr>
      <w:r>
        <w:t>Q</w:t>
      </w:r>
      <w:r w:rsidR="00A92D25">
        <w:t>2</w:t>
      </w:r>
      <w:r>
        <w:t xml:space="preserve"> </w:t>
      </w:r>
      <w:r w:rsidR="00A92D25">
        <w:t xml:space="preserve">underperformed due to poor weather during April and May. Irradiance was under expectation by 12-15% during April and May. </w:t>
      </w:r>
      <w:r w:rsidR="00AC302B">
        <w:t xml:space="preserve">June underperformed by -4% while the irradiance was under by -5%. </w:t>
      </w:r>
    </w:p>
    <w:p w14:paraId="32E8A30F" w14:textId="21FF8413" w:rsidR="00DE5493" w:rsidRDefault="00AC302B" w:rsidP="00A92D25">
      <w:pPr>
        <w:ind w:left="0" w:firstLine="0"/>
      </w:pPr>
      <w:r>
        <w:t xml:space="preserve"> There are no maintenance issues to report. Annual Maintenance and Solar panel cleaning are scheduled for July 2, 2019. </w:t>
      </w:r>
    </w:p>
    <w:p w14:paraId="03E9F151" w14:textId="40DB62DA" w:rsidR="00DE5493" w:rsidRDefault="00DE5493" w:rsidP="00596C06"/>
    <w:tbl>
      <w:tblPr>
        <w:tblW w:w="10171" w:type="dxa"/>
        <w:jc w:val="center"/>
        <w:tblLook w:val="04A0" w:firstRow="1" w:lastRow="0" w:firstColumn="1" w:lastColumn="0" w:noHBand="0" w:noVBand="1"/>
      </w:tblPr>
      <w:tblGrid>
        <w:gridCol w:w="1002"/>
        <w:gridCol w:w="978"/>
        <w:gridCol w:w="1133"/>
        <w:gridCol w:w="1241"/>
        <w:gridCol w:w="1241"/>
        <w:gridCol w:w="1055"/>
        <w:gridCol w:w="1132"/>
        <w:gridCol w:w="1132"/>
        <w:gridCol w:w="1257"/>
      </w:tblGrid>
      <w:tr w:rsidR="00AD7C49" w:rsidRPr="00E74404" w14:paraId="4306216E" w14:textId="77777777" w:rsidTr="5C515B70">
        <w:trPr>
          <w:trHeight w:val="460"/>
          <w:jc w:val="center"/>
        </w:trPr>
        <w:tc>
          <w:tcPr>
            <w:tcW w:w="1002" w:type="dxa"/>
            <w:tcBorders>
              <w:top w:val="nil"/>
              <w:left w:val="single" w:sz="8" w:space="0" w:color="FFFFFF" w:themeColor="background1"/>
              <w:bottom w:val="nil"/>
              <w:right w:val="single" w:sz="8" w:space="0" w:color="FFFFFF" w:themeColor="background1"/>
            </w:tcBorders>
            <w:shd w:val="clear" w:color="auto"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978" w:type="dxa"/>
            <w:tcBorders>
              <w:top w:val="nil"/>
              <w:left w:val="nil"/>
              <w:bottom w:val="nil"/>
              <w:right w:val="single" w:sz="8" w:space="0" w:color="FFFFFF" w:themeColor="background1"/>
            </w:tcBorders>
            <w:shd w:val="clear" w:color="auto" w:fill="4472C4" w:themeFill="accent1"/>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proofErr w:type="spellStart"/>
            <w:r w:rsidRPr="009F5B42">
              <w:rPr>
                <w:rFonts w:eastAsia="Times New Roman"/>
                <w:b/>
                <w:bCs/>
                <w:color w:val="FFFFFF"/>
                <w:sz w:val="18"/>
                <w:szCs w:val="18"/>
              </w:rPr>
              <w:t>PVSyst</w:t>
            </w:r>
            <w:proofErr w:type="spellEnd"/>
          </w:p>
        </w:tc>
        <w:tc>
          <w:tcPr>
            <w:tcW w:w="1133" w:type="dxa"/>
            <w:tcBorders>
              <w:top w:val="nil"/>
              <w:left w:val="nil"/>
              <w:bottom w:val="nil"/>
              <w:right w:val="single" w:sz="8" w:space="0" w:color="FFFFFF" w:themeColor="background1"/>
            </w:tcBorders>
            <w:shd w:val="clear" w:color="auto" w:fill="4472C4" w:themeFill="accent1"/>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hemeColor="background1"/>
            </w:tcBorders>
            <w:shd w:val="clear" w:color="auto" w:fill="4472C4" w:themeFill="accent1"/>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hemeColor="background1"/>
            </w:tcBorders>
            <w:shd w:val="clear" w:color="auto" w:fill="4472C4" w:themeFill="accent1"/>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hemeColor="background1"/>
            </w:tcBorders>
            <w:shd w:val="clear" w:color="auto" w:fill="4472C4" w:themeFill="accent1"/>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hemeColor="background1"/>
            </w:tcBorders>
            <w:shd w:val="clear" w:color="auto" w:fill="4472C4" w:themeFill="accent1"/>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132" w:type="dxa"/>
            <w:tcBorders>
              <w:top w:val="nil"/>
              <w:left w:val="nil"/>
              <w:bottom w:val="nil"/>
              <w:right w:val="single" w:sz="8" w:space="0" w:color="FFFFFF" w:themeColor="background1"/>
            </w:tcBorders>
            <w:shd w:val="clear" w:color="auto" w:fill="4472C4" w:themeFill="accent1"/>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257" w:type="dxa"/>
            <w:tcBorders>
              <w:top w:val="nil"/>
              <w:left w:val="nil"/>
              <w:bottom w:val="nil"/>
              <w:right w:val="single" w:sz="8" w:space="0" w:color="FFFFFF" w:themeColor="background1"/>
            </w:tcBorders>
            <w:shd w:val="clear" w:color="auto" w:fill="4472C4" w:themeFill="accent1"/>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5C515B70">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978"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257"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D003FA" w:rsidRPr="00E74404" w14:paraId="6EC1C995" w14:textId="77777777" w:rsidTr="00E7017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A12D02" w14:textId="7111C28F"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sidR="004A273F">
              <w:rPr>
                <w:rFonts w:eastAsia="Times New Roman"/>
                <w:b/>
                <w:bCs/>
                <w:color w:val="FFFFFF"/>
                <w:sz w:val="18"/>
                <w:szCs w:val="18"/>
              </w:rPr>
              <w:t>9</w:t>
            </w:r>
            <w:r w:rsidRPr="009F5B42">
              <w:rPr>
                <w:rFonts w:eastAsia="Times New Roman"/>
                <w:b/>
                <w:bCs/>
                <w:color w:val="FFFFFF"/>
                <w:sz w:val="18"/>
                <w:szCs w:val="18"/>
              </w:rPr>
              <w:t xml:space="preserve"> - </w:t>
            </w:r>
            <w:r w:rsidR="00A92D25">
              <w:rPr>
                <w:rFonts w:eastAsia="Times New Roman"/>
                <w:b/>
                <w:bCs/>
                <w:color w:val="FFFFFF"/>
                <w:sz w:val="18"/>
                <w:szCs w:val="18"/>
              </w:rPr>
              <w:t>Apr</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7A485AFF" w14:textId="4A980BDF"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93,492</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D7EE75" w14:textId="2E881475"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87,000</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E3E83B" w14:textId="34C774FC" w:rsidR="00D003FA" w:rsidRPr="00493A2D" w:rsidRDefault="00AC302B" w:rsidP="00D003FA">
            <w:pPr>
              <w:spacing w:after="0" w:line="240" w:lineRule="auto"/>
              <w:ind w:left="0" w:firstLine="0"/>
              <w:jc w:val="center"/>
              <w:rPr>
                <w:rFonts w:eastAsia="Times New Roman"/>
                <w:color w:val="auto"/>
                <w:sz w:val="18"/>
                <w:szCs w:val="18"/>
              </w:rPr>
            </w:pPr>
            <w:r>
              <w:rPr>
                <w:rFonts w:eastAsia="Times New Roman"/>
                <w:color w:val="auto"/>
                <w:sz w:val="18"/>
                <w:szCs w:val="18"/>
              </w:rPr>
              <w:t>-6,492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0450DE3A" w14:textId="7DE64438" w:rsidR="00D003FA" w:rsidRPr="004F1E56" w:rsidRDefault="004F1E56" w:rsidP="00D003FA">
            <w:pPr>
              <w:spacing w:after="0" w:line="240" w:lineRule="auto"/>
              <w:ind w:left="0" w:firstLine="0"/>
              <w:jc w:val="center"/>
              <w:rPr>
                <w:rFonts w:eastAsia="Times New Roman"/>
                <w:color w:val="auto"/>
                <w:sz w:val="18"/>
                <w:szCs w:val="18"/>
              </w:rPr>
            </w:pPr>
            <w:r w:rsidRPr="004F1E56">
              <w:rPr>
                <w:sz w:val="18"/>
                <w:szCs w:val="18"/>
              </w:rPr>
              <w:t>$11,674.89</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tcPr>
          <w:p w14:paraId="2D6A12CA" w14:textId="106CF8DB"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95FA04E" w14:textId="05D41A0C" w:rsidR="00D003FA" w:rsidRPr="004F1E56" w:rsidRDefault="004F1E56" w:rsidP="00D003FA">
            <w:pPr>
              <w:spacing w:after="0" w:line="240" w:lineRule="auto"/>
              <w:ind w:left="0" w:firstLine="0"/>
              <w:jc w:val="center"/>
              <w:rPr>
                <w:rFonts w:eastAsia="Times New Roman"/>
                <w:color w:val="auto"/>
                <w:sz w:val="18"/>
                <w:szCs w:val="18"/>
              </w:rPr>
            </w:pPr>
            <w:r w:rsidRPr="004F1E56">
              <w:rPr>
                <w:sz w:val="18"/>
                <w:szCs w:val="18"/>
              </w:rPr>
              <w:t>$11,674.89</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495B0C5" w14:textId="31C6D8B9" w:rsidR="00D003FA" w:rsidRPr="00493A2D" w:rsidRDefault="000C3640" w:rsidP="00D003FA">
            <w:pPr>
              <w:spacing w:after="0" w:line="240" w:lineRule="auto"/>
              <w:ind w:left="0" w:firstLine="0"/>
              <w:jc w:val="center"/>
              <w:rPr>
                <w:rFonts w:eastAsia="Times New Roman"/>
                <w:color w:val="auto"/>
                <w:sz w:val="18"/>
                <w:szCs w:val="18"/>
              </w:rPr>
            </w:pPr>
            <w:r w:rsidRPr="000C3640">
              <w:rPr>
                <w:rFonts w:eastAsia="Times New Roman"/>
                <w:color w:val="auto"/>
                <w:sz w:val="18"/>
                <w:szCs w:val="18"/>
              </w:rPr>
              <w:t>$10,882.96</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3DAB46A4" w14:textId="15E794C4" w:rsidR="00D003FA" w:rsidRPr="00493A2D" w:rsidRDefault="000C3640" w:rsidP="00D003FA">
            <w:pPr>
              <w:spacing w:after="0" w:line="240" w:lineRule="auto"/>
              <w:ind w:left="0" w:firstLine="0"/>
              <w:jc w:val="center"/>
              <w:rPr>
                <w:rFonts w:eastAsia="Times New Roman"/>
                <w:color w:val="auto"/>
                <w:sz w:val="18"/>
                <w:szCs w:val="18"/>
              </w:rPr>
            </w:pPr>
            <w:r>
              <w:rPr>
                <w:rFonts w:eastAsia="Times New Roman"/>
                <w:color w:val="auto"/>
                <w:sz w:val="18"/>
                <w:szCs w:val="18"/>
              </w:rPr>
              <w:t>$791.93</w:t>
            </w:r>
          </w:p>
        </w:tc>
      </w:tr>
      <w:tr w:rsidR="00D003FA" w:rsidRPr="00E74404" w14:paraId="20381B44" w14:textId="77777777" w:rsidTr="00E7017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B5F4853" w14:textId="1FE3A94B"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sidR="004A273F">
              <w:rPr>
                <w:rFonts w:eastAsia="Times New Roman"/>
                <w:b/>
                <w:bCs/>
                <w:color w:val="FFFFFF"/>
                <w:sz w:val="18"/>
                <w:szCs w:val="18"/>
              </w:rPr>
              <w:t>9</w:t>
            </w:r>
            <w:r w:rsidRPr="009F5B42">
              <w:rPr>
                <w:rFonts w:eastAsia="Times New Roman"/>
                <w:b/>
                <w:bCs/>
                <w:color w:val="FFFFFF"/>
                <w:sz w:val="18"/>
                <w:szCs w:val="18"/>
              </w:rPr>
              <w:t xml:space="preserve"> - </w:t>
            </w:r>
            <w:r w:rsidR="00A92D25">
              <w:rPr>
                <w:rFonts w:eastAsia="Times New Roman"/>
                <w:b/>
                <w:bCs/>
                <w:color w:val="FFFFFF"/>
                <w:sz w:val="18"/>
                <w:szCs w:val="18"/>
              </w:rPr>
              <w:t>May</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16660E9" w14:textId="4306C695"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112,553</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FA08C6F" w14:textId="06F304D2"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87,158</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D38443C" w14:textId="785AA91E" w:rsidR="00D003FA" w:rsidRPr="00493A2D" w:rsidRDefault="00AC302B" w:rsidP="00D003FA">
            <w:pPr>
              <w:spacing w:after="0" w:line="240" w:lineRule="auto"/>
              <w:ind w:left="0" w:firstLine="0"/>
              <w:jc w:val="center"/>
              <w:rPr>
                <w:rFonts w:eastAsia="Times New Roman"/>
                <w:color w:val="auto"/>
                <w:sz w:val="18"/>
                <w:szCs w:val="18"/>
              </w:rPr>
            </w:pPr>
            <w:r>
              <w:rPr>
                <w:rFonts w:eastAsia="Times New Roman"/>
                <w:color w:val="auto"/>
                <w:sz w:val="18"/>
                <w:szCs w:val="18"/>
              </w:rPr>
              <w:t>-25,394</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429E7755" w14:textId="4CDE9FB8" w:rsidR="00D003FA" w:rsidRPr="00493A2D" w:rsidRDefault="004F1E56" w:rsidP="00D003FA">
            <w:pPr>
              <w:spacing w:after="0" w:line="240" w:lineRule="auto"/>
              <w:ind w:left="0" w:firstLine="0"/>
              <w:jc w:val="center"/>
              <w:rPr>
                <w:rFonts w:eastAsia="Times New Roman"/>
                <w:color w:val="auto"/>
                <w:sz w:val="18"/>
                <w:szCs w:val="18"/>
              </w:rPr>
            </w:pPr>
            <w:r>
              <w:rPr>
                <w:rFonts w:eastAsia="Times New Roman"/>
                <w:color w:val="auto"/>
                <w:sz w:val="18"/>
                <w:szCs w:val="18"/>
              </w:rPr>
              <w:t>$24,125.68</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tcPr>
          <w:p w14:paraId="5454C0EF" w14:textId="19048058"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27A6E7C" w14:textId="6406798C" w:rsidR="00D003FA" w:rsidRPr="00493A2D" w:rsidRDefault="004F1E56" w:rsidP="00D003FA">
            <w:pPr>
              <w:spacing w:after="0" w:line="240" w:lineRule="auto"/>
              <w:ind w:left="0" w:firstLine="0"/>
              <w:jc w:val="center"/>
              <w:rPr>
                <w:rFonts w:eastAsia="Times New Roman"/>
                <w:color w:val="auto"/>
                <w:sz w:val="18"/>
                <w:szCs w:val="18"/>
              </w:rPr>
            </w:pPr>
            <w:r>
              <w:rPr>
                <w:rFonts w:eastAsia="Times New Roman"/>
                <w:color w:val="auto"/>
                <w:sz w:val="18"/>
                <w:szCs w:val="18"/>
              </w:rPr>
              <w:t>$24,125.68</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3DED66D6" w14:textId="26591686" w:rsidR="00D003FA" w:rsidRPr="00493A2D" w:rsidRDefault="000C3640" w:rsidP="00D003FA">
            <w:pPr>
              <w:spacing w:after="0" w:line="240" w:lineRule="auto"/>
              <w:ind w:left="0" w:firstLine="0"/>
              <w:jc w:val="center"/>
              <w:rPr>
                <w:rFonts w:eastAsia="Times New Roman"/>
                <w:color w:val="auto"/>
                <w:sz w:val="18"/>
                <w:szCs w:val="18"/>
              </w:rPr>
            </w:pPr>
            <w:r w:rsidRPr="000C3640">
              <w:rPr>
                <w:rFonts w:eastAsia="Times New Roman"/>
                <w:color w:val="auto"/>
                <w:sz w:val="18"/>
                <w:szCs w:val="18"/>
              </w:rPr>
              <w:t>$24,826.76</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578EE6C6" w14:textId="71BF6ECD" w:rsidR="00D003FA" w:rsidRPr="00493A2D" w:rsidRDefault="000C3640" w:rsidP="00D003FA">
            <w:pPr>
              <w:spacing w:after="0" w:line="240" w:lineRule="auto"/>
              <w:ind w:left="0" w:firstLine="0"/>
              <w:jc w:val="center"/>
              <w:rPr>
                <w:rFonts w:eastAsia="Times New Roman"/>
                <w:color w:val="auto"/>
                <w:sz w:val="18"/>
                <w:szCs w:val="18"/>
              </w:rPr>
            </w:pPr>
            <w:r w:rsidRPr="000C3640">
              <w:rPr>
                <w:rFonts w:eastAsia="Times New Roman"/>
                <w:color w:val="FF0000"/>
                <w:sz w:val="18"/>
                <w:szCs w:val="18"/>
              </w:rPr>
              <w:t>-$701.08</w:t>
            </w:r>
          </w:p>
        </w:tc>
      </w:tr>
      <w:tr w:rsidR="00D003FA" w:rsidRPr="00E74404" w14:paraId="2E6E2A41" w14:textId="77777777" w:rsidTr="00E7017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237AB14F" w14:textId="6B56CD72" w:rsidR="00D003FA" w:rsidRPr="009F5B42" w:rsidRDefault="5C515B70" w:rsidP="5C515B70">
            <w:pPr>
              <w:spacing w:after="0" w:line="240" w:lineRule="auto"/>
              <w:ind w:left="0" w:firstLine="0"/>
              <w:rPr>
                <w:rFonts w:eastAsia="Times New Roman"/>
                <w:b/>
                <w:bCs/>
                <w:color w:val="FFFFFF" w:themeColor="background1"/>
                <w:sz w:val="18"/>
                <w:szCs w:val="18"/>
              </w:rPr>
            </w:pPr>
            <w:r w:rsidRPr="5C515B70">
              <w:rPr>
                <w:rFonts w:eastAsia="Times New Roman"/>
                <w:b/>
                <w:bCs/>
                <w:color w:val="FFFFFF" w:themeColor="background1"/>
                <w:sz w:val="18"/>
                <w:szCs w:val="18"/>
              </w:rPr>
              <w:t xml:space="preserve">19 - </w:t>
            </w:r>
            <w:r w:rsidR="00A92D25">
              <w:rPr>
                <w:rFonts w:eastAsia="Times New Roman"/>
                <w:b/>
                <w:bCs/>
                <w:color w:val="FFFFFF" w:themeColor="background1"/>
                <w:sz w:val="18"/>
                <w:szCs w:val="18"/>
              </w:rPr>
              <w:t>Jun</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4F0E09E" w14:textId="43CFE871"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116,915</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7E5DABA" w14:textId="17C5B5A4" w:rsidR="00D003FA" w:rsidRPr="009F5B42" w:rsidRDefault="00AC302B" w:rsidP="00D003FA">
            <w:pPr>
              <w:spacing w:after="0" w:line="240" w:lineRule="auto"/>
              <w:ind w:left="0" w:firstLine="0"/>
              <w:jc w:val="center"/>
              <w:rPr>
                <w:rFonts w:eastAsia="Times New Roman"/>
                <w:sz w:val="18"/>
                <w:szCs w:val="18"/>
              </w:rPr>
            </w:pPr>
            <w:r>
              <w:rPr>
                <w:rFonts w:eastAsia="Times New Roman"/>
                <w:sz w:val="18"/>
                <w:szCs w:val="18"/>
              </w:rPr>
              <w:t>112,372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6804D66D" w14:textId="045B6B88" w:rsidR="00D003FA" w:rsidRPr="00493A2D" w:rsidRDefault="00AC302B" w:rsidP="00D003FA">
            <w:pPr>
              <w:spacing w:after="0" w:line="240" w:lineRule="auto"/>
              <w:ind w:left="0" w:firstLine="0"/>
              <w:jc w:val="center"/>
              <w:rPr>
                <w:rFonts w:eastAsia="Times New Roman"/>
                <w:color w:val="auto"/>
                <w:sz w:val="18"/>
                <w:szCs w:val="18"/>
              </w:rPr>
            </w:pPr>
            <w:r>
              <w:rPr>
                <w:rFonts w:eastAsia="Times New Roman"/>
                <w:color w:val="auto"/>
                <w:sz w:val="18"/>
                <w:szCs w:val="18"/>
              </w:rPr>
              <w:t>-4,450</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1CA31108" w14:textId="6C328BAE" w:rsidR="00D003FA" w:rsidRPr="00493A2D" w:rsidRDefault="004F1E56" w:rsidP="00D003FA">
            <w:pPr>
              <w:spacing w:after="0" w:line="240" w:lineRule="auto"/>
              <w:ind w:left="0" w:firstLine="0"/>
              <w:jc w:val="center"/>
              <w:rPr>
                <w:rFonts w:eastAsia="Times New Roman"/>
                <w:color w:val="auto"/>
                <w:sz w:val="18"/>
                <w:szCs w:val="18"/>
              </w:rPr>
            </w:pPr>
            <w:r>
              <w:rPr>
                <w:rFonts w:eastAsia="Times New Roman"/>
                <w:color w:val="auto"/>
                <w:sz w:val="18"/>
                <w:szCs w:val="18"/>
              </w:rPr>
              <w:t>$26,409.84</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tcPr>
          <w:p w14:paraId="36D115EE" w14:textId="0E830573"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0E4323E1" w14:textId="008DF964" w:rsidR="00D003FA" w:rsidRPr="00493A2D" w:rsidRDefault="004F1E56" w:rsidP="00D003FA">
            <w:pPr>
              <w:spacing w:after="0" w:line="240" w:lineRule="auto"/>
              <w:ind w:left="0" w:firstLine="0"/>
              <w:jc w:val="center"/>
              <w:rPr>
                <w:rFonts w:eastAsia="Times New Roman"/>
                <w:color w:val="auto"/>
                <w:sz w:val="18"/>
                <w:szCs w:val="18"/>
              </w:rPr>
            </w:pPr>
            <w:r>
              <w:rPr>
                <w:rFonts w:eastAsia="Times New Roman"/>
                <w:color w:val="auto"/>
                <w:sz w:val="18"/>
                <w:szCs w:val="18"/>
              </w:rPr>
              <w:t>$26,409.84</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0C42F1A" w14:textId="0484EB6A" w:rsidR="00D003FA" w:rsidRPr="00493A2D" w:rsidRDefault="000C3640" w:rsidP="00D003FA">
            <w:pPr>
              <w:spacing w:after="0" w:line="240" w:lineRule="auto"/>
              <w:ind w:left="0" w:firstLine="0"/>
              <w:jc w:val="center"/>
              <w:rPr>
                <w:rFonts w:eastAsia="Times New Roman"/>
                <w:color w:val="auto"/>
                <w:sz w:val="18"/>
                <w:szCs w:val="18"/>
              </w:rPr>
            </w:pPr>
            <w:r w:rsidRPr="000C3640">
              <w:rPr>
                <w:rFonts w:eastAsia="Times New Roman"/>
                <w:color w:val="auto"/>
                <w:sz w:val="18"/>
                <w:szCs w:val="18"/>
              </w:rPr>
              <w:t>$27,717.54</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414FD369" w14:textId="4CA89CF4" w:rsidR="00D003FA" w:rsidRPr="00493A2D" w:rsidRDefault="000C3640" w:rsidP="00D003FA">
            <w:pPr>
              <w:spacing w:after="0" w:line="240" w:lineRule="auto"/>
              <w:ind w:left="0" w:firstLine="0"/>
              <w:jc w:val="center"/>
              <w:rPr>
                <w:rFonts w:eastAsia="Times New Roman"/>
                <w:color w:val="auto"/>
                <w:sz w:val="18"/>
                <w:szCs w:val="18"/>
              </w:rPr>
            </w:pPr>
            <w:r w:rsidRPr="000C3640">
              <w:rPr>
                <w:rFonts w:eastAsia="Times New Roman"/>
                <w:color w:val="FF0000"/>
                <w:sz w:val="18"/>
                <w:szCs w:val="18"/>
              </w:rPr>
              <w:t>-$1,307.70</w:t>
            </w:r>
          </w:p>
        </w:tc>
      </w:tr>
      <w:tr w:rsidR="00D003FA" w:rsidRPr="00E74404" w14:paraId="1D3896AA" w14:textId="77777777" w:rsidTr="00E70176">
        <w:trPr>
          <w:trHeight w:val="250"/>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357C18D" w14:textId="5AF94619"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978" w:type="dxa"/>
            <w:tcBorders>
              <w:top w:val="nil"/>
              <w:left w:val="nil"/>
              <w:bottom w:val="single" w:sz="8" w:space="0" w:color="FFFFFF" w:themeColor="background1"/>
              <w:right w:val="single" w:sz="8" w:space="0" w:color="FFFFFF" w:themeColor="background1"/>
            </w:tcBorders>
            <w:shd w:val="clear" w:color="auto" w:fill="C6E0B4"/>
            <w:vAlign w:val="center"/>
            <w:hideMark/>
          </w:tcPr>
          <w:p w14:paraId="68A91211" w14:textId="757B493F" w:rsidR="00D003FA" w:rsidRPr="009F5B42" w:rsidRDefault="00AC302B" w:rsidP="00D003FA">
            <w:pPr>
              <w:spacing w:after="0" w:line="240" w:lineRule="auto"/>
              <w:ind w:left="0" w:firstLine="0"/>
              <w:jc w:val="center"/>
              <w:rPr>
                <w:rFonts w:eastAsia="Times New Roman"/>
                <w:b/>
                <w:bCs/>
                <w:sz w:val="18"/>
                <w:szCs w:val="18"/>
              </w:rPr>
            </w:pPr>
            <w:r>
              <w:rPr>
                <w:rFonts w:eastAsia="Times New Roman"/>
                <w:b/>
                <w:bCs/>
                <w:sz w:val="18"/>
                <w:szCs w:val="18"/>
              </w:rPr>
              <w:t>322,960</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926F9D5" w14:textId="03697720" w:rsidR="00D003FA" w:rsidRPr="009F5B42" w:rsidRDefault="00AC302B" w:rsidP="00D003FA">
            <w:pPr>
              <w:spacing w:after="0" w:line="240" w:lineRule="auto"/>
              <w:ind w:left="0" w:firstLine="0"/>
              <w:jc w:val="center"/>
              <w:rPr>
                <w:rFonts w:eastAsia="Times New Roman"/>
                <w:b/>
                <w:bCs/>
                <w:sz w:val="18"/>
                <w:szCs w:val="18"/>
              </w:rPr>
            </w:pPr>
            <w:r>
              <w:rPr>
                <w:rFonts w:eastAsia="Times New Roman"/>
                <w:b/>
                <w:bCs/>
                <w:sz w:val="18"/>
                <w:szCs w:val="18"/>
              </w:rPr>
              <w:t>286,530</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274B2A2F" w14:textId="1F315052" w:rsidR="00D003FA" w:rsidRPr="00493A2D" w:rsidRDefault="00E461EB"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w:t>
            </w:r>
            <w:r w:rsidR="00AC302B">
              <w:rPr>
                <w:rFonts w:eastAsia="Times New Roman"/>
                <w:b/>
                <w:bCs/>
                <w:color w:val="auto"/>
                <w:sz w:val="18"/>
                <w:szCs w:val="18"/>
              </w:rPr>
              <w:t>36,426</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tcPr>
          <w:p w14:paraId="099E23B2" w14:textId="14F4A794" w:rsidR="00D003FA" w:rsidRPr="00493A2D" w:rsidRDefault="000C3640"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$62,210.41</w:t>
            </w:r>
          </w:p>
        </w:tc>
        <w:tc>
          <w:tcPr>
            <w:tcW w:w="1055" w:type="dxa"/>
            <w:tcBorders>
              <w:top w:val="nil"/>
              <w:left w:val="nil"/>
              <w:bottom w:val="single" w:sz="8" w:space="0" w:color="FFFFFF" w:themeColor="background1"/>
              <w:right w:val="single" w:sz="8" w:space="0" w:color="FFFFFF" w:themeColor="background1"/>
            </w:tcBorders>
            <w:shd w:val="clear" w:color="auto" w:fill="C6E0B4"/>
            <w:vAlign w:val="center"/>
          </w:tcPr>
          <w:p w14:paraId="12CC163E" w14:textId="6526A920" w:rsidR="00D003FA" w:rsidRPr="00493A2D" w:rsidRDefault="00D003FA" w:rsidP="00D003FA">
            <w:pPr>
              <w:spacing w:after="0" w:line="240" w:lineRule="auto"/>
              <w:ind w:left="0" w:firstLine="0"/>
              <w:jc w:val="center"/>
              <w:rPr>
                <w:rFonts w:eastAsia="Times New Roman"/>
                <w:b/>
                <w:bCs/>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tcPr>
          <w:p w14:paraId="3A7E134D" w14:textId="61BFF43D" w:rsidR="00D003FA" w:rsidRPr="00493A2D" w:rsidRDefault="000C3640"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$62,210.41</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tcPr>
          <w:p w14:paraId="11B75574" w14:textId="71BA7502" w:rsidR="00D003FA" w:rsidRPr="00493A2D" w:rsidRDefault="000C3640"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$63,427.26</w:t>
            </w:r>
          </w:p>
        </w:tc>
        <w:tc>
          <w:tcPr>
            <w:tcW w:w="1257" w:type="dxa"/>
            <w:tcBorders>
              <w:top w:val="nil"/>
              <w:left w:val="nil"/>
              <w:bottom w:val="single" w:sz="8" w:space="0" w:color="FFFFFF" w:themeColor="background1"/>
              <w:right w:val="single" w:sz="8" w:space="0" w:color="FFFFFF" w:themeColor="background1"/>
            </w:tcBorders>
            <w:shd w:val="clear" w:color="auto" w:fill="C6E0B4"/>
            <w:vAlign w:val="center"/>
          </w:tcPr>
          <w:p w14:paraId="41560CDF" w14:textId="79D107B7" w:rsidR="00D003FA" w:rsidRPr="00493A2D" w:rsidRDefault="000C3640" w:rsidP="00D003FA">
            <w:pPr>
              <w:spacing w:after="0" w:line="240" w:lineRule="auto"/>
              <w:ind w:left="0" w:firstLine="0"/>
              <w:jc w:val="center"/>
              <w:rPr>
                <w:rFonts w:eastAsia="Times New Roman"/>
                <w:b/>
                <w:bCs/>
                <w:color w:val="auto"/>
                <w:sz w:val="18"/>
                <w:szCs w:val="18"/>
              </w:rPr>
            </w:pPr>
            <w:r w:rsidRPr="000C3640">
              <w:rPr>
                <w:rFonts w:eastAsia="Times New Roman"/>
                <w:b/>
                <w:bCs/>
                <w:color w:val="FF0000"/>
                <w:sz w:val="18"/>
                <w:szCs w:val="18"/>
              </w:rPr>
              <w:t>-</w:t>
            </w:r>
            <w:r>
              <w:rPr>
                <w:rFonts w:eastAsia="Times New Roman"/>
                <w:b/>
                <w:bCs/>
                <w:color w:val="FF0000"/>
                <w:sz w:val="18"/>
                <w:szCs w:val="18"/>
              </w:rPr>
              <w:t>$</w:t>
            </w:r>
            <w:r w:rsidRPr="000C3640">
              <w:rPr>
                <w:rFonts w:eastAsia="Times New Roman"/>
                <w:b/>
                <w:bCs/>
                <w:color w:val="FF0000"/>
                <w:sz w:val="18"/>
                <w:szCs w:val="18"/>
              </w:rPr>
              <w:t>1,216.85</w:t>
            </w:r>
          </w:p>
        </w:tc>
      </w:tr>
    </w:tbl>
    <w:bookmarkEnd w:id="1"/>
    <w:p w14:paraId="4CCF7324" w14:textId="4B1A5EC0" w:rsidR="009F5B42" w:rsidRPr="009F5B42" w:rsidRDefault="00D003FA" w:rsidP="00D003FA">
      <w:pPr>
        <w:spacing w:line="240" w:lineRule="auto"/>
        <w:rPr>
          <w:sz w:val="18"/>
          <w:szCs w:val="18"/>
        </w:rPr>
      </w:pPr>
      <w:r>
        <w:rPr>
          <w:sz w:val="18"/>
          <w:szCs w:val="18"/>
        </w:rPr>
        <w:t xml:space="preserve">       </w:t>
      </w:r>
    </w:p>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987"/>
        <w:gridCol w:w="810"/>
        <w:gridCol w:w="1133"/>
        <w:gridCol w:w="1133"/>
        <w:gridCol w:w="1234"/>
        <w:gridCol w:w="1288"/>
        <w:gridCol w:w="1234"/>
        <w:gridCol w:w="1234"/>
        <w:gridCol w:w="1249"/>
      </w:tblGrid>
      <w:tr w:rsidR="00E74404" w:rsidRPr="00E74404" w14:paraId="2598B12A" w14:textId="77777777" w:rsidTr="00381BEA">
        <w:trPr>
          <w:trHeight w:val="450"/>
          <w:jc w:val="center"/>
        </w:trPr>
        <w:tc>
          <w:tcPr>
            <w:tcW w:w="987" w:type="dxa"/>
            <w:vMerge w:val="restart"/>
            <w:tcBorders>
              <w:top w:val="nil"/>
              <w:left w:val="single" w:sz="8" w:space="0" w:color="FFFFFF"/>
              <w:bottom w:val="single" w:sz="8" w:space="0" w:color="FFFFFF"/>
              <w:right w:val="single" w:sz="8" w:space="0" w:color="FFFFFF"/>
            </w:tcBorders>
            <w:shd w:val="clear" w:color="000000"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810"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spellStart"/>
            <w:r w:rsidRPr="00D003FA">
              <w:rPr>
                <w:rFonts w:eastAsia="Times New Roman"/>
                <w:b/>
                <w:bCs/>
                <w:color w:val="FFFFFF"/>
                <w:sz w:val="18"/>
                <w:szCs w:val="18"/>
              </w:rPr>
              <w:t>PVSyst</w:t>
            </w:r>
            <w:proofErr w:type="spellEnd"/>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428C4BEB"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gramStart"/>
            <w:r w:rsidRPr="00D003FA">
              <w:rPr>
                <w:rFonts w:eastAsia="Times New Roman"/>
                <w:b/>
                <w:bCs/>
                <w:color w:val="FFFFFF"/>
                <w:sz w:val="18"/>
                <w:szCs w:val="18"/>
              </w:rPr>
              <w:t>Production  Meter</w:t>
            </w:r>
            <w:proofErr w:type="gramEnd"/>
            <w:r w:rsidRPr="00D003FA">
              <w:rPr>
                <w:rFonts w:eastAsia="Times New Roman"/>
                <w:b/>
                <w:bCs/>
                <w:color w:val="FFFFFF"/>
                <w:sz w:val="18"/>
                <w:szCs w:val="18"/>
              </w:rPr>
              <w:t xml:space="preserve"> </w:t>
            </w:r>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288"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0381BEA">
        <w:trPr>
          <w:trHeight w:val="450"/>
          <w:jc w:val="center"/>
        </w:trPr>
        <w:tc>
          <w:tcPr>
            <w:tcW w:w="987" w:type="dxa"/>
            <w:vMerge/>
            <w:tcBorders>
              <w:top w:val="nil"/>
              <w:left w:val="single" w:sz="8" w:space="0" w:color="FFFFFF"/>
              <w:bottom w:val="single" w:sz="8" w:space="0" w:color="FFFFFF"/>
              <w:right w:val="single" w:sz="8" w:space="0" w:color="FFFFFF"/>
            </w:tcBorders>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810" w:type="dxa"/>
            <w:vMerge/>
            <w:tcBorders>
              <w:top w:val="nil"/>
              <w:left w:val="single" w:sz="8" w:space="0" w:color="FFFFFF"/>
              <w:bottom w:val="single" w:sz="8" w:space="0" w:color="FFFFFF"/>
              <w:right w:val="single" w:sz="8" w:space="0" w:color="FFFFFF"/>
            </w:tcBorders>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88" w:type="dxa"/>
            <w:vMerge/>
            <w:tcBorders>
              <w:top w:val="nil"/>
              <w:left w:val="single" w:sz="8" w:space="0" w:color="FFFFFF"/>
              <w:bottom w:val="single" w:sz="8" w:space="0" w:color="FFFFFF"/>
              <w:right w:val="single" w:sz="8" w:space="0" w:color="FFFFFF"/>
            </w:tcBorders>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tcBorders>
              <w:top w:val="nil"/>
              <w:left w:val="single" w:sz="8" w:space="0" w:color="FFFFFF"/>
              <w:bottom w:val="single" w:sz="8" w:space="0" w:color="FFFFFF"/>
              <w:right w:val="single" w:sz="8" w:space="0" w:color="FFFFFF"/>
            </w:tcBorders>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0381BEA">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810"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234"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88"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74404" w:rsidRPr="00E74404" w14:paraId="5D67B470"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10025806" w14:textId="6EB44413" w:rsidR="00E74404" w:rsidRPr="00D003FA" w:rsidRDefault="00E74404" w:rsidP="00E74404">
            <w:pPr>
              <w:spacing w:after="0" w:line="240" w:lineRule="auto"/>
              <w:ind w:left="0" w:firstLine="0"/>
              <w:jc w:val="left"/>
              <w:rPr>
                <w:rFonts w:eastAsia="Times New Roman"/>
                <w:b/>
                <w:bCs/>
                <w:color w:val="FFFFFF"/>
                <w:sz w:val="18"/>
                <w:szCs w:val="18"/>
              </w:rPr>
            </w:pPr>
            <w:bookmarkStart w:id="2" w:name="_Hlk1658817"/>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Q1</w:t>
            </w:r>
          </w:p>
        </w:tc>
        <w:tc>
          <w:tcPr>
            <w:tcW w:w="810" w:type="dxa"/>
            <w:tcBorders>
              <w:top w:val="nil"/>
              <w:left w:val="nil"/>
              <w:bottom w:val="single" w:sz="8" w:space="0" w:color="FFFFFF"/>
              <w:right w:val="single" w:sz="8" w:space="0" w:color="FFFFFF"/>
            </w:tcBorders>
            <w:shd w:val="clear" w:color="000000" w:fill="D9E1F3"/>
            <w:vAlign w:val="center"/>
          </w:tcPr>
          <w:p w14:paraId="44F7A7AF" w14:textId="1F55E9A3" w:rsidR="00E74404" w:rsidRPr="00D003FA" w:rsidRDefault="001C4358" w:rsidP="00311AF8">
            <w:pPr>
              <w:spacing w:after="0" w:line="240" w:lineRule="auto"/>
              <w:ind w:left="0" w:firstLine="0"/>
              <w:jc w:val="center"/>
              <w:rPr>
                <w:rFonts w:eastAsia="Times New Roman"/>
                <w:sz w:val="18"/>
                <w:szCs w:val="18"/>
              </w:rPr>
            </w:pPr>
            <w:r>
              <w:rPr>
                <w:rFonts w:eastAsia="Times New Roman"/>
                <w:sz w:val="18"/>
                <w:szCs w:val="18"/>
              </w:rPr>
              <w:t>139,313</w:t>
            </w:r>
          </w:p>
        </w:tc>
        <w:tc>
          <w:tcPr>
            <w:tcW w:w="1133" w:type="dxa"/>
            <w:tcBorders>
              <w:top w:val="nil"/>
              <w:left w:val="nil"/>
              <w:bottom w:val="single" w:sz="8" w:space="0" w:color="FFFFFF"/>
              <w:right w:val="single" w:sz="8" w:space="0" w:color="FFFFFF"/>
            </w:tcBorders>
            <w:shd w:val="clear" w:color="000000" w:fill="D9E1F3"/>
            <w:vAlign w:val="center"/>
          </w:tcPr>
          <w:p w14:paraId="6BE8C5AE" w14:textId="41D1993F" w:rsidR="00E74404" w:rsidRPr="00D003FA" w:rsidRDefault="001C4358" w:rsidP="00311AF8">
            <w:pPr>
              <w:spacing w:after="0" w:line="240" w:lineRule="auto"/>
              <w:ind w:left="0" w:firstLine="0"/>
              <w:jc w:val="center"/>
              <w:rPr>
                <w:rFonts w:eastAsia="Times New Roman"/>
                <w:sz w:val="18"/>
                <w:szCs w:val="18"/>
              </w:rPr>
            </w:pPr>
            <w:r>
              <w:rPr>
                <w:rFonts w:eastAsia="Times New Roman"/>
                <w:sz w:val="18"/>
                <w:szCs w:val="18"/>
              </w:rPr>
              <w:t>138,277</w:t>
            </w:r>
          </w:p>
        </w:tc>
        <w:tc>
          <w:tcPr>
            <w:tcW w:w="1133" w:type="dxa"/>
            <w:tcBorders>
              <w:top w:val="nil"/>
              <w:left w:val="nil"/>
              <w:bottom w:val="single" w:sz="8" w:space="0" w:color="FFFFFF"/>
              <w:right w:val="single" w:sz="8" w:space="0" w:color="FFFFFF"/>
            </w:tcBorders>
            <w:shd w:val="clear" w:color="000000" w:fill="D9E1F3"/>
            <w:vAlign w:val="center"/>
          </w:tcPr>
          <w:p w14:paraId="5BF48DA2" w14:textId="659947B4" w:rsidR="00E74404" w:rsidRPr="00493A2D" w:rsidRDefault="001F405C" w:rsidP="00311AF8">
            <w:pPr>
              <w:spacing w:after="0" w:line="240" w:lineRule="auto"/>
              <w:ind w:left="0" w:firstLine="0"/>
              <w:jc w:val="center"/>
              <w:rPr>
                <w:color w:val="auto"/>
                <w:sz w:val="18"/>
                <w:szCs w:val="18"/>
              </w:rPr>
            </w:pPr>
            <w:r>
              <w:rPr>
                <w:color w:val="auto"/>
                <w:sz w:val="18"/>
                <w:szCs w:val="18"/>
              </w:rPr>
              <w:t>-1,036</w:t>
            </w:r>
          </w:p>
        </w:tc>
        <w:tc>
          <w:tcPr>
            <w:tcW w:w="1234" w:type="dxa"/>
            <w:tcBorders>
              <w:top w:val="nil"/>
              <w:left w:val="nil"/>
              <w:bottom w:val="single" w:sz="8" w:space="0" w:color="FFFFFF"/>
              <w:right w:val="single" w:sz="8" w:space="0" w:color="FFFFFF"/>
            </w:tcBorders>
            <w:shd w:val="clear" w:color="000000" w:fill="D9E1F3"/>
            <w:vAlign w:val="center"/>
          </w:tcPr>
          <w:p w14:paraId="4FEA6F92" w14:textId="10EBACB9" w:rsidR="00E74404" w:rsidRPr="00493A2D" w:rsidRDefault="001C4358" w:rsidP="00311AF8">
            <w:pPr>
              <w:spacing w:after="0" w:line="240" w:lineRule="auto"/>
              <w:ind w:left="0" w:firstLine="0"/>
              <w:jc w:val="center"/>
              <w:rPr>
                <w:rFonts w:eastAsia="Times New Roman"/>
                <w:color w:val="auto"/>
                <w:sz w:val="18"/>
                <w:szCs w:val="18"/>
              </w:rPr>
            </w:pPr>
            <w:r>
              <w:rPr>
                <w:rFonts w:eastAsia="Times New Roman"/>
                <w:color w:val="auto"/>
                <w:sz w:val="18"/>
                <w:szCs w:val="18"/>
              </w:rPr>
              <w:t>$19,740</w:t>
            </w:r>
          </w:p>
        </w:tc>
        <w:tc>
          <w:tcPr>
            <w:tcW w:w="1288" w:type="dxa"/>
            <w:tcBorders>
              <w:top w:val="nil"/>
              <w:left w:val="nil"/>
              <w:bottom w:val="single" w:sz="8" w:space="0" w:color="FFFFFF"/>
              <w:right w:val="single" w:sz="8" w:space="0" w:color="FFFFFF"/>
            </w:tcBorders>
            <w:shd w:val="clear" w:color="000000" w:fill="D9E1F3"/>
            <w:vAlign w:val="center"/>
          </w:tcPr>
          <w:p w14:paraId="6FC70735" w14:textId="216D6AB5" w:rsidR="00E74404" w:rsidRPr="00493A2D" w:rsidRDefault="00E74404" w:rsidP="00311AF8">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16C6DEC" w14:textId="7E34B2D4" w:rsidR="00E74404" w:rsidRPr="00493A2D" w:rsidRDefault="001C4358" w:rsidP="00311AF8">
            <w:pPr>
              <w:spacing w:after="0" w:line="240" w:lineRule="auto"/>
              <w:ind w:left="0" w:firstLine="0"/>
              <w:jc w:val="center"/>
              <w:rPr>
                <w:rFonts w:eastAsia="Times New Roman"/>
                <w:color w:val="auto"/>
                <w:sz w:val="18"/>
                <w:szCs w:val="18"/>
              </w:rPr>
            </w:pPr>
            <w:r>
              <w:rPr>
                <w:rFonts w:eastAsia="Times New Roman"/>
                <w:color w:val="auto"/>
                <w:sz w:val="18"/>
                <w:szCs w:val="18"/>
              </w:rPr>
              <w:t>$19,740</w:t>
            </w:r>
          </w:p>
        </w:tc>
        <w:tc>
          <w:tcPr>
            <w:tcW w:w="1234" w:type="dxa"/>
            <w:tcBorders>
              <w:top w:val="nil"/>
              <w:left w:val="nil"/>
              <w:bottom w:val="single" w:sz="8" w:space="0" w:color="FFFFFF"/>
              <w:right w:val="single" w:sz="8" w:space="0" w:color="FFFFFF"/>
            </w:tcBorders>
            <w:shd w:val="clear" w:color="000000" w:fill="D9E1F3"/>
            <w:vAlign w:val="center"/>
          </w:tcPr>
          <w:p w14:paraId="77C1BF56" w14:textId="047EE3BE" w:rsidR="00E74404" w:rsidRPr="00493A2D" w:rsidRDefault="00FB6A4B" w:rsidP="00311AF8">
            <w:pPr>
              <w:spacing w:after="0" w:line="240" w:lineRule="auto"/>
              <w:ind w:left="0" w:firstLine="0"/>
              <w:jc w:val="center"/>
              <w:rPr>
                <w:rFonts w:eastAsia="Times New Roman"/>
                <w:color w:val="auto"/>
                <w:sz w:val="18"/>
                <w:szCs w:val="18"/>
              </w:rPr>
            </w:pPr>
            <w:r>
              <w:rPr>
                <w:rFonts w:eastAsia="Times New Roman"/>
                <w:color w:val="auto"/>
                <w:sz w:val="18"/>
                <w:szCs w:val="18"/>
              </w:rPr>
              <w:t>$14,623.99</w:t>
            </w:r>
          </w:p>
        </w:tc>
        <w:tc>
          <w:tcPr>
            <w:tcW w:w="1249" w:type="dxa"/>
            <w:tcBorders>
              <w:top w:val="nil"/>
              <w:left w:val="nil"/>
              <w:bottom w:val="single" w:sz="8" w:space="0" w:color="FFFFFF"/>
              <w:right w:val="single" w:sz="8" w:space="0" w:color="FFFFFF"/>
            </w:tcBorders>
            <w:shd w:val="clear" w:color="000000" w:fill="D9E1F3"/>
            <w:vAlign w:val="center"/>
          </w:tcPr>
          <w:p w14:paraId="5ED646D1" w14:textId="3D4B6168" w:rsidR="00E74404" w:rsidRPr="00493A2D" w:rsidRDefault="00FB6A4B" w:rsidP="00311AF8">
            <w:pPr>
              <w:spacing w:after="0" w:line="240" w:lineRule="auto"/>
              <w:ind w:left="0" w:firstLine="0"/>
              <w:jc w:val="center"/>
              <w:rPr>
                <w:rFonts w:eastAsia="Times New Roman"/>
                <w:color w:val="auto"/>
                <w:sz w:val="18"/>
                <w:szCs w:val="18"/>
              </w:rPr>
            </w:pPr>
            <w:r>
              <w:rPr>
                <w:rFonts w:eastAsia="Times New Roman"/>
                <w:color w:val="auto"/>
                <w:sz w:val="18"/>
                <w:szCs w:val="18"/>
              </w:rPr>
              <w:t>$5,116.01</w:t>
            </w:r>
          </w:p>
        </w:tc>
      </w:tr>
      <w:tr w:rsidR="00381BEA" w:rsidRPr="00E74404" w14:paraId="39EDDB6A"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6E8217D5" w14:textId="11897E28"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Q2 </w:t>
            </w:r>
          </w:p>
        </w:tc>
        <w:tc>
          <w:tcPr>
            <w:tcW w:w="810" w:type="dxa"/>
            <w:tcBorders>
              <w:top w:val="nil"/>
              <w:left w:val="nil"/>
              <w:bottom w:val="single" w:sz="8" w:space="0" w:color="FFFFFF"/>
              <w:right w:val="single" w:sz="8" w:space="0" w:color="FFFFFF"/>
            </w:tcBorders>
            <w:shd w:val="clear" w:color="000000" w:fill="D9E1F3"/>
            <w:vAlign w:val="center"/>
          </w:tcPr>
          <w:p w14:paraId="0FD93CD8" w14:textId="60914EE8" w:rsidR="00381BEA" w:rsidRPr="00D003FA" w:rsidRDefault="00AC302B" w:rsidP="00381BEA">
            <w:pPr>
              <w:spacing w:after="0" w:line="240" w:lineRule="auto"/>
              <w:ind w:left="0" w:firstLine="0"/>
              <w:jc w:val="center"/>
              <w:rPr>
                <w:rFonts w:eastAsia="Times New Roman"/>
                <w:sz w:val="18"/>
                <w:szCs w:val="18"/>
              </w:rPr>
            </w:pPr>
            <w:r>
              <w:rPr>
                <w:rFonts w:eastAsia="Times New Roman"/>
                <w:sz w:val="18"/>
                <w:szCs w:val="18"/>
              </w:rPr>
              <w:t>322,960</w:t>
            </w:r>
          </w:p>
        </w:tc>
        <w:tc>
          <w:tcPr>
            <w:tcW w:w="1133" w:type="dxa"/>
            <w:tcBorders>
              <w:top w:val="nil"/>
              <w:left w:val="nil"/>
              <w:bottom w:val="single" w:sz="8" w:space="0" w:color="FFFFFF"/>
              <w:right w:val="single" w:sz="8" w:space="0" w:color="FFFFFF"/>
            </w:tcBorders>
            <w:shd w:val="clear" w:color="000000" w:fill="D9E1F3"/>
            <w:vAlign w:val="center"/>
          </w:tcPr>
          <w:p w14:paraId="1BFFE4B1" w14:textId="36023ED9" w:rsidR="00381BEA" w:rsidRPr="00D003FA" w:rsidRDefault="00AC302B" w:rsidP="00381BEA">
            <w:pPr>
              <w:spacing w:after="0" w:line="240" w:lineRule="auto"/>
              <w:ind w:left="0" w:firstLine="0"/>
              <w:jc w:val="center"/>
              <w:rPr>
                <w:rFonts w:eastAsia="Times New Roman"/>
                <w:sz w:val="18"/>
                <w:szCs w:val="18"/>
              </w:rPr>
            </w:pPr>
            <w:r>
              <w:rPr>
                <w:rFonts w:eastAsia="Times New Roman"/>
                <w:sz w:val="18"/>
                <w:szCs w:val="18"/>
              </w:rPr>
              <w:t>286,530</w:t>
            </w:r>
          </w:p>
        </w:tc>
        <w:tc>
          <w:tcPr>
            <w:tcW w:w="1133" w:type="dxa"/>
            <w:tcBorders>
              <w:top w:val="nil"/>
              <w:left w:val="nil"/>
              <w:bottom w:val="single" w:sz="8" w:space="0" w:color="FFFFFF"/>
              <w:right w:val="single" w:sz="8" w:space="0" w:color="FFFFFF"/>
            </w:tcBorders>
            <w:shd w:val="clear" w:color="000000" w:fill="D9E1F3"/>
            <w:vAlign w:val="center"/>
          </w:tcPr>
          <w:p w14:paraId="42F512F2" w14:textId="607D491F" w:rsidR="00381BEA" w:rsidRPr="00493A2D" w:rsidRDefault="00AC302B" w:rsidP="00381BEA">
            <w:pPr>
              <w:spacing w:after="0" w:line="240" w:lineRule="auto"/>
              <w:ind w:left="0" w:firstLine="0"/>
              <w:jc w:val="center"/>
              <w:rPr>
                <w:color w:val="auto"/>
                <w:sz w:val="18"/>
                <w:szCs w:val="18"/>
              </w:rPr>
            </w:pPr>
            <w:r>
              <w:rPr>
                <w:color w:val="auto"/>
                <w:sz w:val="18"/>
                <w:szCs w:val="18"/>
              </w:rPr>
              <w:t>-36,426</w:t>
            </w:r>
          </w:p>
        </w:tc>
        <w:tc>
          <w:tcPr>
            <w:tcW w:w="1234" w:type="dxa"/>
            <w:tcBorders>
              <w:top w:val="nil"/>
              <w:left w:val="nil"/>
              <w:bottom w:val="single" w:sz="8" w:space="0" w:color="FFFFFF"/>
              <w:right w:val="single" w:sz="8" w:space="0" w:color="FFFFFF"/>
            </w:tcBorders>
            <w:shd w:val="clear" w:color="000000" w:fill="D9E1F3"/>
            <w:vAlign w:val="center"/>
          </w:tcPr>
          <w:p w14:paraId="4EE4B40A" w14:textId="288C8D4E" w:rsidR="00381BEA" w:rsidRPr="000C3640" w:rsidRDefault="000C3640" w:rsidP="00381BEA">
            <w:pPr>
              <w:spacing w:after="0" w:line="240" w:lineRule="auto"/>
              <w:ind w:left="0" w:firstLine="0"/>
              <w:jc w:val="center"/>
              <w:rPr>
                <w:rFonts w:eastAsia="Times New Roman"/>
                <w:color w:val="auto"/>
                <w:sz w:val="18"/>
                <w:szCs w:val="18"/>
              </w:rPr>
            </w:pPr>
            <w:r w:rsidRPr="000C3640">
              <w:rPr>
                <w:rFonts w:eastAsia="Times New Roman"/>
                <w:color w:val="auto"/>
                <w:sz w:val="18"/>
                <w:szCs w:val="18"/>
              </w:rPr>
              <w:t>$62,210.41</w:t>
            </w:r>
          </w:p>
        </w:tc>
        <w:tc>
          <w:tcPr>
            <w:tcW w:w="1288" w:type="dxa"/>
            <w:tcBorders>
              <w:top w:val="nil"/>
              <w:left w:val="nil"/>
              <w:bottom w:val="single" w:sz="8" w:space="0" w:color="FFFFFF"/>
              <w:right w:val="single" w:sz="8" w:space="0" w:color="FFFFFF"/>
            </w:tcBorders>
            <w:shd w:val="clear" w:color="000000" w:fill="D9E1F3"/>
            <w:vAlign w:val="center"/>
          </w:tcPr>
          <w:p w14:paraId="36DBD394" w14:textId="7AB6CBFA"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A50967B" w14:textId="0C75CFD9" w:rsidR="00381BEA" w:rsidRPr="00493A2D" w:rsidRDefault="000C3640" w:rsidP="00381BEA">
            <w:pPr>
              <w:spacing w:after="0" w:line="240" w:lineRule="auto"/>
              <w:ind w:left="0" w:firstLine="0"/>
              <w:jc w:val="center"/>
              <w:rPr>
                <w:rFonts w:eastAsia="Times New Roman"/>
                <w:color w:val="auto"/>
                <w:sz w:val="18"/>
                <w:szCs w:val="18"/>
              </w:rPr>
            </w:pPr>
            <w:r w:rsidRPr="000C3640">
              <w:rPr>
                <w:rFonts w:eastAsia="Times New Roman"/>
                <w:color w:val="auto"/>
                <w:sz w:val="18"/>
                <w:szCs w:val="18"/>
              </w:rPr>
              <w:t>$62,210.41</w:t>
            </w:r>
          </w:p>
        </w:tc>
        <w:tc>
          <w:tcPr>
            <w:tcW w:w="1234" w:type="dxa"/>
            <w:tcBorders>
              <w:top w:val="nil"/>
              <w:left w:val="nil"/>
              <w:bottom w:val="single" w:sz="8" w:space="0" w:color="FFFFFF"/>
              <w:right w:val="single" w:sz="8" w:space="0" w:color="FFFFFF"/>
            </w:tcBorders>
            <w:shd w:val="clear" w:color="000000" w:fill="D9E1F3"/>
            <w:vAlign w:val="center"/>
          </w:tcPr>
          <w:p w14:paraId="70A9AB9F" w14:textId="7B6EC611" w:rsidR="00381BEA" w:rsidRPr="000C3640" w:rsidRDefault="000C3640" w:rsidP="00381BEA">
            <w:pPr>
              <w:spacing w:after="0" w:line="240" w:lineRule="auto"/>
              <w:ind w:left="0" w:firstLine="0"/>
              <w:jc w:val="center"/>
              <w:rPr>
                <w:rFonts w:eastAsia="Times New Roman"/>
                <w:color w:val="auto"/>
                <w:sz w:val="18"/>
                <w:szCs w:val="18"/>
              </w:rPr>
            </w:pPr>
            <w:r w:rsidRPr="000C3640">
              <w:rPr>
                <w:rFonts w:eastAsia="Times New Roman"/>
                <w:color w:val="auto"/>
                <w:sz w:val="18"/>
                <w:szCs w:val="18"/>
              </w:rPr>
              <w:t>$63,427.26</w:t>
            </w:r>
          </w:p>
        </w:tc>
        <w:tc>
          <w:tcPr>
            <w:tcW w:w="1249" w:type="dxa"/>
            <w:tcBorders>
              <w:top w:val="nil"/>
              <w:left w:val="nil"/>
              <w:bottom w:val="single" w:sz="8" w:space="0" w:color="FFFFFF"/>
              <w:right w:val="single" w:sz="8" w:space="0" w:color="FFFFFF"/>
            </w:tcBorders>
            <w:shd w:val="clear" w:color="000000" w:fill="D9E1F3"/>
            <w:vAlign w:val="center"/>
          </w:tcPr>
          <w:p w14:paraId="3829E2C8" w14:textId="4BA1C480" w:rsidR="00381BEA" w:rsidRPr="000C3640" w:rsidRDefault="000C3640" w:rsidP="00381BEA">
            <w:pPr>
              <w:spacing w:after="0" w:line="240" w:lineRule="auto"/>
              <w:ind w:left="0" w:firstLine="0"/>
              <w:jc w:val="center"/>
              <w:rPr>
                <w:rFonts w:eastAsia="Times New Roman"/>
                <w:color w:val="auto"/>
                <w:sz w:val="18"/>
                <w:szCs w:val="18"/>
              </w:rPr>
            </w:pPr>
            <w:r w:rsidRPr="000C3640">
              <w:rPr>
                <w:rFonts w:eastAsia="Times New Roman"/>
                <w:color w:val="FF0000"/>
                <w:sz w:val="18"/>
                <w:szCs w:val="18"/>
              </w:rPr>
              <w:t>-$1,216.85</w:t>
            </w:r>
          </w:p>
        </w:tc>
      </w:tr>
      <w:tr w:rsidR="00381BEA" w:rsidRPr="00E74404" w14:paraId="131316D2"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7507334B" w14:textId="04260966" w:rsidR="00381BEA" w:rsidRPr="00D003FA" w:rsidRDefault="00381BEA" w:rsidP="00381BEA">
            <w:pPr>
              <w:spacing w:after="0" w:line="240" w:lineRule="auto"/>
              <w:ind w:left="0" w:firstLine="0"/>
              <w:jc w:val="left"/>
              <w:rPr>
                <w:rFonts w:eastAsia="Times New Roman"/>
                <w:b/>
                <w:bCs/>
                <w:color w:val="FFFFFF"/>
                <w:sz w:val="18"/>
                <w:szCs w:val="18"/>
              </w:rPr>
            </w:pPr>
            <w:bookmarkStart w:id="3" w:name="OLE_LINK5"/>
            <w:bookmarkStart w:id="4" w:name="OLE_LINK6"/>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Q3</w:t>
            </w:r>
            <w:bookmarkEnd w:id="3"/>
            <w:bookmarkEnd w:id="4"/>
          </w:p>
        </w:tc>
        <w:tc>
          <w:tcPr>
            <w:tcW w:w="810" w:type="dxa"/>
            <w:tcBorders>
              <w:top w:val="nil"/>
              <w:left w:val="nil"/>
              <w:bottom w:val="single" w:sz="8" w:space="0" w:color="FFFFFF"/>
              <w:right w:val="single" w:sz="8" w:space="0" w:color="FFFFFF"/>
            </w:tcBorders>
            <w:shd w:val="clear" w:color="000000" w:fill="D9E1F3"/>
            <w:vAlign w:val="center"/>
          </w:tcPr>
          <w:p w14:paraId="3047B085" w14:textId="2079689F"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494BA3ED" w14:textId="33175089"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5DC8B1E" w14:textId="6CF5F7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D1FDCE" w14:textId="1C511095"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1B027DB6" w14:textId="497B5AA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99D7998" w14:textId="468A7A1C"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394EAB30" w14:textId="18B72EC8"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A0A2AA7" w14:textId="338F3A2A"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0A5A6CB7" w14:textId="77777777" w:rsidTr="00381BEA">
        <w:trPr>
          <w:trHeight w:val="106"/>
          <w:jc w:val="center"/>
        </w:trPr>
        <w:tc>
          <w:tcPr>
            <w:tcW w:w="987" w:type="dxa"/>
            <w:tcBorders>
              <w:top w:val="nil"/>
              <w:left w:val="single" w:sz="8" w:space="0" w:color="FFFFFF"/>
              <w:bottom w:val="single" w:sz="8" w:space="0" w:color="FFFFFF"/>
              <w:right w:val="single" w:sz="8" w:space="0" w:color="FFFFFF"/>
            </w:tcBorders>
            <w:shd w:val="clear" w:color="000000" w:fill="4471C4"/>
            <w:vAlign w:val="center"/>
          </w:tcPr>
          <w:p w14:paraId="68BDC39E" w14:textId="26F12A34"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18</w:t>
            </w:r>
            <w:r w:rsidR="004A273F">
              <w:rPr>
                <w:rFonts w:eastAsia="Times New Roman"/>
                <w:b/>
                <w:bCs/>
                <w:color w:val="FFFFFF"/>
                <w:sz w:val="18"/>
                <w:szCs w:val="18"/>
              </w:rPr>
              <w:t>9</w:t>
            </w:r>
            <w:r w:rsidRPr="00D003FA">
              <w:rPr>
                <w:rFonts w:eastAsia="Times New Roman"/>
                <w:b/>
                <w:bCs/>
                <w:color w:val="FFFFFF"/>
                <w:sz w:val="18"/>
                <w:szCs w:val="18"/>
              </w:rPr>
              <w:t>– Q4</w:t>
            </w:r>
          </w:p>
        </w:tc>
        <w:tc>
          <w:tcPr>
            <w:tcW w:w="810" w:type="dxa"/>
            <w:tcBorders>
              <w:top w:val="nil"/>
              <w:left w:val="nil"/>
              <w:bottom w:val="single" w:sz="8" w:space="0" w:color="FFFFFF"/>
              <w:right w:val="single" w:sz="8" w:space="0" w:color="FFFFFF"/>
            </w:tcBorders>
            <w:shd w:val="clear" w:color="000000" w:fill="D9E1F3"/>
            <w:vAlign w:val="center"/>
          </w:tcPr>
          <w:p w14:paraId="53067876" w14:textId="1263227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3A482E92" w14:textId="1F3D6BF4"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E2F597F" w14:textId="2B9C1E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798961C2" w14:textId="6F97BF8B"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26783CCD" w14:textId="064DBEA7"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6DC1388C" w14:textId="411CBB6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A335EB" w14:textId="1C71497B"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85830F2" w14:textId="6CAF4EDC"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646FEB79"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5E5F3B12" w14:textId="77777777" w:rsidR="00381BEA" w:rsidRPr="00D003FA" w:rsidRDefault="00381BEA" w:rsidP="00381BEA">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810" w:type="dxa"/>
            <w:tcBorders>
              <w:top w:val="nil"/>
              <w:left w:val="nil"/>
              <w:bottom w:val="single" w:sz="8" w:space="0" w:color="FFFFFF"/>
              <w:right w:val="single" w:sz="8" w:space="0" w:color="FFFFFF"/>
            </w:tcBorders>
            <w:shd w:val="clear" w:color="000000" w:fill="C6E0B4"/>
            <w:vAlign w:val="center"/>
          </w:tcPr>
          <w:p w14:paraId="066A1801" w14:textId="58980325" w:rsidR="00381BEA" w:rsidRPr="00381BEA" w:rsidRDefault="00AC302B" w:rsidP="00381BEA">
            <w:pPr>
              <w:spacing w:after="0" w:line="240" w:lineRule="auto"/>
              <w:ind w:left="0" w:firstLine="0"/>
              <w:jc w:val="center"/>
              <w:rPr>
                <w:rFonts w:eastAsia="Times New Roman"/>
                <w:b/>
                <w:bCs/>
                <w:sz w:val="18"/>
                <w:szCs w:val="18"/>
              </w:rPr>
            </w:pPr>
            <w:r>
              <w:rPr>
                <w:rFonts w:eastAsia="Times New Roman"/>
                <w:b/>
                <w:bCs/>
                <w:sz w:val="18"/>
                <w:szCs w:val="18"/>
              </w:rPr>
              <w:t>462,273</w:t>
            </w:r>
          </w:p>
        </w:tc>
        <w:tc>
          <w:tcPr>
            <w:tcW w:w="1133" w:type="dxa"/>
            <w:tcBorders>
              <w:top w:val="nil"/>
              <w:left w:val="nil"/>
              <w:bottom w:val="single" w:sz="8" w:space="0" w:color="FFFFFF"/>
              <w:right w:val="single" w:sz="8" w:space="0" w:color="FFFFFF"/>
            </w:tcBorders>
            <w:shd w:val="clear" w:color="000000" w:fill="C6E0B4"/>
            <w:vAlign w:val="center"/>
          </w:tcPr>
          <w:p w14:paraId="2F279882" w14:textId="51BCC048" w:rsidR="00381BEA" w:rsidRPr="00381BEA" w:rsidRDefault="00AC302B" w:rsidP="00381BEA">
            <w:pPr>
              <w:spacing w:after="0" w:line="240" w:lineRule="auto"/>
              <w:ind w:left="0" w:firstLine="0"/>
              <w:jc w:val="center"/>
              <w:rPr>
                <w:rFonts w:eastAsia="Times New Roman"/>
                <w:b/>
                <w:bCs/>
                <w:sz w:val="18"/>
                <w:szCs w:val="18"/>
              </w:rPr>
            </w:pPr>
            <w:r>
              <w:rPr>
                <w:rFonts w:eastAsia="Times New Roman"/>
                <w:b/>
                <w:bCs/>
                <w:sz w:val="18"/>
                <w:szCs w:val="18"/>
              </w:rPr>
              <w:t>424,807</w:t>
            </w:r>
          </w:p>
        </w:tc>
        <w:tc>
          <w:tcPr>
            <w:tcW w:w="1133" w:type="dxa"/>
            <w:tcBorders>
              <w:top w:val="nil"/>
              <w:left w:val="nil"/>
              <w:bottom w:val="single" w:sz="8" w:space="0" w:color="FFFFFF"/>
              <w:right w:val="single" w:sz="8" w:space="0" w:color="FFFFFF"/>
            </w:tcBorders>
            <w:shd w:val="clear" w:color="000000" w:fill="C6E0B4"/>
            <w:vAlign w:val="center"/>
          </w:tcPr>
          <w:p w14:paraId="1D128B45" w14:textId="76AFDC89" w:rsidR="00381BEA" w:rsidRPr="00493A2D" w:rsidRDefault="00AC302B" w:rsidP="00381BEA">
            <w:pPr>
              <w:spacing w:after="0" w:line="240" w:lineRule="auto"/>
              <w:ind w:left="0" w:firstLine="0"/>
              <w:jc w:val="center"/>
              <w:rPr>
                <w:b/>
                <w:color w:val="auto"/>
                <w:sz w:val="18"/>
                <w:szCs w:val="18"/>
              </w:rPr>
            </w:pPr>
            <w:r>
              <w:rPr>
                <w:b/>
                <w:color w:val="auto"/>
                <w:sz w:val="18"/>
                <w:szCs w:val="18"/>
              </w:rPr>
              <w:t>37,462</w:t>
            </w:r>
          </w:p>
        </w:tc>
        <w:tc>
          <w:tcPr>
            <w:tcW w:w="1234" w:type="dxa"/>
            <w:tcBorders>
              <w:top w:val="nil"/>
              <w:left w:val="nil"/>
              <w:bottom w:val="single" w:sz="8" w:space="0" w:color="FFFFFF"/>
              <w:right w:val="single" w:sz="8" w:space="0" w:color="FFFFFF"/>
            </w:tcBorders>
            <w:shd w:val="clear" w:color="000000" w:fill="C6E0B4"/>
            <w:vAlign w:val="center"/>
          </w:tcPr>
          <w:p w14:paraId="6B7599F3" w14:textId="7E4E58B1" w:rsidR="00381BEA" w:rsidRPr="00493A2D" w:rsidRDefault="000C3640"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$81,950</w:t>
            </w:r>
          </w:p>
        </w:tc>
        <w:tc>
          <w:tcPr>
            <w:tcW w:w="1288" w:type="dxa"/>
            <w:tcBorders>
              <w:top w:val="nil"/>
              <w:left w:val="nil"/>
              <w:bottom w:val="single" w:sz="8" w:space="0" w:color="FFFFFF"/>
              <w:right w:val="single" w:sz="8" w:space="0" w:color="FFFFFF"/>
            </w:tcBorders>
            <w:shd w:val="clear" w:color="000000" w:fill="C6E0B4"/>
            <w:vAlign w:val="center"/>
          </w:tcPr>
          <w:p w14:paraId="199FEED9" w14:textId="2697637E"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279AC024" w14:textId="0139C846" w:rsidR="00381BEA" w:rsidRPr="00493A2D" w:rsidRDefault="000C3640"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$81,950</w:t>
            </w:r>
          </w:p>
        </w:tc>
        <w:tc>
          <w:tcPr>
            <w:tcW w:w="1234" w:type="dxa"/>
            <w:tcBorders>
              <w:top w:val="nil"/>
              <w:left w:val="nil"/>
              <w:bottom w:val="single" w:sz="8" w:space="0" w:color="FFFFFF"/>
              <w:right w:val="single" w:sz="8" w:space="0" w:color="FFFFFF"/>
            </w:tcBorders>
            <w:shd w:val="clear" w:color="000000" w:fill="C6E0B4"/>
            <w:vAlign w:val="center"/>
          </w:tcPr>
          <w:p w14:paraId="76C9FF97" w14:textId="62E24458" w:rsidR="00381BEA" w:rsidRPr="00493A2D" w:rsidRDefault="000C3640"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$78,051.25</w:t>
            </w:r>
          </w:p>
        </w:tc>
        <w:tc>
          <w:tcPr>
            <w:tcW w:w="1249" w:type="dxa"/>
            <w:tcBorders>
              <w:top w:val="nil"/>
              <w:left w:val="nil"/>
              <w:bottom w:val="single" w:sz="8" w:space="0" w:color="FFFFFF"/>
              <w:right w:val="single" w:sz="8" w:space="0" w:color="FFFFFF"/>
            </w:tcBorders>
            <w:shd w:val="clear" w:color="000000" w:fill="C6E0B4"/>
            <w:vAlign w:val="center"/>
          </w:tcPr>
          <w:p w14:paraId="3E5F2DE1" w14:textId="2FAF0071" w:rsidR="00381BEA" w:rsidRPr="00493A2D" w:rsidRDefault="000C3640" w:rsidP="00F641DE">
            <w:pPr>
              <w:spacing w:after="0" w:line="240" w:lineRule="auto"/>
              <w:ind w:left="0" w:firstLine="0"/>
              <w:jc w:val="center"/>
              <w:rPr>
                <w:rFonts w:eastAsia="Times New Roman"/>
                <w:b/>
                <w:bCs/>
                <w:color w:val="auto"/>
                <w:sz w:val="18"/>
                <w:szCs w:val="18"/>
              </w:rPr>
            </w:pPr>
            <w:r>
              <w:rPr>
                <w:rFonts w:eastAsia="Times New Roman"/>
                <w:b/>
                <w:bCs/>
                <w:color w:val="auto"/>
                <w:sz w:val="18"/>
                <w:szCs w:val="18"/>
              </w:rPr>
              <w:t>$3,899.16</w:t>
            </w:r>
          </w:p>
        </w:tc>
      </w:tr>
      <w:bookmarkEnd w:id="2"/>
    </w:tbl>
    <w:p w14:paraId="76A34F01" w14:textId="721AC4CF" w:rsidR="00654509" w:rsidRDefault="00654509" w:rsidP="00A76A0C">
      <w:pPr>
        <w:spacing w:line="240" w:lineRule="auto"/>
        <w:ind w:left="0" w:firstLine="0"/>
      </w:pPr>
    </w:p>
    <w:p w14:paraId="07FD2553" w14:textId="77777777" w:rsidR="00654509" w:rsidRDefault="00654509" w:rsidP="00152C75">
      <w:pPr>
        <w:spacing w:line="240" w:lineRule="auto"/>
        <w:ind w:firstLine="0"/>
      </w:pPr>
    </w:p>
    <w:p w14:paraId="23FE02A3" w14:textId="77777777" w:rsidR="00DE5493" w:rsidRDefault="00DE5493" w:rsidP="00152C75">
      <w:pPr>
        <w:spacing w:line="240" w:lineRule="auto"/>
        <w:ind w:firstLine="0"/>
      </w:pPr>
      <w:bookmarkStart w:id="5" w:name="_GoBack"/>
      <w:bookmarkEnd w:id="5"/>
    </w:p>
    <w:p w14:paraId="19B921B9" w14:textId="77777777" w:rsidR="00CE3959" w:rsidRDefault="00C57C89">
      <w:pPr>
        <w:pStyle w:val="Heading1"/>
        <w:ind w:left="219" w:hanging="233"/>
      </w:pPr>
      <w:r>
        <w:t xml:space="preserve">| Portfolio Performance </w:t>
      </w:r>
    </w:p>
    <w:p w14:paraId="6E4F67A8" w14:textId="4B8C2DBE" w:rsidR="00CE3959" w:rsidRDefault="5C515B70" w:rsidP="00A76A0C">
      <w:pPr>
        <w:spacing w:after="2" w:line="240" w:lineRule="auto"/>
        <w:ind w:left="0" w:firstLine="0"/>
      </w:pPr>
      <w:r>
        <w:t xml:space="preserve">The predicted energy output for the </w:t>
      </w:r>
      <w:proofErr w:type="gramStart"/>
      <w:r>
        <w:t>Blue Sky</w:t>
      </w:r>
      <w:proofErr w:type="gramEnd"/>
      <w:r>
        <w:t xml:space="preserve"> Utility 2017 III, LLC project during Q</w:t>
      </w:r>
      <w:r w:rsidR="00AC302B">
        <w:t>2</w:t>
      </w:r>
      <w:r>
        <w:t xml:space="preserve"> 2019 was </w:t>
      </w:r>
      <w:r w:rsidR="00EA745A">
        <w:rPr>
          <w:b/>
          <w:bCs/>
        </w:rPr>
        <w:t>322,960</w:t>
      </w:r>
      <w:r w:rsidRPr="00AC302B">
        <w:rPr>
          <w:b/>
          <w:bCs/>
        </w:rPr>
        <w:t xml:space="preserve"> kWh</w:t>
      </w:r>
      <w:r>
        <w:t xml:space="preserve">.  The actual energy output for the </w:t>
      </w:r>
      <w:proofErr w:type="gramStart"/>
      <w:r>
        <w:t>Blue Sky</w:t>
      </w:r>
      <w:proofErr w:type="gramEnd"/>
      <w:r>
        <w:t xml:space="preserve"> Utility 2017 III, LLC project during Q</w:t>
      </w:r>
      <w:r w:rsidR="00EA745A">
        <w:t>2</w:t>
      </w:r>
      <w:r>
        <w:t xml:space="preserve"> 2019 was </w:t>
      </w:r>
      <w:r w:rsidR="00EA745A">
        <w:rPr>
          <w:b/>
          <w:bCs/>
        </w:rPr>
        <w:t>286,530</w:t>
      </w:r>
      <w:r w:rsidRPr="00EA745A">
        <w:rPr>
          <w:b/>
          <w:bCs/>
        </w:rPr>
        <w:t xml:space="preserve"> kWh</w:t>
      </w:r>
      <w:r w:rsidRPr="00EA745A">
        <w:t>.</w:t>
      </w:r>
      <w:r>
        <w:t xml:space="preserve"> </w:t>
      </w:r>
    </w:p>
    <w:p w14:paraId="11A88C3A" w14:textId="22ABC704" w:rsidR="00CA7CF4" w:rsidRDefault="00C57C89" w:rsidP="00A76A0C">
      <w:pPr>
        <w:spacing w:after="341" w:line="240" w:lineRule="auto"/>
        <w:ind w:left="0" w:firstLine="0"/>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“predicted”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6250EB6C" w14:textId="72F2D7A1" w:rsidR="00CA7CF4" w:rsidRDefault="00CA7CF4">
      <w:pPr>
        <w:spacing w:after="341"/>
        <w:ind w:left="-4"/>
      </w:pPr>
    </w:p>
    <w:p w14:paraId="4B3AB831" w14:textId="26B91E52" w:rsidR="00DE5493" w:rsidRDefault="00DE5493">
      <w:pPr>
        <w:spacing w:after="341"/>
        <w:ind w:left="-4"/>
      </w:pPr>
    </w:p>
    <w:p w14:paraId="26CD068F" w14:textId="22815C77" w:rsidR="00DE5493" w:rsidRDefault="00DE5493">
      <w:pPr>
        <w:spacing w:after="341"/>
        <w:ind w:left="-4"/>
      </w:pPr>
    </w:p>
    <w:p w14:paraId="57C503C4" w14:textId="77777777" w:rsidR="00DE5493" w:rsidRDefault="00DE5493">
      <w:pPr>
        <w:spacing w:after="341"/>
        <w:ind w:left="-4"/>
      </w:pPr>
    </w:p>
    <w:p w14:paraId="36588F4E" w14:textId="77777777" w:rsidR="00CE3959" w:rsidRDefault="00C57C89">
      <w:pPr>
        <w:pStyle w:val="Heading1"/>
        <w:ind w:left="219" w:hanging="233"/>
      </w:pPr>
      <w:r>
        <w:t xml:space="preserve">| Forecasted vs. Actual Energy </w:t>
      </w:r>
    </w:p>
    <w:p w14:paraId="5361925E" w14:textId="26F2B55D" w:rsidR="00CE3959" w:rsidRDefault="00C57C89" w:rsidP="00524376">
      <w:pPr>
        <w:spacing w:after="0"/>
        <w:ind w:left="-4"/>
      </w:pPr>
      <w:r>
        <w:t>The following graph shows performance (</w:t>
      </w:r>
      <w:r>
        <w:rPr>
          <w:i/>
        </w:rPr>
        <w:t>Actual</w:t>
      </w:r>
      <w:r>
        <w:t xml:space="preserve">-metered energy v. </w:t>
      </w:r>
      <w:r>
        <w:rPr>
          <w:i/>
        </w:rPr>
        <w:t>Predicted</w:t>
      </w:r>
      <w:r>
        <w:t>- PVSYST forecast) for Q</w:t>
      </w:r>
      <w:r w:rsidR="00E70176">
        <w:t>2</w:t>
      </w:r>
      <w:r w:rsidR="00CA7CF4">
        <w:t xml:space="preserve"> </w:t>
      </w:r>
      <w:r>
        <w:t>201</w:t>
      </w:r>
      <w:r w:rsidR="00C73182">
        <w:t>9</w:t>
      </w:r>
      <w:r>
        <w:t>.</w:t>
      </w:r>
    </w:p>
    <w:p w14:paraId="35DE1542" w14:textId="77777777" w:rsidR="00684DE8" w:rsidRDefault="00684DE8" w:rsidP="00524376">
      <w:pPr>
        <w:spacing w:after="0"/>
        <w:ind w:left="-4"/>
      </w:pPr>
    </w:p>
    <w:p w14:paraId="6138FBC9" w14:textId="2BA7967A" w:rsidR="00CE3959" w:rsidRDefault="00A76A0C" w:rsidP="00CA7CF4">
      <w:pPr>
        <w:tabs>
          <w:tab w:val="center" w:pos="1741"/>
          <w:tab w:val="center" w:pos="4681"/>
          <w:tab w:val="right" w:pos="9365"/>
        </w:tabs>
        <w:spacing w:after="0" w:line="259" w:lineRule="auto"/>
        <w:ind w:left="0" w:right="-9" w:firstLine="0"/>
        <w:jc w:val="center"/>
      </w:pPr>
      <w:r>
        <w:rPr>
          <w:noProof/>
        </w:rPr>
        <w:drawing>
          <wp:inline distT="0" distB="0" distL="0" distR="0" wp14:anchorId="574499B7" wp14:editId="7DC9E1AF">
            <wp:extent cx="3648277" cy="2704548"/>
            <wp:effectExtent l="0" t="0" r="9525" b="13335"/>
            <wp:docPr id="1" name="Chart 1">
              <a:extLst xmlns:a="http://schemas.openxmlformats.org/drawingml/2006/main">
                <a:ext uri="{FF2B5EF4-FFF2-40B4-BE49-F238E27FC236}">
                  <a16:creationId xmlns:a16="http://schemas.microsoft.com/office/drawing/2014/main" id="{78031BAC-7A50-AE47-86CA-BFD2DCB0E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5C515B70">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5C515B70">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5C515B70">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44E829E5" w:rsidR="00654509" w:rsidRPr="00654509" w:rsidRDefault="5C515B70" w:rsidP="5C515B70">
            <w:pPr>
              <w:spacing w:after="0" w:line="240" w:lineRule="auto"/>
              <w:ind w:left="0" w:firstLine="0"/>
              <w:rPr>
                <w:rFonts w:eastAsia="Times New Roman"/>
                <w:b/>
                <w:bCs/>
                <w:color w:val="FFFFFF" w:themeColor="background1"/>
              </w:rPr>
            </w:pPr>
            <w:r w:rsidRPr="5C515B70">
              <w:rPr>
                <w:rFonts w:eastAsia="Times New Roman"/>
                <w:b/>
                <w:bCs/>
                <w:color w:val="FFFFFF" w:themeColor="background1"/>
              </w:rPr>
              <w:t>19-</w:t>
            </w:r>
            <w:r w:rsidR="00EA745A">
              <w:rPr>
                <w:rFonts w:eastAsia="Times New Roman"/>
                <w:b/>
                <w:bCs/>
                <w:color w:val="FFFFFF" w:themeColor="background1"/>
              </w:rPr>
              <w:t>Apr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3D1F1AA1" w:rsidR="00654509" w:rsidRPr="00654509" w:rsidRDefault="00EA745A" w:rsidP="5C515B70">
            <w:pPr>
              <w:spacing w:after="0" w:line="240" w:lineRule="auto"/>
              <w:ind w:left="0" w:firstLine="0"/>
              <w:jc w:val="center"/>
              <w:rPr>
                <w:rFonts w:eastAsia="Times New Roman"/>
              </w:rPr>
            </w:pPr>
            <w:r>
              <w:rPr>
                <w:rFonts w:eastAsia="Times New Roman"/>
              </w:rPr>
              <w:t>163.51</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428DC5DB" w:rsidR="00654509" w:rsidRPr="00654509" w:rsidRDefault="00EA745A" w:rsidP="5C515B70">
            <w:pPr>
              <w:spacing w:after="0" w:line="240" w:lineRule="auto"/>
              <w:ind w:left="0" w:firstLine="0"/>
              <w:jc w:val="center"/>
              <w:rPr>
                <w:rFonts w:eastAsia="Times New Roman"/>
              </w:rPr>
            </w:pPr>
            <w:r>
              <w:rPr>
                <w:rFonts w:eastAsia="Times New Roman"/>
              </w:rPr>
              <w:t>186.7</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00B5785D" w:rsidR="00654509" w:rsidRPr="00654509" w:rsidRDefault="5C515B70" w:rsidP="5C515B70">
            <w:pPr>
              <w:spacing w:after="0" w:line="240" w:lineRule="auto"/>
              <w:ind w:left="0" w:firstLine="0"/>
              <w:jc w:val="center"/>
              <w:rPr>
                <w:rFonts w:eastAsia="Times New Roman"/>
              </w:rPr>
            </w:pPr>
            <w:r w:rsidRPr="5C515B70">
              <w:rPr>
                <w:rFonts w:eastAsia="Times New Roman"/>
              </w:rPr>
              <w:t>6</w:t>
            </w:r>
            <w:r w:rsidR="00EA745A">
              <w:rPr>
                <w:rFonts w:eastAsia="Times New Roman"/>
              </w:rPr>
              <w:t>5</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41CD5CCF" w:rsidR="00654509" w:rsidRPr="00654509" w:rsidRDefault="00EA745A" w:rsidP="5C515B70">
            <w:pPr>
              <w:spacing w:after="0" w:line="240" w:lineRule="auto"/>
              <w:ind w:left="0" w:firstLine="0"/>
              <w:jc w:val="center"/>
              <w:rPr>
                <w:rFonts w:eastAsia="Times New Roman"/>
              </w:rPr>
            </w:pPr>
            <w:r>
              <w:rPr>
                <w:rFonts w:eastAsia="Times New Roman"/>
              </w:rPr>
              <w:t>61.82</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37773AE1" w:rsidR="00654509" w:rsidRPr="00654509" w:rsidRDefault="00EA745A" w:rsidP="5C515B70">
            <w:pPr>
              <w:spacing w:after="0" w:line="240" w:lineRule="auto"/>
              <w:ind w:left="0" w:firstLine="0"/>
              <w:jc w:val="center"/>
              <w:rPr>
                <w:rFonts w:eastAsia="Times New Roman"/>
              </w:rPr>
            </w:pPr>
            <w:r>
              <w:rPr>
                <w:rFonts w:eastAsia="Times New Roman"/>
              </w:rPr>
              <w:t>-12%</w:t>
            </w:r>
          </w:p>
        </w:tc>
      </w:tr>
      <w:tr w:rsidR="00654509" w:rsidRPr="00654509" w14:paraId="59EDF4F6" w14:textId="77777777" w:rsidTr="5C515B70">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3AD19214" w:rsidR="00654509" w:rsidRPr="00654509" w:rsidRDefault="5C515B70" w:rsidP="5C515B70">
            <w:pPr>
              <w:spacing w:after="0" w:line="240" w:lineRule="auto"/>
              <w:ind w:left="0" w:firstLine="0"/>
              <w:rPr>
                <w:rFonts w:eastAsia="Times New Roman"/>
                <w:b/>
                <w:bCs/>
                <w:color w:val="FFFFFF" w:themeColor="background1"/>
              </w:rPr>
            </w:pPr>
            <w:r w:rsidRPr="5C515B70">
              <w:rPr>
                <w:rFonts w:eastAsia="Times New Roman"/>
                <w:b/>
                <w:bCs/>
                <w:color w:val="FFFFFF" w:themeColor="background1"/>
              </w:rPr>
              <w:t>19-</w:t>
            </w:r>
            <w:r w:rsidR="00EA745A">
              <w:rPr>
                <w:rFonts w:eastAsia="Times New Roman"/>
                <w:b/>
                <w:bCs/>
                <w:color w:val="FFFFFF" w:themeColor="background1"/>
              </w:rPr>
              <w:t>May</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219C5377" w:rsidR="00654509" w:rsidRPr="00654509" w:rsidRDefault="00EA745A" w:rsidP="5C515B70">
            <w:pPr>
              <w:spacing w:after="0" w:line="240" w:lineRule="auto"/>
              <w:ind w:left="0" w:firstLine="0"/>
              <w:jc w:val="center"/>
              <w:rPr>
                <w:rFonts w:eastAsia="Times New Roman"/>
              </w:rPr>
            </w:pPr>
            <w:r>
              <w:rPr>
                <w:rFonts w:eastAsia="Times New Roman"/>
              </w:rPr>
              <w:t>197.5</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236C4F61" w:rsidR="00654509" w:rsidRPr="00654509" w:rsidRDefault="00EA745A" w:rsidP="5C515B70">
            <w:pPr>
              <w:spacing w:after="0" w:line="240" w:lineRule="auto"/>
              <w:ind w:left="0" w:firstLine="0"/>
              <w:jc w:val="center"/>
              <w:rPr>
                <w:rFonts w:eastAsia="Times New Roman"/>
              </w:rPr>
            </w:pPr>
            <w:r>
              <w:rPr>
                <w:rFonts w:eastAsia="Times New Roman"/>
              </w:rPr>
              <w:t>231.9</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125ADFD6" w:rsidR="00654509" w:rsidRPr="00654509" w:rsidRDefault="5C515B70" w:rsidP="5C515B70">
            <w:pPr>
              <w:spacing w:after="0" w:line="240" w:lineRule="auto"/>
              <w:ind w:left="0" w:firstLine="0"/>
              <w:jc w:val="center"/>
              <w:rPr>
                <w:rFonts w:eastAsia="Times New Roman"/>
              </w:rPr>
            </w:pPr>
            <w:r w:rsidRPr="5C515B70">
              <w:rPr>
                <w:rFonts w:eastAsia="Times New Roman"/>
              </w:rPr>
              <w:t>6</w:t>
            </w:r>
            <w:r w:rsidR="00EA745A">
              <w:rPr>
                <w:rFonts w:eastAsia="Times New Roman"/>
              </w:rPr>
              <w:t>6</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4BEBD876" w:rsidR="00654509" w:rsidRPr="00654509" w:rsidRDefault="5C515B70" w:rsidP="5C515B70">
            <w:pPr>
              <w:spacing w:after="0" w:line="240" w:lineRule="auto"/>
              <w:ind w:left="0" w:firstLine="0"/>
              <w:jc w:val="center"/>
              <w:rPr>
                <w:rFonts w:eastAsia="Times New Roman"/>
              </w:rPr>
            </w:pPr>
            <w:r w:rsidRPr="5C515B70">
              <w:rPr>
                <w:rFonts w:eastAsia="Times New Roman"/>
              </w:rPr>
              <w:t>67</w:t>
            </w:r>
            <w:r w:rsidR="00EA745A">
              <w:rPr>
                <w:rFonts w:eastAsia="Times New Roman"/>
              </w:rPr>
              <w:t>.11</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1AC27FB1" w:rsidR="00654509" w:rsidRPr="00654509" w:rsidRDefault="00EA745A" w:rsidP="5C515B70">
            <w:pPr>
              <w:spacing w:after="0" w:line="240" w:lineRule="auto"/>
              <w:ind w:left="0" w:firstLine="0"/>
              <w:jc w:val="center"/>
              <w:rPr>
                <w:rFonts w:eastAsia="Times New Roman"/>
              </w:rPr>
            </w:pPr>
            <w:r>
              <w:rPr>
                <w:rFonts w:eastAsia="Times New Roman"/>
              </w:rPr>
              <w:t>-15%</w:t>
            </w:r>
          </w:p>
        </w:tc>
      </w:tr>
      <w:tr w:rsidR="00654509" w:rsidRPr="00654509" w14:paraId="1609FF99" w14:textId="77777777" w:rsidTr="5C515B70">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0A1E9798" w:rsidR="00654509" w:rsidRPr="00654509" w:rsidRDefault="5C515B70" w:rsidP="5C515B70">
            <w:pPr>
              <w:spacing w:after="0" w:line="240" w:lineRule="auto"/>
              <w:ind w:left="0" w:firstLine="0"/>
              <w:rPr>
                <w:rFonts w:eastAsia="Times New Roman"/>
                <w:b/>
                <w:bCs/>
                <w:color w:val="FFFFFF" w:themeColor="background1"/>
              </w:rPr>
            </w:pPr>
            <w:r w:rsidRPr="5C515B70">
              <w:rPr>
                <w:rFonts w:eastAsia="Times New Roman"/>
                <w:b/>
                <w:bCs/>
                <w:color w:val="FFFFFF" w:themeColor="background1"/>
              </w:rPr>
              <w:t>19-</w:t>
            </w:r>
            <w:r w:rsidR="00EA745A">
              <w:rPr>
                <w:rFonts w:eastAsia="Times New Roman"/>
                <w:b/>
                <w:bCs/>
                <w:color w:val="FFFFFF" w:themeColor="background1"/>
              </w:rPr>
              <w:t>Jun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78D7D91F" w:rsidR="00654509" w:rsidRPr="00654509" w:rsidRDefault="00EA745A" w:rsidP="5C515B70">
            <w:pPr>
              <w:spacing w:after="0" w:line="240" w:lineRule="auto"/>
              <w:ind w:left="0" w:firstLine="0"/>
              <w:jc w:val="center"/>
              <w:rPr>
                <w:rFonts w:eastAsia="Times New Roman"/>
              </w:rPr>
            </w:pPr>
            <w:r>
              <w:rPr>
                <w:rFonts w:eastAsia="Times New Roman"/>
              </w:rPr>
              <w:t>235.31</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762342E5" w:rsidR="00654509" w:rsidRPr="00654509" w:rsidRDefault="00EA745A" w:rsidP="5C515B70">
            <w:pPr>
              <w:spacing w:after="0" w:line="240" w:lineRule="auto"/>
              <w:ind w:left="0" w:firstLine="0"/>
              <w:jc w:val="center"/>
              <w:rPr>
                <w:rFonts w:eastAsia="Times New Roman"/>
              </w:rPr>
            </w:pPr>
            <w:r>
              <w:rPr>
                <w:rFonts w:eastAsia="Times New Roman"/>
              </w:rPr>
              <w:t>247.6</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627DBA1A" w:rsidR="00654509" w:rsidRPr="00654509" w:rsidRDefault="00EA745A" w:rsidP="5C515B70">
            <w:pPr>
              <w:spacing w:after="0" w:line="240" w:lineRule="auto"/>
              <w:ind w:left="0" w:firstLine="0"/>
              <w:jc w:val="center"/>
              <w:rPr>
                <w:rFonts w:eastAsia="Times New Roman"/>
              </w:rPr>
            </w:pPr>
            <w:r>
              <w:rPr>
                <w:rFonts w:eastAsia="Times New Roman"/>
              </w:rPr>
              <w:t>80</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0F5D4361" w:rsidR="00654509" w:rsidRPr="00654509" w:rsidRDefault="5C515B70" w:rsidP="5C515B70">
            <w:pPr>
              <w:spacing w:after="0" w:line="240" w:lineRule="auto"/>
              <w:ind w:left="0" w:firstLine="0"/>
              <w:jc w:val="center"/>
              <w:rPr>
                <w:rFonts w:eastAsia="Times New Roman"/>
              </w:rPr>
            </w:pPr>
            <w:r w:rsidRPr="5C515B70">
              <w:rPr>
                <w:rFonts w:eastAsia="Times New Roman"/>
              </w:rPr>
              <w:t>7</w:t>
            </w:r>
            <w:r w:rsidR="00EA745A">
              <w:rPr>
                <w:rFonts w:eastAsia="Times New Roman"/>
              </w:rPr>
              <w:t>4.22</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2899F615" w:rsidR="00654509" w:rsidRPr="00654509" w:rsidRDefault="5C515B70" w:rsidP="5C515B70">
            <w:pPr>
              <w:spacing w:after="0" w:line="240" w:lineRule="auto"/>
              <w:ind w:left="0" w:firstLine="0"/>
              <w:jc w:val="center"/>
              <w:rPr>
                <w:rFonts w:eastAsia="Times New Roman"/>
              </w:rPr>
            </w:pPr>
            <w:r w:rsidRPr="5C515B70">
              <w:rPr>
                <w:rFonts w:eastAsia="Times New Roman"/>
              </w:rPr>
              <w:t>-</w:t>
            </w:r>
            <w:r w:rsidR="00EA745A">
              <w:rPr>
                <w:rFonts w:eastAsia="Times New Roman"/>
              </w:rPr>
              <w:t>5%</w:t>
            </w:r>
          </w:p>
        </w:tc>
      </w:tr>
    </w:tbl>
    <w:p w14:paraId="5165650C" w14:textId="35823E73" w:rsidR="00684DE8" w:rsidRDefault="5C515B70" w:rsidP="5C515B70">
      <w:pPr>
        <w:ind w:left="-4"/>
        <w:rPr>
          <w:color w:val="auto"/>
        </w:rPr>
      </w:pPr>
      <w:r w:rsidRPr="5C515B70">
        <w:rPr>
          <w:color w:val="auto"/>
        </w:rPr>
        <w:t xml:space="preserve"> </w:t>
      </w:r>
    </w:p>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lastRenderedPageBreak/>
        <w:t xml:space="preserve">| Operations &amp; Maintenance  </w:t>
      </w:r>
    </w:p>
    <w:p w14:paraId="7BE6E587" w14:textId="36419AE7" w:rsidR="00CE3959" w:rsidRDefault="00C57C89">
      <w:pPr>
        <w:ind w:left="-4"/>
      </w:pPr>
      <w:r>
        <w:t xml:space="preserve">The following table details all operations/maintenance related issues and corrective actions </w:t>
      </w:r>
      <w:r w:rsidRPr="00654509">
        <w:t>for Q</w:t>
      </w:r>
      <w:r w:rsidR="00EA745A">
        <w:t>2</w:t>
      </w:r>
      <w:r w:rsidRPr="00654509">
        <w:t xml:space="preserve"> 201</w:t>
      </w:r>
      <w:r w:rsidR="00EA745A">
        <w:t>9</w:t>
      </w:r>
      <w:r w:rsidRPr="00654509">
        <w:t>.</w:t>
      </w:r>
      <w:r>
        <w:t xml:space="preserve">  </w:t>
      </w:r>
    </w:p>
    <w:p w14:paraId="64006DB4" w14:textId="5676ACD7" w:rsidR="00CE3959" w:rsidRDefault="00C57C89">
      <w:pPr>
        <w:spacing w:after="173" w:line="259" w:lineRule="auto"/>
        <w:ind w:left="1" w:firstLine="0"/>
        <w:jc w:val="left"/>
      </w:pPr>
      <w:r>
        <w:t xml:space="preserve"> </w:t>
      </w:r>
      <w:r w:rsidR="00EA745A">
        <w:t xml:space="preserve">There were no maintenance issues during Q2 2019.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5C515B70">
        <w:trPr>
          <w:trHeight w:val="470"/>
        </w:trPr>
        <w:tc>
          <w:tcPr>
            <w:tcW w:w="1323"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0582F2EF" w14:textId="2EC34E18" w:rsidR="00654509" w:rsidRPr="00654509" w:rsidRDefault="5C515B70" w:rsidP="5C515B70">
            <w:pPr>
              <w:spacing w:after="0" w:line="240" w:lineRule="auto"/>
              <w:ind w:left="0" w:firstLine="0"/>
              <w:jc w:val="center"/>
              <w:rPr>
                <w:rFonts w:eastAsia="Times New Roman"/>
                <w:b/>
                <w:bCs/>
                <w:color w:val="FFFFFF" w:themeColor="background1"/>
              </w:rPr>
            </w:pPr>
            <w:r w:rsidRPr="5C515B70">
              <w:rPr>
                <w:rFonts w:eastAsia="Times New Roman"/>
                <w:b/>
                <w:bCs/>
                <w:color w:val="FFFFFF" w:themeColor="background1"/>
              </w:rPr>
              <w:t xml:space="preserve">Orland </w:t>
            </w:r>
          </w:p>
        </w:tc>
        <w:tc>
          <w:tcPr>
            <w:tcW w:w="1400" w:type="dxa"/>
            <w:tcBorders>
              <w:top w:val="nil"/>
              <w:left w:val="nil"/>
              <w:bottom w:val="nil"/>
              <w:right w:val="single" w:sz="8" w:space="0" w:color="FFFFFF" w:themeColor="background1"/>
            </w:tcBorders>
            <w:shd w:val="clear" w:color="auto" w:fill="4472C4" w:themeFill="accent1"/>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hemeColor="background1"/>
            </w:tcBorders>
            <w:shd w:val="clear" w:color="auto" w:fill="4472C4" w:themeFill="accent1"/>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hemeColor="background1"/>
            </w:tcBorders>
            <w:shd w:val="clear" w:color="auto" w:fill="4472C4" w:themeFill="accent1"/>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hemeColor="background1"/>
            </w:tcBorders>
            <w:shd w:val="clear" w:color="auto" w:fill="4472C4" w:themeFill="accent1"/>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5C515B70">
        <w:trPr>
          <w:trHeight w:val="253"/>
        </w:trPr>
        <w:tc>
          <w:tcPr>
            <w:tcW w:w="132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0E91DF1" w14:textId="3A57E5B8" w:rsidR="00654509" w:rsidRPr="00654509" w:rsidRDefault="5C515B70" w:rsidP="5C515B70">
            <w:pPr>
              <w:spacing w:after="0" w:line="240" w:lineRule="auto"/>
              <w:ind w:left="0" w:firstLine="0"/>
              <w:jc w:val="left"/>
              <w:rPr>
                <w:rFonts w:eastAsia="Times New Roman"/>
              </w:rPr>
            </w:pPr>
            <w:r w:rsidRPr="5C515B70">
              <w:rPr>
                <w:rFonts w:eastAsia="Times New Roman"/>
              </w:rPr>
              <w:t xml:space="preserve"> NA</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2E724E"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854"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E3E650"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71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77777777" w:rsidR="00B011DA" w:rsidRDefault="00B011DA" w:rsidP="00195B24">
      <w:pPr>
        <w:ind w:left="0" w:firstLine="0"/>
      </w:pPr>
    </w:p>
    <w:p w14:paraId="17276F41" w14:textId="58CFD9B5" w:rsidR="008C439D" w:rsidRPr="008C439D" w:rsidRDefault="00195B24" w:rsidP="00684DE8">
      <w:pPr>
        <w:pStyle w:val="Heading1"/>
        <w:ind w:left="219" w:hanging="233"/>
      </w:pPr>
      <w:r>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6967FDFF"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w:t>
            </w:r>
            <w:r w:rsidR="00E70176">
              <w:rPr>
                <w:rFonts w:eastAsia="Times New Roman"/>
                <w:b/>
                <w:bCs/>
                <w:color w:val="FFFFFF"/>
              </w:rPr>
              <w:t>–</w:t>
            </w:r>
            <w:r w:rsidR="00654509" w:rsidRPr="00654509">
              <w:rPr>
                <w:rFonts w:eastAsia="Times New Roman"/>
                <w:b/>
                <w:bCs/>
                <w:color w:val="FFFFFF"/>
              </w:rPr>
              <w:t xml:space="preserve"> </w:t>
            </w:r>
            <w:r w:rsidR="00E70176">
              <w:rPr>
                <w:rFonts w:eastAsia="Times New Roman"/>
                <w:b/>
                <w:bCs/>
                <w:color w:val="FFFFFF"/>
              </w:rPr>
              <w:t xml:space="preserve">April </w:t>
            </w:r>
          </w:p>
        </w:tc>
        <w:tc>
          <w:tcPr>
            <w:tcW w:w="4050" w:type="dxa"/>
            <w:tcBorders>
              <w:top w:val="nil"/>
              <w:left w:val="nil"/>
              <w:bottom w:val="single" w:sz="8" w:space="0" w:color="FFFFFF"/>
              <w:right w:val="single" w:sz="8" w:space="0" w:color="FFFFFF"/>
            </w:tcBorders>
            <w:shd w:val="clear" w:color="000000" w:fill="D9E1F3"/>
            <w:vAlign w:val="center"/>
          </w:tcPr>
          <w:p w14:paraId="7288745C" w14:textId="27937B91" w:rsidR="00654509" w:rsidRDefault="00EB2F18" w:rsidP="00654509">
            <w:pPr>
              <w:jc w:val="center"/>
            </w:pPr>
            <w:r>
              <w:t>$11,674.89</w:t>
            </w:r>
          </w:p>
        </w:tc>
        <w:tc>
          <w:tcPr>
            <w:tcW w:w="3330" w:type="dxa"/>
            <w:tcBorders>
              <w:top w:val="nil"/>
              <w:left w:val="nil"/>
              <w:bottom w:val="single" w:sz="8" w:space="0" w:color="FFFFFF"/>
              <w:right w:val="single" w:sz="8" w:space="0" w:color="FFFFFF"/>
            </w:tcBorders>
            <w:shd w:val="clear" w:color="000000" w:fill="D9E1F3"/>
            <w:vAlign w:val="center"/>
          </w:tcPr>
          <w:p w14:paraId="77E4E322" w14:textId="492DD236" w:rsidR="00654509" w:rsidRDefault="004F1E56" w:rsidP="00654509">
            <w:pPr>
              <w:jc w:val="center"/>
            </w:pPr>
            <w:r>
              <w:t>$11,674.89</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43DE2AC8"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E70176">
              <w:rPr>
                <w:rFonts w:eastAsia="Times New Roman"/>
                <w:b/>
                <w:bCs/>
                <w:color w:val="FFFFFF"/>
              </w:rPr>
              <w:t>–</w:t>
            </w:r>
            <w:r w:rsidRPr="00654509">
              <w:rPr>
                <w:rFonts w:eastAsia="Times New Roman"/>
                <w:b/>
                <w:bCs/>
                <w:color w:val="FFFFFF"/>
              </w:rPr>
              <w:t xml:space="preserve"> </w:t>
            </w:r>
            <w:r w:rsidR="00E70176">
              <w:rPr>
                <w:rFonts w:eastAsia="Times New Roman"/>
                <w:b/>
                <w:bCs/>
                <w:color w:val="FFFFFF"/>
              </w:rPr>
              <w:t xml:space="preserve">May </w:t>
            </w:r>
          </w:p>
        </w:tc>
        <w:tc>
          <w:tcPr>
            <w:tcW w:w="4050" w:type="dxa"/>
            <w:tcBorders>
              <w:top w:val="nil"/>
              <w:left w:val="nil"/>
              <w:bottom w:val="single" w:sz="8" w:space="0" w:color="FFFFFF"/>
              <w:right w:val="single" w:sz="8" w:space="0" w:color="FFFFFF"/>
            </w:tcBorders>
            <w:shd w:val="clear" w:color="000000" w:fill="D9E1F3"/>
            <w:vAlign w:val="center"/>
          </w:tcPr>
          <w:p w14:paraId="02B84D1A" w14:textId="6771D10A" w:rsidR="00654509" w:rsidRDefault="004F1E56" w:rsidP="00654509">
            <w:pPr>
              <w:jc w:val="center"/>
              <w:outlineLvl w:val="0"/>
            </w:pPr>
            <w:r>
              <w:rPr>
                <w:rFonts w:eastAsia="Times New Roman"/>
                <w:color w:val="auto"/>
                <w:sz w:val="18"/>
                <w:szCs w:val="18"/>
              </w:rPr>
              <w:t>$24,125.68</w:t>
            </w:r>
          </w:p>
        </w:tc>
        <w:tc>
          <w:tcPr>
            <w:tcW w:w="3330" w:type="dxa"/>
            <w:tcBorders>
              <w:top w:val="nil"/>
              <w:left w:val="nil"/>
              <w:bottom w:val="single" w:sz="8" w:space="0" w:color="FFFFFF"/>
              <w:right w:val="single" w:sz="8" w:space="0" w:color="FFFFFF"/>
            </w:tcBorders>
            <w:shd w:val="clear" w:color="000000" w:fill="D9E1F3"/>
            <w:vAlign w:val="center"/>
          </w:tcPr>
          <w:p w14:paraId="7372A0C1" w14:textId="146D5D07" w:rsidR="00654509" w:rsidRDefault="004F1E56" w:rsidP="00654509">
            <w:pPr>
              <w:jc w:val="center"/>
              <w:outlineLvl w:val="0"/>
            </w:pPr>
            <w:r>
              <w:rPr>
                <w:rFonts w:eastAsia="Times New Roman"/>
                <w:color w:val="auto"/>
                <w:sz w:val="18"/>
                <w:szCs w:val="18"/>
              </w:rPr>
              <w:t>$24,125.68</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4B2AE9BE"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Pr="00654509">
              <w:rPr>
                <w:rFonts w:eastAsia="Times New Roman"/>
                <w:b/>
                <w:bCs/>
                <w:color w:val="FFFFFF"/>
              </w:rPr>
              <w:t xml:space="preserve"> </w:t>
            </w:r>
            <w:r w:rsidR="00E70176">
              <w:rPr>
                <w:rFonts w:eastAsia="Times New Roman"/>
                <w:b/>
                <w:bCs/>
                <w:color w:val="FFFFFF"/>
              </w:rPr>
              <w:t xml:space="preserve">June </w:t>
            </w:r>
          </w:p>
        </w:tc>
        <w:tc>
          <w:tcPr>
            <w:tcW w:w="4050" w:type="dxa"/>
            <w:tcBorders>
              <w:top w:val="nil"/>
              <w:left w:val="nil"/>
              <w:bottom w:val="single" w:sz="8" w:space="0" w:color="FFFFFF"/>
              <w:right w:val="single" w:sz="8" w:space="0" w:color="FFFFFF"/>
            </w:tcBorders>
            <w:shd w:val="clear" w:color="000000" w:fill="D9E1F3"/>
            <w:vAlign w:val="center"/>
          </w:tcPr>
          <w:p w14:paraId="7F69D585" w14:textId="31680ACC" w:rsidR="00654509" w:rsidRDefault="004F1E56" w:rsidP="00654509">
            <w:pPr>
              <w:jc w:val="center"/>
              <w:outlineLvl w:val="0"/>
            </w:pPr>
            <w:r>
              <w:rPr>
                <w:rFonts w:eastAsia="Times New Roman"/>
                <w:color w:val="auto"/>
                <w:sz w:val="18"/>
                <w:szCs w:val="18"/>
              </w:rPr>
              <w:t>$26,409.84</w:t>
            </w:r>
          </w:p>
        </w:tc>
        <w:tc>
          <w:tcPr>
            <w:tcW w:w="3330" w:type="dxa"/>
            <w:tcBorders>
              <w:top w:val="nil"/>
              <w:left w:val="nil"/>
              <w:bottom w:val="single" w:sz="8" w:space="0" w:color="FFFFFF"/>
              <w:right w:val="single" w:sz="8" w:space="0" w:color="FFFFFF"/>
            </w:tcBorders>
            <w:shd w:val="clear" w:color="000000" w:fill="D9E1F3"/>
            <w:vAlign w:val="center"/>
          </w:tcPr>
          <w:p w14:paraId="1A315DC2" w14:textId="7F72FBF6" w:rsidR="00654509" w:rsidRDefault="004F1E56" w:rsidP="00654509">
            <w:pPr>
              <w:jc w:val="center"/>
              <w:outlineLvl w:val="0"/>
            </w:pPr>
            <w:r>
              <w:rPr>
                <w:rFonts w:eastAsia="Times New Roman"/>
                <w:color w:val="auto"/>
                <w:sz w:val="18"/>
                <w:szCs w:val="18"/>
              </w:rPr>
              <w:t>$26,409.84</w:t>
            </w:r>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69040" w14:textId="77777777" w:rsidR="00D24174" w:rsidRDefault="00D24174">
      <w:pPr>
        <w:spacing w:after="0" w:line="240" w:lineRule="auto"/>
      </w:pPr>
      <w:r>
        <w:separator/>
      </w:r>
    </w:p>
  </w:endnote>
  <w:endnote w:type="continuationSeparator" w:id="0">
    <w:p w14:paraId="522CD534" w14:textId="77777777" w:rsidR="00D24174" w:rsidRDefault="00D2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E6F3" w14:textId="77777777" w:rsidR="00D24174" w:rsidRDefault="00D24174">
      <w:pPr>
        <w:spacing w:after="0" w:line="240" w:lineRule="auto"/>
      </w:pPr>
      <w:r>
        <w:separator/>
      </w:r>
    </w:p>
  </w:footnote>
  <w:footnote w:type="continuationSeparator" w:id="0">
    <w:p w14:paraId="5A3D9574" w14:textId="77777777" w:rsidR="00D24174" w:rsidRDefault="00D2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2602D89C" w:rsidR="00696B0E" w:rsidRDefault="00696B0E" w:rsidP="00696B0E">
    <w:pPr>
      <w:pStyle w:val="Header"/>
      <w:jc w:val="right"/>
    </w:pPr>
    <w:r w:rsidRPr="00CB140D">
      <w:t>Quarterly Performance Summary – Q</w:t>
    </w:r>
    <w:r w:rsidR="00A92D25">
      <w:t>2</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4"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0A8"/>
    <w:rsid w:val="0000561E"/>
    <w:rsid w:val="0001659C"/>
    <w:rsid w:val="00020F4F"/>
    <w:rsid w:val="00021E28"/>
    <w:rsid w:val="000251F4"/>
    <w:rsid w:val="00026639"/>
    <w:rsid w:val="000650C8"/>
    <w:rsid w:val="000700C9"/>
    <w:rsid w:val="00070E22"/>
    <w:rsid w:val="00090107"/>
    <w:rsid w:val="00090B99"/>
    <w:rsid w:val="000A1FF9"/>
    <w:rsid w:val="000B3A95"/>
    <w:rsid w:val="000B577F"/>
    <w:rsid w:val="000B7E0E"/>
    <w:rsid w:val="000C3640"/>
    <w:rsid w:val="000C464B"/>
    <w:rsid w:val="000D2DE6"/>
    <w:rsid w:val="000E5101"/>
    <w:rsid w:val="000F1BB6"/>
    <w:rsid w:val="00101B4A"/>
    <w:rsid w:val="0010303B"/>
    <w:rsid w:val="001052CA"/>
    <w:rsid w:val="0011375C"/>
    <w:rsid w:val="00113952"/>
    <w:rsid w:val="00120BEE"/>
    <w:rsid w:val="00127192"/>
    <w:rsid w:val="00140ED3"/>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18D9"/>
    <w:rsid w:val="001C3931"/>
    <w:rsid w:val="001C4358"/>
    <w:rsid w:val="001C5708"/>
    <w:rsid w:val="001E03F4"/>
    <w:rsid w:val="001F348B"/>
    <w:rsid w:val="001F405C"/>
    <w:rsid w:val="001F4D13"/>
    <w:rsid w:val="00203060"/>
    <w:rsid w:val="002124CF"/>
    <w:rsid w:val="00212889"/>
    <w:rsid w:val="0021428F"/>
    <w:rsid w:val="00222A8A"/>
    <w:rsid w:val="00230E0D"/>
    <w:rsid w:val="00235240"/>
    <w:rsid w:val="00237B72"/>
    <w:rsid w:val="002419C8"/>
    <w:rsid w:val="00241EDD"/>
    <w:rsid w:val="00265A37"/>
    <w:rsid w:val="002676EE"/>
    <w:rsid w:val="00283B5B"/>
    <w:rsid w:val="00290925"/>
    <w:rsid w:val="002C40DF"/>
    <w:rsid w:val="002D17C2"/>
    <w:rsid w:val="002D4C70"/>
    <w:rsid w:val="002E0D1D"/>
    <w:rsid w:val="002E7B0C"/>
    <w:rsid w:val="002F46A1"/>
    <w:rsid w:val="00304948"/>
    <w:rsid w:val="00311AF8"/>
    <w:rsid w:val="00316D40"/>
    <w:rsid w:val="003174AD"/>
    <w:rsid w:val="00324995"/>
    <w:rsid w:val="003279EF"/>
    <w:rsid w:val="003440FD"/>
    <w:rsid w:val="003540D8"/>
    <w:rsid w:val="00362A42"/>
    <w:rsid w:val="00365EDD"/>
    <w:rsid w:val="003767E8"/>
    <w:rsid w:val="00381BEA"/>
    <w:rsid w:val="00386E98"/>
    <w:rsid w:val="00392099"/>
    <w:rsid w:val="003969BB"/>
    <w:rsid w:val="003A0212"/>
    <w:rsid w:val="003A0C70"/>
    <w:rsid w:val="003A6AFF"/>
    <w:rsid w:val="003C0EEA"/>
    <w:rsid w:val="003C738E"/>
    <w:rsid w:val="003D0948"/>
    <w:rsid w:val="003D5F41"/>
    <w:rsid w:val="003D60FA"/>
    <w:rsid w:val="003E32CD"/>
    <w:rsid w:val="003F0E4B"/>
    <w:rsid w:val="00406457"/>
    <w:rsid w:val="00411520"/>
    <w:rsid w:val="00412F47"/>
    <w:rsid w:val="004378EF"/>
    <w:rsid w:val="00451D3A"/>
    <w:rsid w:val="00454851"/>
    <w:rsid w:val="0045486F"/>
    <w:rsid w:val="00487ADF"/>
    <w:rsid w:val="00493A2D"/>
    <w:rsid w:val="004976DB"/>
    <w:rsid w:val="004A273F"/>
    <w:rsid w:val="004A3057"/>
    <w:rsid w:val="004A7ED8"/>
    <w:rsid w:val="004B34FF"/>
    <w:rsid w:val="004C76CA"/>
    <w:rsid w:val="004E0544"/>
    <w:rsid w:val="004E488A"/>
    <w:rsid w:val="004E65F5"/>
    <w:rsid w:val="004E6A41"/>
    <w:rsid w:val="004E767C"/>
    <w:rsid w:val="004F1E56"/>
    <w:rsid w:val="004F22A8"/>
    <w:rsid w:val="004F7320"/>
    <w:rsid w:val="00511FB8"/>
    <w:rsid w:val="00524376"/>
    <w:rsid w:val="0055008D"/>
    <w:rsid w:val="0058236B"/>
    <w:rsid w:val="005832B5"/>
    <w:rsid w:val="00596C06"/>
    <w:rsid w:val="0059799B"/>
    <w:rsid w:val="005B0232"/>
    <w:rsid w:val="005B4D0D"/>
    <w:rsid w:val="005B7DF2"/>
    <w:rsid w:val="005C0697"/>
    <w:rsid w:val="005C3EF7"/>
    <w:rsid w:val="005E1EDC"/>
    <w:rsid w:val="005F0FB3"/>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62059"/>
    <w:rsid w:val="00662453"/>
    <w:rsid w:val="00663320"/>
    <w:rsid w:val="0066439D"/>
    <w:rsid w:val="006845B8"/>
    <w:rsid w:val="00684DE8"/>
    <w:rsid w:val="006914E5"/>
    <w:rsid w:val="006958F8"/>
    <w:rsid w:val="00696B0E"/>
    <w:rsid w:val="006A6240"/>
    <w:rsid w:val="006D375C"/>
    <w:rsid w:val="006D4811"/>
    <w:rsid w:val="006D7E6D"/>
    <w:rsid w:val="006F0D74"/>
    <w:rsid w:val="0072672E"/>
    <w:rsid w:val="0073138C"/>
    <w:rsid w:val="00733DE2"/>
    <w:rsid w:val="00743620"/>
    <w:rsid w:val="007439F4"/>
    <w:rsid w:val="00752B7C"/>
    <w:rsid w:val="00755725"/>
    <w:rsid w:val="00755BAE"/>
    <w:rsid w:val="00761023"/>
    <w:rsid w:val="00764B66"/>
    <w:rsid w:val="007779FB"/>
    <w:rsid w:val="007A2790"/>
    <w:rsid w:val="007B0E53"/>
    <w:rsid w:val="007D0C8A"/>
    <w:rsid w:val="007E0564"/>
    <w:rsid w:val="007E226C"/>
    <w:rsid w:val="007E55C8"/>
    <w:rsid w:val="00800E98"/>
    <w:rsid w:val="00801BB0"/>
    <w:rsid w:val="0081220C"/>
    <w:rsid w:val="00817BF1"/>
    <w:rsid w:val="008519B6"/>
    <w:rsid w:val="008527E7"/>
    <w:rsid w:val="008742BD"/>
    <w:rsid w:val="00887FB3"/>
    <w:rsid w:val="008930D0"/>
    <w:rsid w:val="00895AE6"/>
    <w:rsid w:val="008C2762"/>
    <w:rsid w:val="008C439D"/>
    <w:rsid w:val="008D6566"/>
    <w:rsid w:val="008E5473"/>
    <w:rsid w:val="008F0A07"/>
    <w:rsid w:val="008F221C"/>
    <w:rsid w:val="008F2342"/>
    <w:rsid w:val="008F484A"/>
    <w:rsid w:val="009042C1"/>
    <w:rsid w:val="00904FF0"/>
    <w:rsid w:val="00911AC4"/>
    <w:rsid w:val="0092159E"/>
    <w:rsid w:val="0092277A"/>
    <w:rsid w:val="00922FA8"/>
    <w:rsid w:val="00926A2D"/>
    <w:rsid w:val="00934D57"/>
    <w:rsid w:val="00941CA2"/>
    <w:rsid w:val="00943841"/>
    <w:rsid w:val="009634C1"/>
    <w:rsid w:val="00965CFC"/>
    <w:rsid w:val="00971BD4"/>
    <w:rsid w:val="00994585"/>
    <w:rsid w:val="009A03FF"/>
    <w:rsid w:val="009A0626"/>
    <w:rsid w:val="009B0772"/>
    <w:rsid w:val="009B6929"/>
    <w:rsid w:val="009C532C"/>
    <w:rsid w:val="009C53E3"/>
    <w:rsid w:val="009E50E1"/>
    <w:rsid w:val="009E7760"/>
    <w:rsid w:val="009F04F9"/>
    <w:rsid w:val="009F32C0"/>
    <w:rsid w:val="009F5B42"/>
    <w:rsid w:val="00A15F0D"/>
    <w:rsid w:val="00A2640C"/>
    <w:rsid w:val="00A34D67"/>
    <w:rsid w:val="00A35823"/>
    <w:rsid w:val="00A47C29"/>
    <w:rsid w:val="00A547EF"/>
    <w:rsid w:val="00A54E77"/>
    <w:rsid w:val="00A676D8"/>
    <w:rsid w:val="00A70D1F"/>
    <w:rsid w:val="00A71EA0"/>
    <w:rsid w:val="00A73670"/>
    <w:rsid w:val="00A76A0C"/>
    <w:rsid w:val="00A92D25"/>
    <w:rsid w:val="00AA142E"/>
    <w:rsid w:val="00AB6156"/>
    <w:rsid w:val="00AC274B"/>
    <w:rsid w:val="00AC302B"/>
    <w:rsid w:val="00AC6597"/>
    <w:rsid w:val="00AD0876"/>
    <w:rsid w:val="00AD5B35"/>
    <w:rsid w:val="00AD7C49"/>
    <w:rsid w:val="00AE1ACC"/>
    <w:rsid w:val="00B0033F"/>
    <w:rsid w:val="00B011DA"/>
    <w:rsid w:val="00B04B55"/>
    <w:rsid w:val="00B04BB5"/>
    <w:rsid w:val="00B14A79"/>
    <w:rsid w:val="00B20697"/>
    <w:rsid w:val="00B252D4"/>
    <w:rsid w:val="00B27752"/>
    <w:rsid w:val="00B4233C"/>
    <w:rsid w:val="00B46B52"/>
    <w:rsid w:val="00B71EB6"/>
    <w:rsid w:val="00B74FC1"/>
    <w:rsid w:val="00B7751E"/>
    <w:rsid w:val="00B81337"/>
    <w:rsid w:val="00B845D9"/>
    <w:rsid w:val="00B858AB"/>
    <w:rsid w:val="00B86A52"/>
    <w:rsid w:val="00B958B0"/>
    <w:rsid w:val="00B95C1C"/>
    <w:rsid w:val="00B95FCF"/>
    <w:rsid w:val="00BA059D"/>
    <w:rsid w:val="00BA66DF"/>
    <w:rsid w:val="00BC112A"/>
    <w:rsid w:val="00BD539C"/>
    <w:rsid w:val="00BD5AD6"/>
    <w:rsid w:val="00BE71E4"/>
    <w:rsid w:val="00BF1CD4"/>
    <w:rsid w:val="00BF3BEA"/>
    <w:rsid w:val="00C01513"/>
    <w:rsid w:val="00C11430"/>
    <w:rsid w:val="00C373B0"/>
    <w:rsid w:val="00C44C6C"/>
    <w:rsid w:val="00C53502"/>
    <w:rsid w:val="00C5369F"/>
    <w:rsid w:val="00C57674"/>
    <w:rsid w:val="00C577FC"/>
    <w:rsid w:val="00C57C89"/>
    <w:rsid w:val="00C66835"/>
    <w:rsid w:val="00C72075"/>
    <w:rsid w:val="00C72984"/>
    <w:rsid w:val="00C73182"/>
    <w:rsid w:val="00C76B5B"/>
    <w:rsid w:val="00C86BEB"/>
    <w:rsid w:val="00C91FCB"/>
    <w:rsid w:val="00CA7CF4"/>
    <w:rsid w:val="00CB140D"/>
    <w:rsid w:val="00CB3FD9"/>
    <w:rsid w:val="00CC34C2"/>
    <w:rsid w:val="00CD7914"/>
    <w:rsid w:val="00CE3959"/>
    <w:rsid w:val="00CE49F0"/>
    <w:rsid w:val="00CF0DEB"/>
    <w:rsid w:val="00D003FA"/>
    <w:rsid w:val="00D04063"/>
    <w:rsid w:val="00D16821"/>
    <w:rsid w:val="00D170C2"/>
    <w:rsid w:val="00D240AC"/>
    <w:rsid w:val="00D24174"/>
    <w:rsid w:val="00D26561"/>
    <w:rsid w:val="00D315BD"/>
    <w:rsid w:val="00D366C9"/>
    <w:rsid w:val="00D4600B"/>
    <w:rsid w:val="00D535AA"/>
    <w:rsid w:val="00D53638"/>
    <w:rsid w:val="00D55457"/>
    <w:rsid w:val="00D6628F"/>
    <w:rsid w:val="00D71638"/>
    <w:rsid w:val="00D72E6E"/>
    <w:rsid w:val="00D75804"/>
    <w:rsid w:val="00D77C5D"/>
    <w:rsid w:val="00D912F7"/>
    <w:rsid w:val="00D918EC"/>
    <w:rsid w:val="00D93768"/>
    <w:rsid w:val="00D93B03"/>
    <w:rsid w:val="00D9488B"/>
    <w:rsid w:val="00DA79B1"/>
    <w:rsid w:val="00DA7EC2"/>
    <w:rsid w:val="00DC757C"/>
    <w:rsid w:val="00DD6A48"/>
    <w:rsid w:val="00DE3FB7"/>
    <w:rsid w:val="00DE5493"/>
    <w:rsid w:val="00E0027F"/>
    <w:rsid w:val="00E20083"/>
    <w:rsid w:val="00E23F12"/>
    <w:rsid w:val="00E45979"/>
    <w:rsid w:val="00E461EB"/>
    <w:rsid w:val="00E4761D"/>
    <w:rsid w:val="00E47CA0"/>
    <w:rsid w:val="00E50DED"/>
    <w:rsid w:val="00E53A6B"/>
    <w:rsid w:val="00E61F4B"/>
    <w:rsid w:val="00E663EF"/>
    <w:rsid w:val="00E70176"/>
    <w:rsid w:val="00E737FE"/>
    <w:rsid w:val="00E74404"/>
    <w:rsid w:val="00E75834"/>
    <w:rsid w:val="00E8032F"/>
    <w:rsid w:val="00E80C9E"/>
    <w:rsid w:val="00E86E46"/>
    <w:rsid w:val="00E90815"/>
    <w:rsid w:val="00E91124"/>
    <w:rsid w:val="00E9254C"/>
    <w:rsid w:val="00E942C7"/>
    <w:rsid w:val="00EA745A"/>
    <w:rsid w:val="00EB08BB"/>
    <w:rsid w:val="00EB2F18"/>
    <w:rsid w:val="00EC0C8D"/>
    <w:rsid w:val="00EC7F8C"/>
    <w:rsid w:val="00ED2597"/>
    <w:rsid w:val="00F0023B"/>
    <w:rsid w:val="00F0260D"/>
    <w:rsid w:val="00F038FA"/>
    <w:rsid w:val="00F20020"/>
    <w:rsid w:val="00F22FF6"/>
    <w:rsid w:val="00F32323"/>
    <w:rsid w:val="00F36B56"/>
    <w:rsid w:val="00F47E13"/>
    <w:rsid w:val="00F51B34"/>
    <w:rsid w:val="00F55B1F"/>
    <w:rsid w:val="00F641DE"/>
    <w:rsid w:val="00F934E6"/>
    <w:rsid w:val="00F95771"/>
    <w:rsid w:val="00FB6A4B"/>
    <w:rsid w:val="00FC6FA9"/>
    <w:rsid w:val="00FD004C"/>
    <w:rsid w:val="00FD559A"/>
    <w:rsid w:val="00FD5F8C"/>
    <w:rsid w:val="00FD6815"/>
    <w:rsid w:val="00FE2C88"/>
    <w:rsid w:val="00FE56AA"/>
    <w:rsid w:val="3BE73E9B"/>
    <w:rsid w:val="5C51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annmac\Blue%20Sky%20Utility%20Dropbox\Asset%20Reporting\BSU%20Asset%20Management\NSG\NSG%20Colusa%20Reports\Colusa%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cat>
            <c:strRef>
              <c:f>'Colusa summary 2019'!$B$6:$B$8</c:f>
              <c:strCache>
                <c:ptCount val="3"/>
                <c:pt idx="0">
                  <c:v>18 - Jan</c:v>
                </c:pt>
                <c:pt idx="1">
                  <c:v>18 - Feb</c:v>
                </c:pt>
                <c:pt idx="2">
                  <c:v>18 - Mar</c:v>
                </c:pt>
              </c:strCache>
            </c:strRef>
          </c:cat>
          <c:val>
            <c:numRef>
              <c:f>'Colusa summary 2019'!$C$6:$C$8</c:f>
              <c:numCache>
                <c:formatCode>#,##0</c:formatCode>
                <c:ptCount val="3"/>
                <c:pt idx="0">
                  <c:v>30978</c:v>
                </c:pt>
                <c:pt idx="1">
                  <c:v>39251</c:v>
                </c:pt>
                <c:pt idx="2">
                  <c:v>69084</c:v>
                </c:pt>
              </c:numCache>
            </c:numRef>
          </c:val>
          <c:extLst>
            <c:ext xmlns:c16="http://schemas.microsoft.com/office/drawing/2014/chart" uri="{C3380CC4-5D6E-409C-BE32-E72D297353CC}">
              <c16:uniqueId val="{00000000-1C82-2944-83AE-417D37366517}"/>
            </c:ext>
          </c:extLst>
        </c:ser>
        <c:ser>
          <c:idx val="1"/>
          <c:order val="1"/>
          <c:spPr>
            <a:solidFill>
              <a:schemeClr val="accent2"/>
            </a:solidFill>
            <a:ln>
              <a:noFill/>
            </a:ln>
            <a:effectLst/>
          </c:spPr>
          <c:invertIfNegative val="0"/>
          <c:cat>
            <c:strRef>
              <c:f>'Colusa summary 2019'!$B$6:$B$8</c:f>
              <c:strCache>
                <c:ptCount val="3"/>
                <c:pt idx="0">
                  <c:v>18 - Jan</c:v>
                </c:pt>
                <c:pt idx="1">
                  <c:v>18 - Feb</c:v>
                </c:pt>
                <c:pt idx="2">
                  <c:v>18 - Mar</c:v>
                </c:pt>
              </c:strCache>
            </c:strRef>
          </c:cat>
          <c:val>
            <c:numRef>
              <c:f>'Colusa summary 2019'!$D$6:$D$8</c:f>
              <c:numCache>
                <c:formatCode>#,##0</c:formatCode>
                <c:ptCount val="3"/>
                <c:pt idx="0">
                  <c:v>32706</c:v>
                </c:pt>
                <c:pt idx="1">
                  <c:v>42104</c:v>
                </c:pt>
                <c:pt idx="2">
                  <c:v>63467</c:v>
                </c:pt>
              </c:numCache>
            </c:numRef>
          </c:val>
          <c:extLst>
            <c:ext xmlns:c16="http://schemas.microsoft.com/office/drawing/2014/chart" uri="{C3380CC4-5D6E-409C-BE32-E72D297353CC}">
              <c16:uniqueId val="{00000001-1C82-2944-83AE-417D37366517}"/>
            </c:ext>
          </c:extLst>
        </c:ser>
        <c:dLbls>
          <c:showLegendKey val="0"/>
          <c:showVal val="0"/>
          <c:showCatName val="0"/>
          <c:showSerName val="0"/>
          <c:showPercent val="0"/>
          <c:showBubbleSize val="0"/>
        </c:dLbls>
        <c:gapWidth val="219"/>
        <c:overlap val="-27"/>
        <c:axId val="519535120"/>
        <c:axId val="519540040"/>
      </c:barChart>
      <c:catAx>
        <c:axId val="51953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Q1 2019</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40040"/>
        <c:crosses val="autoZero"/>
        <c:auto val="1"/>
        <c:lblAlgn val="ctr"/>
        <c:lblOffset val="100"/>
        <c:noMultiLvlLbl val="0"/>
      </c:catAx>
      <c:valAx>
        <c:axId val="51954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35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3E69F-5B3B-4F00-BB00-97189D2A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Savy Chum</cp:lastModifiedBy>
  <cp:revision>11</cp:revision>
  <cp:lastPrinted>2018-10-16T18:33:00Z</cp:lastPrinted>
  <dcterms:created xsi:type="dcterms:W3CDTF">2019-07-08T15:00:00Z</dcterms:created>
  <dcterms:modified xsi:type="dcterms:W3CDTF">2019-07-22T19:58:00Z</dcterms:modified>
</cp:coreProperties>
</file>