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7C9D" w14:textId="77777777" w:rsidR="00CE3959" w:rsidRDefault="00C57C89">
      <w:pPr>
        <w:spacing w:after="158" w:line="259" w:lineRule="auto"/>
        <w:ind w:left="1" w:firstLine="0"/>
        <w:jc w:val="left"/>
      </w:pPr>
      <w:bookmarkStart w:id="0" w:name="_Hlk1669862"/>
      <w:bookmarkEnd w:id="0"/>
      <w:r>
        <w:t xml:space="preserve"> </w:t>
      </w:r>
    </w:p>
    <w:p w14:paraId="3C7C98EF" w14:textId="77777777" w:rsidR="00CE3959" w:rsidRDefault="00C57C89">
      <w:pPr>
        <w:spacing w:after="160" w:line="259" w:lineRule="auto"/>
        <w:ind w:left="1" w:firstLine="0"/>
        <w:jc w:val="left"/>
      </w:pPr>
      <w:r>
        <w:t xml:space="preserve"> </w:t>
      </w:r>
    </w:p>
    <w:p w14:paraId="1303D315" w14:textId="77777777" w:rsidR="00CE3959" w:rsidRDefault="00C57C89">
      <w:pPr>
        <w:spacing w:after="158" w:line="259" w:lineRule="auto"/>
        <w:ind w:left="1" w:firstLine="0"/>
        <w:jc w:val="left"/>
      </w:pPr>
      <w:r>
        <w:t xml:space="preserve"> </w:t>
      </w:r>
    </w:p>
    <w:p w14:paraId="14C58055" w14:textId="77777777" w:rsidR="00934D57" w:rsidRDefault="00934D57">
      <w:pPr>
        <w:spacing w:after="158" w:line="259" w:lineRule="auto"/>
        <w:ind w:left="1" w:firstLine="0"/>
        <w:jc w:val="left"/>
      </w:pPr>
    </w:p>
    <w:p w14:paraId="77D8FD17" w14:textId="77777777" w:rsidR="00934D57" w:rsidRDefault="00934D57">
      <w:pPr>
        <w:spacing w:after="158" w:line="259" w:lineRule="auto"/>
        <w:ind w:left="1" w:firstLine="0"/>
        <w:jc w:val="left"/>
      </w:pPr>
    </w:p>
    <w:p w14:paraId="5A724EBE" w14:textId="77777777" w:rsidR="00934D57" w:rsidRDefault="00934D57">
      <w:pPr>
        <w:spacing w:after="158" w:line="259" w:lineRule="auto"/>
        <w:ind w:left="1" w:firstLine="0"/>
        <w:jc w:val="left"/>
      </w:pPr>
    </w:p>
    <w:p w14:paraId="6E43C4BC" w14:textId="77777777" w:rsidR="00934D57" w:rsidRDefault="00934D57">
      <w:pPr>
        <w:spacing w:after="158" w:line="259" w:lineRule="auto"/>
        <w:ind w:left="1" w:firstLine="0"/>
        <w:jc w:val="left"/>
      </w:pPr>
    </w:p>
    <w:p w14:paraId="38DF47D9" w14:textId="77777777" w:rsidR="00934D57" w:rsidRDefault="00934D57">
      <w:pPr>
        <w:spacing w:after="158" w:line="259" w:lineRule="auto"/>
        <w:ind w:left="1" w:firstLine="0"/>
        <w:jc w:val="left"/>
      </w:pPr>
    </w:p>
    <w:p w14:paraId="68D42ADE" w14:textId="77777777" w:rsidR="00934D57" w:rsidRDefault="00934D57">
      <w:pPr>
        <w:spacing w:after="158" w:line="259" w:lineRule="auto"/>
        <w:ind w:left="1" w:firstLine="0"/>
        <w:jc w:val="left"/>
      </w:pPr>
    </w:p>
    <w:p w14:paraId="2E7D7B17" w14:textId="77777777" w:rsidR="00934D57" w:rsidRDefault="00934D57">
      <w:pPr>
        <w:spacing w:after="158" w:line="259" w:lineRule="auto"/>
        <w:ind w:left="1" w:firstLine="0"/>
        <w:jc w:val="left"/>
      </w:pPr>
    </w:p>
    <w:p w14:paraId="1EE7DF2C" w14:textId="77777777" w:rsidR="00CE3959" w:rsidRDefault="00C57C89">
      <w:pPr>
        <w:spacing w:after="160" w:line="259" w:lineRule="auto"/>
        <w:ind w:left="1" w:firstLine="0"/>
        <w:jc w:val="left"/>
      </w:pPr>
      <w:r>
        <w:t xml:space="preserve"> </w:t>
      </w:r>
    </w:p>
    <w:p w14:paraId="40696F34" w14:textId="060F35D4" w:rsidR="00934D57" w:rsidRDefault="007A2790" w:rsidP="007A2790">
      <w:pPr>
        <w:spacing w:after="160" w:line="259" w:lineRule="auto"/>
        <w:ind w:left="1" w:firstLine="0"/>
        <w:jc w:val="center"/>
      </w:pPr>
      <w:r>
        <w:rPr>
          <w:noProof/>
        </w:rPr>
        <w:drawing>
          <wp:inline distT="0" distB="0" distL="0" distR="0" wp14:anchorId="1090AB42" wp14:editId="20EBA94E">
            <wp:extent cx="2786332" cy="6818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u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929" cy="727249"/>
                    </a:xfrm>
                    <a:prstGeom prst="rect">
                      <a:avLst/>
                    </a:prstGeom>
                  </pic:spPr>
                </pic:pic>
              </a:graphicData>
            </a:graphic>
          </wp:inline>
        </w:drawing>
      </w:r>
    </w:p>
    <w:p w14:paraId="3DAD07BE" w14:textId="77777777" w:rsidR="00934D57" w:rsidRDefault="00934D57">
      <w:pPr>
        <w:spacing w:after="160" w:line="259" w:lineRule="auto"/>
        <w:ind w:left="1" w:firstLine="0"/>
        <w:jc w:val="left"/>
      </w:pPr>
    </w:p>
    <w:p w14:paraId="320EDC84" w14:textId="77777777" w:rsidR="00CE3959" w:rsidRDefault="00C57C89">
      <w:pPr>
        <w:spacing w:after="0" w:line="259" w:lineRule="auto"/>
        <w:ind w:left="1" w:firstLine="0"/>
        <w:jc w:val="left"/>
      </w:pPr>
      <w:r>
        <w:t xml:space="preserve"> </w:t>
      </w:r>
    </w:p>
    <w:p w14:paraId="353C765D" w14:textId="5C65D324" w:rsidR="00CE3959" w:rsidRDefault="00CE3959">
      <w:pPr>
        <w:spacing w:after="158" w:line="259" w:lineRule="auto"/>
        <w:ind w:left="1" w:firstLine="0"/>
        <w:jc w:val="left"/>
      </w:pPr>
    </w:p>
    <w:p w14:paraId="6B959557" w14:textId="77777777" w:rsidR="00CE3959" w:rsidRDefault="00C57C89">
      <w:pPr>
        <w:spacing w:after="160" w:line="259" w:lineRule="auto"/>
        <w:ind w:left="1" w:firstLine="0"/>
        <w:jc w:val="left"/>
      </w:pPr>
      <w:r>
        <w:t xml:space="preserve"> </w:t>
      </w:r>
    </w:p>
    <w:p w14:paraId="648F165A" w14:textId="70916CE1" w:rsidR="00CE3959" w:rsidRPr="00271254" w:rsidRDefault="3BE73E9B" w:rsidP="3BE73E9B">
      <w:pPr>
        <w:spacing w:after="0" w:line="216" w:lineRule="auto"/>
        <w:ind w:left="2655" w:right="5" w:hanging="2654"/>
        <w:jc w:val="center"/>
        <w:rPr>
          <w:b/>
          <w:bCs/>
          <w:sz w:val="44"/>
          <w:szCs w:val="44"/>
        </w:rPr>
      </w:pPr>
      <w:r w:rsidRPr="00271254">
        <w:rPr>
          <w:b/>
          <w:bCs/>
          <w:sz w:val="44"/>
          <w:szCs w:val="44"/>
        </w:rPr>
        <w:t>Blue Sky Utility 2017 III LLC (</w:t>
      </w:r>
      <w:proofErr w:type="spellStart"/>
      <w:r w:rsidR="00AE7A33" w:rsidRPr="00271254">
        <w:rPr>
          <w:b/>
          <w:bCs/>
          <w:sz w:val="44"/>
          <w:szCs w:val="44"/>
        </w:rPr>
        <w:t>Passco</w:t>
      </w:r>
      <w:proofErr w:type="spellEnd"/>
      <w:r w:rsidR="00AE7A33" w:rsidRPr="00271254">
        <w:rPr>
          <w:b/>
          <w:bCs/>
          <w:sz w:val="44"/>
          <w:szCs w:val="44"/>
        </w:rPr>
        <w:t xml:space="preserve"> Hanford Mall</w:t>
      </w:r>
      <w:r w:rsidRPr="00271254">
        <w:rPr>
          <w:b/>
          <w:bCs/>
          <w:sz w:val="44"/>
          <w:szCs w:val="44"/>
        </w:rPr>
        <w:t>)</w:t>
      </w:r>
    </w:p>
    <w:p w14:paraId="60595C53" w14:textId="77777777" w:rsidR="00CE3959" w:rsidRPr="00271254" w:rsidRDefault="3BE73E9B" w:rsidP="3BE73E9B">
      <w:pPr>
        <w:spacing w:after="139" w:line="259" w:lineRule="auto"/>
        <w:ind w:left="1" w:firstLine="0"/>
        <w:jc w:val="left"/>
      </w:pPr>
      <w:r w:rsidRPr="00271254">
        <w:t xml:space="preserve"> </w:t>
      </w:r>
    </w:p>
    <w:p w14:paraId="5F37CFFD" w14:textId="78D4C437" w:rsidR="00CE3959" w:rsidRPr="00271254" w:rsidRDefault="006845B8" w:rsidP="3BE73E9B">
      <w:pPr>
        <w:tabs>
          <w:tab w:val="center" w:pos="4676"/>
        </w:tabs>
        <w:spacing w:after="68" w:line="259" w:lineRule="auto"/>
        <w:ind w:left="-14" w:firstLine="0"/>
        <w:jc w:val="center"/>
        <w:rPr>
          <w:b/>
          <w:bCs/>
        </w:rPr>
      </w:pPr>
      <w:r w:rsidRPr="00271254">
        <w:rPr>
          <w:b/>
          <w:bCs/>
        </w:rPr>
        <w:t>Quarterly Report- Q</w:t>
      </w:r>
      <w:r w:rsidR="004A273F" w:rsidRPr="00271254">
        <w:rPr>
          <w:b/>
          <w:bCs/>
        </w:rPr>
        <w:t>1</w:t>
      </w:r>
      <w:r w:rsidR="3BE73E9B" w:rsidRPr="00271254">
        <w:rPr>
          <w:b/>
          <w:bCs/>
        </w:rPr>
        <w:t xml:space="preserve"> 201</w:t>
      </w:r>
      <w:r w:rsidR="004A273F" w:rsidRPr="00271254">
        <w:rPr>
          <w:b/>
          <w:bCs/>
        </w:rPr>
        <w:t>9</w:t>
      </w:r>
    </w:p>
    <w:p w14:paraId="7B331611" w14:textId="706F27B3" w:rsidR="00CE3959" w:rsidRDefault="004A273F" w:rsidP="00E663EF">
      <w:pPr>
        <w:tabs>
          <w:tab w:val="center" w:pos="4675"/>
        </w:tabs>
        <w:spacing w:after="68" w:line="259" w:lineRule="auto"/>
        <w:ind w:left="-14" w:firstLine="0"/>
        <w:jc w:val="center"/>
      </w:pPr>
      <w:r w:rsidRPr="00271254">
        <w:rPr>
          <w:b/>
          <w:bCs/>
        </w:rPr>
        <w:t>01</w:t>
      </w:r>
      <w:r w:rsidR="006845B8" w:rsidRPr="00271254">
        <w:rPr>
          <w:b/>
          <w:bCs/>
        </w:rPr>
        <w:t>/</w:t>
      </w:r>
      <w:r w:rsidRPr="00271254">
        <w:rPr>
          <w:b/>
          <w:bCs/>
        </w:rPr>
        <w:t>0</w:t>
      </w:r>
      <w:r w:rsidR="006845B8" w:rsidRPr="00271254">
        <w:rPr>
          <w:b/>
          <w:bCs/>
        </w:rPr>
        <w:t>1/201</w:t>
      </w:r>
      <w:r w:rsidRPr="00271254">
        <w:rPr>
          <w:b/>
          <w:bCs/>
        </w:rPr>
        <w:t>9</w:t>
      </w:r>
      <w:r w:rsidR="006845B8" w:rsidRPr="00271254">
        <w:rPr>
          <w:b/>
          <w:bCs/>
        </w:rPr>
        <w:t xml:space="preserve"> – </w:t>
      </w:r>
      <w:r w:rsidRPr="00271254">
        <w:rPr>
          <w:b/>
          <w:bCs/>
        </w:rPr>
        <w:t>03</w:t>
      </w:r>
      <w:r w:rsidR="00B4233C" w:rsidRPr="00271254">
        <w:rPr>
          <w:b/>
          <w:bCs/>
        </w:rPr>
        <w:t>/31</w:t>
      </w:r>
      <w:r w:rsidR="3BE73E9B" w:rsidRPr="00271254">
        <w:rPr>
          <w:b/>
          <w:bCs/>
        </w:rPr>
        <w:t>/201</w:t>
      </w:r>
      <w:r w:rsidRPr="00271254">
        <w:rPr>
          <w:b/>
          <w:bCs/>
        </w:rPr>
        <w:t>9</w:t>
      </w:r>
    </w:p>
    <w:p w14:paraId="71E27F5C" w14:textId="77777777" w:rsidR="00CE3959" w:rsidRDefault="00C57C89">
      <w:pPr>
        <w:spacing w:after="302" w:line="259" w:lineRule="auto"/>
        <w:ind w:left="1" w:firstLine="0"/>
        <w:jc w:val="left"/>
      </w:pPr>
      <w:r>
        <w:t xml:space="preserve"> </w:t>
      </w:r>
    </w:p>
    <w:p w14:paraId="193CEFEC" w14:textId="587D9FD5" w:rsidR="00CE3959" w:rsidRDefault="3BE73E9B" w:rsidP="3BE73E9B">
      <w:pPr>
        <w:spacing w:after="259" w:line="240" w:lineRule="auto"/>
        <w:ind w:left="1" w:right="2" w:firstLine="0"/>
        <w:rPr>
          <w:i/>
          <w:iCs/>
          <w:sz w:val="24"/>
          <w:szCs w:val="24"/>
        </w:rPr>
      </w:pPr>
      <w:r w:rsidRPr="3BE73E9B">
        <w:rPr>
          <w:i/>
          <w:iCs/>
          <w:sz w:val="24"/>
          <w:szCs w:val="24"/>
        </w:rPr>
        <w:t xml:space="preserve">The information contained in this report is for informational purposes only and is not intended to provide tax, legal or investment advice. Adjustments and modifications to the information contained in this report may be identified after the date of distribution of this report. This report does not constitute a solicitation of any order to buy or sell securities. This report is confidential and proprietary </w:t>
      </w:r>
      <w:r w:rsidRPr="00271254">
        <w:rPr>
          <w:i/>
          <w:iCs/>
          <w:sz w:val="24"/>
          <w:szCs w:val="24"/>
        </w:rPr>
        <w:t>to Blue Sky Utility 2017 III LLC.</w:t>
      </w:r>
      <w:r w:rsidRPr="3BE73E9B">
        <w:rPr>
          <w:i/>
          <w:iCs/>
          <w:sz w:val="24"/>
          <w:szCs w:val="24"/>
        </w:rPr>
        <w:t xml:space="preserve"> </w:t>
      </w:r>
    </w:p>
    <w:p w14:paraId="51CD022E" w14:textId="77777777" w:rsidR="00696B0E" w:rsidRDefault="00696B0E">
      <w:pPr>
        <w:spacing w:after="160" w:line="259" w:lineRule="auto"/>
        <w:ind w:left="0" w:firstLine="0"/>
        <w:jc w:val="left"/>
        <w:rPr>
          <w:i/>
          <w:sz w:val="24"/>
        </w:rPr>
      </w:pPr>
      <w:r>
        <w:rPr>
          <w:i/>
          <w:sz w:val="24"/>
        </w:rPr>
        <w:br w:type="page"/>
      </w:r>
    </w:p>
    <w:p w14:paraId="40D9898F" w14:textId="77777777" w:rsidR="00CE3959" w:rsidRDefault="00C57C89">
      <w:pPr>
        <w:pStyle w:val="Heading1"/>
        <w:ind w:left="219" w:hanging="233"/>
      </w:pPr>
      <w:r>
        <w:lastRenderedPageBreak/>
        <w:t xml:space="preserve">| Executive Summary </w:t>
      </w:r>
    </w:p>
    <w:p w14:paraId="009C121C" w14:textId="2E2C1076" w:rsidR="008E5473" w:rsidRDefault="006845B8" w:rsidP="00271254">
      <w:pPr>
        <w:ind w:left="-4"/>
      </w:pPr>
      <w:r w:rsidRPr="00271254">
        <w:t>In Q</w:t>
      </w:r>
      <w:r w:rsidR="004A273F" w:rsidRPr="00271254">
        <w:t>1</w:t>
      </w:r>
      <w:r w:rsidR="3BE73E9B" w:rsidRPr="00271254">
        <w:t xml:space="preserve"> 201</w:t>
      </w:r>
      <w:r w:rsidR="000D2DE6" w:rsidRPr="00271254">
        <w:t>9</w:t>
      </w:r>
      <w:r w:rsidR="3BE73E9B" w:rsidRPr="00271254">
        <w:t xml:space="preserve">, the portfolio </w:t>
      </w:r>
      <w:r w:rsidR="00965CFC" w:rsidRPr="00271254">
        <w:t xml:space="preserve">performed </w:t>
      </w:r>
      <w:r w:rsidR="00AE7FCE" w:rsidRPr="00271254">
        <w:t>2</w:t>
      </w:r>
      <w:r w:rsidR="00965CFC" w:rsidRPr="00271254">
        <w:t>.</w:t>
      </w:r>
      <w:r w:rsidR="00AE7FCE" w:rsidRPr="00271254">
        <w:t xml:space="preserve">59 </w:t>
      </w:r>
      <w:r w:rsidR="3BE73E9B" w:rsidRPr="00271254">
        <w:t xml:space="preserve">% below the predicted production for the quarter.  </w:t>
      </w:r>
    </w:p>
    <w:p w14:paraId="32E8A30F" w14:textId="022C763F" w:rsidR="00DE5493" w:rsidRDefault="38315689" w:rsidP="00E74404">
      <w:r>
        <w:t xml:space="preserve">Q1 - 2019, carried over issues from Q4 of 2018. The overall production has been inconsistent for several reasons which have included: stringing issues on an inverter, incorrect stringing on each MPPT, the installation of smart panels, panel mixtures within a string, etc. We have slowly resolved these issues and are finally getting to a point of being fully operational as the PV system was designed. March is a good example of this. As issues have been corrected in Q1, you can see that even with irradiance below expectations, the system still performed in line with </w:t>
      </w:r>
      <w:proofErr w:type="spellStart"/>
      <w:r>
        <w:t>PVSyst</w:t>
      </w:r>
      <w:proofErr w:type="spellEnd"/>
      <w:r>
        <w:t xml:space="preserve"> reports. </w:t>
      </w:r>
    </w:p>
    <w:p w14:paraId="03E9F151" w14:textId="40DB62DA" w:rsidR="00DE5493" w:rsidRDefault="00DE5493" w:rsidP="00596C06"/>
    <w:tbl>
      <w:tblPr>
        <w:tblW w:w="10171" w:type="dxa"/>
        <w:jc w:val="center"/>
        <w:tblLook w:val="04A0" w:firstRow="1" w:lastRow="0" w:firstColumn="1" w:lastColumn="0" w:noHBand="0" w:noVBand="1"/>
      </w:tblPr>
      <w:tblGrid>
        <w:gridCol w:w="1002"/>
        <w:gridCol w:w="978"/>
        <w:gridCol w:w="1133"/>
        <w:gridCol w:w="1241"/>
        <w:gridCol w:w="1241"/>
        <w:gridCol w:w="1055"/>
        <w:gridCol w:w="1132"/>
        <w:gridCol w:w="1132"/>
        <w:gridCol w:w="1257"/>
      </w:tblGrid>
      <w:tr w:rsidR="00AD7C49" w:rsidRPr="00E74404" w14:paraId="4306216E" w14:textId="77777777" w:rsidTr="38315689">
        <w:trPr>
          <w:trHeight w:val="460"/>
          <w:jc w:val="center"/>
        </w:trPr>
        <w:tc>
          <w:tcPr>
            <w:tcW w:w="1002" w:type="dxa"/>
            <w:tcBorders>
              <w:top w:val="nil"/>
              <w:left w:val="single" w:sz="8" w:space="0" w:color="FFFFFF" w:themeColor="background1"/>
              <w:bottom w:val="nil"/>
              <w:right w:val="single" w:sz="8" w:space="0" w:color="FFFFFF" w:themeColor="background1"/>
            </w:tcBorders>
            <w:shd w:val="clear" w:color="auto" w:fill="4471C4"/>
            <w:vAlign w:val="center"/>
            <w:hideMark/>
          </w:tcPr>
          <w:p w14:paraId="55AE8DE3" w14:textId="77777777" w:rsidR="00E74404" w:rsidRPr="009F5B42" w:rsidRDefault="00E74404" w:rsidP="00E74404">
            <w:pPr>
              <w:spacing w:after="0" w:line="240" w:lineRule="auto"/>
              <w:ind w:left="0" w:firstLine="0"/>
              <w:jc w:val="left"/>
              <w:rPr>
                <w:rFonts w:eastAsia="Times New Roman"/>
                <w:sz w:val="20"/>
                <w:szCs w:val="20"/>
              </w:rPr>
            </w:pPr>
            <w:bookmarkStart w:id="1" w:name="_Hlk1639116"/>
            <w:r w:rsidRPr="009F5B42">
              <w:rPr>
                <w:rFonts w:eastAsia="Times New Roman"/>
                <w:sz w:val="20"/>
                <w:szCs w:val="20"/>
              </w:rPr>
              <w:t> </w:t>
            </w:r>
          </w:p>
        </w:tc>
        <w:tc>
          <w:tcPr>
            <w:tcW w:w="978" w:type="dxa"/>
            <w:tcBorders>
              <w:top w:val="nil"/>
              <w:left w:val="nil"/>
              <w:bottom w:val="nil"/>
              <w:right w:val="single" w:sz="8" w:space="0" w:color="FFFFFF" w:themeColor="background1"/>
            </w:tcBorders>
            <w:shd w:val="clear" w:color="auto" w:fill="4472C4" w:themeFill="accent1"/>
            <w:vAlign w:val="center"/>
            <w:hideMark/>
          </w:tcPr>
          <w:p w14:paraId="24861056" w14:textId="77777777" w:rsidR="00E74404" w:rsidRPr="009F5B42" w:rsidRDefault="00E74404" w:rsidP="00E74404">
            <w:pPr>
              <w:spacing w:after="0" w:line="240" w:lineRule="auto"/>
              <w:ind w:left="0" w:firstLine="0"/>
              <w:jc w:val="center"/>
              <w:rPr>
                <w:rFonts w:eastAsia="Times New Roman"/>
                <w:b/>
                <w:bCs/>
                <w:color w:val="FFFFFF"/>
                <w:sz w:val="18"/>
                <w:szCs w:val="18"/>
              </w:rPr>
            </w:pPr>
            <w:proofErr w:type="spellStart"/>
            <w:r w:rsidRPr="009F5B42">
              <w:rPr>
                <w:rFonts w:eastAsia="Times New Roman"/>
                <w:b/>
                <w:bCs/>
                <w:color w:val="FFFFFF"/>
                <w:sz w:val="18"/>
                <w:szCs w:val="18"/>
              </w:rPr>
              <w:t>PVSyst</w:t>
            </w:r>
            <w:proofErr w:type="spellEnd"/>
          </w:p>
        </w:tc>
        <w:tc>
          <w:tcPr>
            <w:tcW w:w="1133" w:type="dxa"/>
            <w:tcBorders>
              <w:top w:val="nil"/>
              <w:left w:val="nil"/>
              <w:bottom w:val="nil"/>
              <w:right w:val="single" w:sz="8" w:space="0" w:color="FFFFFF" w:themeColor="background1"/>
            </w:tcBorders>
            <w:shd w:val="clear" w:color="auto" w:fill="4472C4" w:themeFill="accent1"/>
            <w:vAlign w:val="center"/>
            <w:hideMark/>
          </w:tcPr>
          <w:p w14:paraId="462D8909"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Meter</w:t>
            </w:r>
          </w:p>
        </w:tc>
        <w:tc>
          <w:tcPr>
            <w:tcW w:w="1241" w:type="dxa"/>
            <w:tcBorders>
              <w:top w:val="nil"/>
              <w:left w:val="nil"/>
              <w:bottom w:val="nil"/>
              <w:right w:val="single" w:sz="8" w:space="0" w:color="FFFFFF" w:themeColor="background1"/>
            </w:tcBorders>
            <w:shd w:val="clear" w:color="auto" w:fill="4472C4" w:themeFill="accent1"/>
            <w:vAlign w:val="center"/>
            <w:hideMark/>
          </w:tcPr>
          <w:p w14:paraId="5BEEF748"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Production Variance</w:t>
            </w:r>
          </w:p>
        </w:tc>
        <w:tc>
          <w:tcPr>
            <w:tcW w:w="1241" w:type="dxa"/>
            <w:tcBorders>
              <w:top w:val="nil"/>
              <w:left w:val="nil"/>
              <w:bottom w:val="nil"/>
              <w:right w:val="single" w:sz="8" w:space="0" w:color="FFFFFF" w:themeColor="background1"/>
            </w:tcBorders>
            <w:shd w:val="clear" w:color="auto" w:fill="4472C4" w:themeFill="accent1"/>
            <w:vAlign w:val="center"/>
            <w:hideMark/>
          </w:tcPr>
          <w:p w14:paraId="79917D43" w14:textId="309027A8"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Invoiced</w:t>
            </w:r>
          </w:p>
        </w:tc>
        <w:tc>
          <w:tcPr>
            <w:tcW w:w="1055" w:type="dxa"/>
            <w:tcBorders>
              <w:top w:val="nil"/>
              <w:left w:val="nil"/>
              <w:bottom w:val="nil"/>
              <w:right w:val="single" w:sz="8" w:space="0" w:color="FFFFFF" w:themeColor="background1"/>
            </w:tcBorders>
            <w:shd w:val="clear" w:color="auto" w:fill="4472C4" w:themeFill="accent1"/>
            <w:vAlign w:val="center"/>
            <w:hideMark/>
          </w:tcPr>
          <w:p w14:paraId="5D7F7A0F" w14:textId="254E3565"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Accrued Credits</w:t>
            </w:r>
          </w:p>
        </w:tc>
        <w:tc>
          <w:tcPr>
            <w:tcW w:w="1132" w:type="dxa"/>
            <w:tcBorders>
              <w:top w:val="nil"/>
              <w:left w:val="nil"/>
              <w:bottom w:val="nil"/>
              <w:right w:val="single" w:sz="8" w:space="0" w:color="FFFFFF" w:themeColor="background1"/>
            </w:tcBorders>
            <w:shd w:val="clear" w:color="auto" w:fill="4472C4" w:themeFill="accent1"/>
            <w:vAlign w:val="center"/>
            <w:hideMark/>
          </w:tcPr>
          <w:p w14:paraId="7E7A8210" w14:textId="0616B7A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Value Created</w:t>
            </w:r>
          </w:p>
        </w:tc>
        <w:tc>
          <w:tcPr>
            <w:tcW w:w="1132" w:type="dxa"/>
            <w:tcBorders>
              <w:top w:val="nil"/>
              <w:left w:val="nil"/>
              <w:bottom w:val="nil"/>
              <w:right w:val="single" w:sz="8" w:space="0" w:color="FFFFFF" w:themeColor="background1"/>
            </w:tcBorders>
            <w:shd w:val="clear" w:color="auto" w:fill="4472C4" w:themeFill="accent1"/>
            <w:vAlign w:val="center"/>
            <w:hideMark/>
          </w:tcPr>
          <w:p w14:paraId="3CDCA03D"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Projected Revenue</w:t>
            </w:r>
          </w:p>
        </w:tc>
        <w:tc>
          <w:tcPr>
            <w:tcW w:w="1257" w:type="dxa"/>
            <w:tcBorders>
              <w:top w:val="nil"/>
              <w:left w:val="nil"/>
              <w:bottom w:val="nil"/>
              <w:right w:val="single" w:sz="8" w:space="0" w:color="FFFFFF" w:themeColor="background1"/>
            </w:tcBorders>
            <w:shd w:val="clear" w:color="auto" w:fill="4472C4" w:themeFill="accent1"/>
            <w:vAlign w:val="center"/>
            <w:hideMark/>
          </w:tcPr>
          <w:p w14:paraId="76FC2AE2" w14:textId="77777777" w:rsidR="00E74404" w:rsidRPr="009F5B42" w:rsidRDefault="00E74404" w:rsidP="00E74404">
            <w:pPr>
              <w:spacing w:after="0" w:line="240" w:lineRule="auto"/>
              <w:ind w:left="0" w:firstLine="0"/>
              <w:jc w:val="center"/>
              <w:rPr>
                <w:rFonts w:eastAsia="Times New Roman"/>
                <w:b/>
                <w:bCs/>
                <w:color w:val="FFFFFF"/>
                <w:sz w:val="18"/>
                <w:szCs w:val="18"/>
              </w:rPr>
            </w:pPr>
            <w:r w:rsidRPr="009F5B42">
              <w:rPr>
                <w:rFonts w:eastAsia="Times New Roman"/>
                <w:b/>
                <w:bCs/>
                <w:color w:val="FFFFFF"/>
                <w:sz w:val="18"/>
                <w:szCs w:val="18"/>
              </w:rPr>
              <w:t>Revenue Variance</w:t>
            </w:r>
          </w:p>
        </w:tc>
      </w:tr>
      <w:tr w:rsidR="00D003FA" w:rsidRPr="00E74404" w14:paraId="3573055A" w14:textId="77777777" w:rsidTr="38315689">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D3D4037" w14:textId="77777777" w:rsidR="00E74404" w:rsidRPr="009F5B42" w:rsidRDefault="00E74404" w:rsidP="00E74404">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Month</w:t>
            </w:r>
          </w:p>
        </w:tc>
        <w:tc>
          <w:tcPr>
            <w:tcW w:w="978" w:type="dxa"/>
            <w:tcBorders>
              <w:top w:val="nil"/>
              <w:left w:val="nil"/>
              <w:bottom w:val="nil"/>
              <w:right w:val="nil"/>
            </w:tcBorders>
            <w:shd w:val="clear" w:color="auto" w:fill="auto"/>
            <w:noWrap/>
            <w:vAlign w:val="bottom"/>
            <w:hideMark/>
          </w:tcPr>
          <w:p w14:paraId="11D5743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4D853F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3A194F52"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kWh</w:t>
            </w:r>
          </w:p>
        </w:tc>
        <w:tc>
          <w:tcPr>
            <w:tcW w:w="1241" w:type="dxa"/>
            <w:tcBorders>
              <w:top w:val="nil"/>
              <w:left w:val="nil"/>
              <w:bottom w:val="nil"/>
              <w:right w:val="nil"/>
            </w:tcBorders>
            <w:shd w:val="clear" w:color="auto" w:fill="auto"/>
            <w:noWrap/>
            <w:vAlign w:val="bottom"/>
            <w:hideMark/>
          </w:tcPr>
          <w:p w14:paraId="7804BF8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055" w:type="dxa"/>
            <w:tcBorders>
              <w:top w:val="nil"/>
              <w:left w:val="nil"/>
              <w:bottom w:val="nil"/>
              <w:right w:val="nil"/>
            </w:tcBorders>
            <w:shd w:val="clear" w:color="auto" w:fill="auto"/>
            <w:noWrap/>
            <w:vAlign w:val="bottom"/>
            <w:hideMark/>
          </w:tcPr>
          <w:p w14:paraId="693557FE"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3E7D881C"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132" w:type="dxa"/>
            <w:tcBorders>
              <w:top w:val="nil"/>
              <w:left w:val="nil"/>
              <w:bottom w:val="nil"/>
              <w:right w:val="nil"/>
            </w:tcBorders>
            <w:shd w:val="clear" w:color="auto" w:fill="auto"/>
            <w:noWrap/>
            <w:vAlign w:val="bottom"/>
            <w:hideMark/>
          </w:tcPr>
          <w:p w14:paraId="70DB7608"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c>
          <w:tcPr>
            <w:tcW w:w="1257" w:type="dxa"/>
            <w:tcBorders>
              <w:top w:val="nil"/>
              <w:left w:val="nil"/>
              <w:bottom w:val="nil"/>
              <w:right w:val="nil"/>
            </w:tcBorders>
            <w:shd w:val="clear" w:color="auto" w:fill="auto"/>
            <w:noWrap/>
            <w:vAlign w:val="bottom"/>
            <w:hideMark/>
          </w:tcPr>
          <w:p w14:paraId="2E4C0545" w14:textId="77777777" w:rsidR="00E74404" w:rsidRPr="009F5B42" w:rsidRDefault="00E74404" w:rsidP="00E74404">
            <w:pPr>
              <w:spacing w:after="0" w:line="240" w:lineRule="auto"/>
              <w:ind w:left="0" w:firstLine="0"/>
              <w:jc w:val="center"/>
              <w:rPr>
                <w:rFonts w:eastAsia="Times New Roman"/>
                <w:sz w:val="18"/>
                <w:szCs w:val="18"/>
              </w:rPr>
            </w:pPr>
            <w:r w:rsidRPr="009F5B42">
              <w:rPr>
                <w:rFonts w:eastAsia="Times New Roman"/>
                <w:sz w:val="18"/>
                <w:szCs w:val="18"/>
              </w:rPr>
              <w:t>$</w:t>
            </w:r>
          </w:p>
        </w:tc>
      </w:tr>
      <w:tr w:rsidR="00AE7FCE" w:rsidRPr="00E74404" w14:paraId="6EC1C995" w14:textId="77777777" w:rsidTr="38315689">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A12D02" w14:textId="722D9F00" w:rsidR="00AE7FCE" w:rsidRPr="009F5B42" w:rsidRDefault="00AE7FCE" w:rsidP="00AE7FCE">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Pr>
                <w:rFonts w:eastAsia="Times New Roman"/>
                <w:b/>
                <w:bCs/>
                <w:color w:val="FFFFFF"/>
                <w:sz w:val="18"/>
                <w:szCs w:val="18"/>
              </w:rPr>
              <w:t>Jan</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7A485AFF" w14:textId="50E76056" w:rsidR="00AE7FCE" w:rsidRPr="009F5B42" w:rsidRDefault="00AE7FCE" w:rsidP="00AE7FCE">
            <w:pPr>
              <w:spacing w:after="0" w:line="240" w:lineRule="auto"/>
              <w:ind w:left="0" w:firstLine="0"/>
              <w:jc w:val="center"/>
              <w:rPr>
                <w:rFonts w:eastAsia="Times New Roman"/>
                <w:sz w:val="18"/>
                <w:szCs w:val="18"/>
              </w:rPr>
            </w:pPr>
            <w:r w:rsidRPr="002F171E">
              <w:rPr>
                <w:rFonts w:eastAsia="Times New Roman"/>
                <w:sz w:val="18"/>
                <w:szCs w:val="18"/>
              </w:rPr>
              <w:t>93,132</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D7EE75" w14:textId="2EBBA389" w:rsidR="00AE7FCE" w:rsidRPr="009F5B42" w:rsidRDefault="00AE7FCE" w:rsidP="00AE7FCE">
            <w:pPr>
              <w:spacing w:after="0" w:line="240" w:lineRule="auto"/>
              <w:ind w:left="0" w:firstLine="0"/>
              <w:jc w:val="center"/>
              <w:rPr>
                <w:rFonts w:eastAsia="Times New Roman"/>
                <w:sz w:val="18"/>
                <w:szCs w:val="18"/>
              </w:rPr>
            </w:pPr>
            <w:r w:rsidRPr="002F171E">
              <w:rPr>
                <w:rFonts w:eastAsia="Times New Roman"/>
                <w:sz w:val="18"/>
                <w:szCs w:val="18"/>
              </w:rPr>
              <w:t>111,283</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E3E83B" w14:textId="36E5B500" w:rsidR="00AE7FCE" w:rsidRPr="00493A2D" w:rsidRDefault="00AE7FCE" w:rsidP="00AE7FCE">
            <w:pPr>
              <w:spacing w:after="0" w:line="240" w:lineRule="auto"/>
              <w:ind w:left="0" w:firstLine="0"/>
              <w:jc w:val="center"/>
              <w:rPr>
                <w:rFonts w:eastAsia="Times New Roman"/>
                <w:color w:val="auto"/>
                <w:sz w:val="18"/>
                <w:szCs w:val="18"/>
              </w:rPr>
            </w:pPr>
            <w:r>
              <w:rPr>
                <w:sz w:val="18"/>
                <w:szCs w:val="18"/>
              </w:rPr>
              <w:t>18,151</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450DE3A" w14:textId="6B111EBA" w:rsidR="00AE7FCE" w:rsidRPr="00493A2D" w:rsidRDefault="00AE7FCE" w:rsidP="00AE7FCE">
            <w:pPr>
              <w:spacing w:after="0" w:line="240" w:lineRule="auto"/>
              <w:ind w:left="0" w:firstLine="0"/>
              <w:jc w:val="center"/>
              <w:rPr>
                <w:rFonts w:eastAsia="Times New Roman"/>
                <w:color w:val="auto"/>
                <w:sz w:val="18"/>
                <w:szCs w:val="18"/>
              </w:rPr>
            </w:pPr>
            <w:r w:rsidRPr="00970E39">
              <w:rPr>
                <w:rFonts w:eastAsia="Times New Roman"/>
                <w:color w:val="auto"/>
                <w:sz w:val="18"/>
                <w:szCs w:val="18"/>
              </w:rPr>
              <w:t>$25,337.96</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D6A12CA" w14:textId="106CF8DB" w:rsidR="00AE7FCE" w:rsidRPr="00493A2D" w:rsidRDefault="00AE7FCE" w:rsidP="00AE7FCE">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95FA04E" w14:textId="10B317CC" w:rsidR="00AE7FCE" w:rsidRPr="00493A2D" w:rsidRDefault="00AE7FCE" w:rsidP="00AE7FCE">
            <w:pPr>
              <w:spacing w:after="0" w:line="240" w:lineRule="auto"/>
              <w:ind w:left="0" w:firstLine="0"/>
              <w:jc w:val="center"/>
              <w:rPr>
                <w:rFonts w:eastAsia="Times New Roman"/>
                <w:color w:val="auto"/>
                <w:sz w:val="18"/>
                <w:szCs w:val="18"/>
              </w:rPr>
            </w:pPr>
            <w:r w:rsidRPr="00970E39">
              <w:rPr>
                <w:rFonts w:eastAsia="Times New Roman"/>
                <w:color w:val="auto"/>
                <w:sz w:val="18"/>
                <w:szCs w:val="18"/>
              </w:rPr>
              <w:t>$25,337.96</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495B0C5" w14:textId="1A657DF3" w:rsidR="00AE7FCE" w:rsidRPr="00493A2D" w:rsidRDefault="00AE7FCE" w:rsidP="00AE7FCE">
            <w:pPr>
              <w:spacing w:after="0" w:line="240" w:lineRule="auto"/>
              <w:ind w:left="0" w:firstLine="0"/>
              <w:jc w:val="center"/>
              <w:rPr>
                <w:rFonts w:eastAsia="Times New Roman"/>
                <w:color w:val="auto"/>
                <w:sz w:val="18"/>
                <w:szCs w:val="18"/>
              </w:rPr>
            </w:pPr>
            <w:r w:rsidRPr="008A6BD7">
              <w:rPr>
                <w:color w:val="auto"/>
                <w:sz w:val="18"/>
                <w:szCs w:val="18"/>
              </w:rPr>
              <w:t>$17,899.39</w:t>
            </w:r>
            <w:r w:rsidRPr="00493A2D">
              <w:rPr>
                <w:color w:val="auto"/>
                <w:sz w:val="18"/>
                <w:szCs w:val="18"/>
              </w:rPr>
              <w:t xml:space="preserve"> </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DAB46A4" w14:textId="6E0B375B" w:rsidR="00AE7FCE" w:rsidRPr="00493A2D" w:rsidRDefault="00AE7FCE" w:rsidP="00AE7FCE">
            <w:pPr>
              <w:spacing w:after="0" w:line="240" w:lineRule="auto"/>
              <w:ind w:left="0" w:firstLine="0"/>
              <w:jc w:val="center"/>
              <w:rPr>
                <w:rFonts w:eastAsia="Times New Roman"/>
                <w:color w:val="auto"/>
                <w:sz w:val="18"/>
                <w:szCs w:val="18"/>
              </w:rPr>
            </w:pPr>
            <w:r>
              <w:rPr>
                <w:sz w:val="18"/>
                <w:szCs w:val="18"/>
              </w:rPr>
              <w:t xml:space="preserve">$7,438.57 </w:t>
            </w:r>
          </w:p>
        </w:tc>
      </w:tr>
      <w:tr w:rsidR="00AE7FCE" w:rsidRPr="00E74404" w14:paraId="20381B44" w14:textId="77777777" w:rsidTr="38315689">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B5F4853" w14:textId="48B75871" w:rsidR="00AE7FCE" w:rsidRPr="009F5B42" w:rsidRDefault="00AE7FCE" w:rsidP="00AE7FCE">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1</w:t>
            </w:r>
            <w:r>
              <w:rPr>
                <w:rFonts w:eastAsia="Times New Roman"/>
                <w:b/>
                <w:bCs/>
                <w:color w:val="FFFFFF"/>
                <w:sz w:val="18"/>
                <w:szCs w:val="18"/>
              </w:rPr>
              <w:t>9</w:t>
            </w:r>
            <w:r w:rsidRPr="009F5B42">
              <w:rPr>
                <w:rFonts w:eastAsia="Times New Roman"/>
                <w:b/>
                <w:bCs/>
                <w:color w:val="FFFFFF"/>
                <w:sz w:val="18"/>
                <w:szCs w:val="18"/>
              </w:rPr>
              <w:t xml:space="preserve"> - </w:t>
            </w:r>
            <w:r>
              <w:rPr>
                <w:rFonts w:eastAsia="Times New Roman"/>
                <w:b/>
                <w:bCs/>
                <w:color w:val="FFFFFF"/>
                <w:sz w:val="18"/>
                <w:szCs w:val="18"/>
              </w:rPr>
              <w:t>Feb</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16660E9" w14:textId="773F02C8" w:rsidR="00AE7FCE" w:rsidRPr="009F5B42" w:rsidRDefault="00AE7FCE" w:rsidP="00AE7FCE">
            <w:pPr>
              <w:spacing w:after="0" w:line="240" w:lineRule="auto"/>
              <w:ind w:left="0" w:firstLine="0"/>
              <w:jc w:val="center"/>
              <w:rPr>
                <w:rFonts w:eastAsia="Times New Roman"/>
                <w:sz w:val="18"/>
                <w:szCs w:val="18"/>
              </w:rPr>
            </w:pPr>
            <w:r w:rsidRPr="002F171E">
              <w:rPr>
                <w:rFonts w:eastAsia="Times New Roman"/>
                <w:sz w:val="18"/>
                <w:szCs w:val="18"/>
              </w:rPr>
              <w:t>148,753</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FA08C6F" w14:textId="4C72E623" w:rsidR="00AE7FCE" w:rsidRPr="009F5B42" w:rsidRDefault="00AE7FCE" w:rsidP="00AE7FCE">
            <w:pPr>
              <w:spacing w:after="0" w:line="240" w:lineRule="auto"/>
              <w:ind w:left="0" w:firstLine="0"/>
              <w:jc w:val="center"/>
              <w:rPr>
                <w:rFonts w:eastAsia="Times New Roman"/>
                <w:sz w:val="18"/>
                <w:szCs w:val="18"/>
              </w:rPr>
            </w:pPr>
            <w:r w:rsidRPr="002F171E">
              <w:rPr>
                <w:rFonts w:eastAsia="Times New Roman"/>
                <w:sz w:val="18"/>
                <w:szCs w:val="18"/>
              </w:rPr>
              <w:t>143,081</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D38443C" w14:textId="13B39426" w:rsidR="00AE7FCE" w:rsidRPr="00493A2D" w:rsidRDefault="00AE7FCE" w:rsidP="00AE7FCE">
            <w:pPr>
              <w:spacing w:after="0" w:line="240" w:lineRule="auto"/>
              <w:ind w:left="0" w:firstLine="0"/>
              <w:jc w:val="center"/>
              <w:rPr>
                <w:rFonts w:eastAsia="Times New Roman"/>
                <w:color w:val="auto"/>
                <w:sz w:val="18"/>
                <w:szCs w:val="18"/>
              </w:rPr>
            </w:pPr>
            <w:r>
              <w:rPr>
                <w:sz w:val="18"/>
                <w:szCs w:val="18"/>
              </w:rPr>
              <w:t>-5,672</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29E7755" w14:textId="57FB395B" w:rsidR="00AE7FCE" w:rsidRPr="00493A2D" w:rsidRDefault="00AE7FCE" w:rsidP="00AE7FCE">
            <w:pPr>
              <w:spacing w:after="0" w:line="240" w:lineRule="auto"/>
              <w:ind w:left="0" w:firstLine="0"/>
              <w:jc w:val="center"/>
              <w:rPr>
                <w:rFonts w:eastAsia="Times New Roman"/>
                <w:color w:val="auto"/>
                <w:sz w:val="18"/>
                <w:szCs w:val="18"/>
              </w:rPr>
            </w:pPr>
            <w:r w:rsidRPr="00970E39">
              <w:rPr>
                <w:rFonts w:eastAsia="Times New Roman"/>
                <w:color w:val="auto"/>
                <w:sz w:val="18"/>
                <w:szCs w:val="18"/>
              </w:rPr>
              <w:t>$33,267.81</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454C0EF" w14:textId="19048058" w:rsidR="00AE7FCE" w:rsidRPr="00493A2D" w:rsidRDefault="00AE7FCE" w:rsidP="00AE7FCE">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27A6E7C" w14:textId="6B0C5F6C" w:rsidR="00AE7FCE" w:rsidRPr="00493A2D" w:rsidRDefault="00AE7FCE" w:rsidP="00AE7FCE">
            <w:pPr>
              <w:spacing w:after="0" w:line="240" w:lineRule="auto"/>
              <w:ind w:left="0" w:firstLine="0"/>
              <w:jc w:val="center"/>
              <w:rPr>
                <w:rFonts w:eastAsia="Times New Roman"/>
                <w:color w:val="auto"/>
                <w:sz w:val="18"/>
                <w:szCs w:val="18"/>
              </w:rPr>
            </w:pPr>
            <w:r w:rsidRPr="00970E39">
              <w:rPr>
                <w:rFonts w:eastAsia="Times New Roman"/>
                <w:color w:val="auto"/>
                <w:sz w:val="18"/>
                <w:szCs w:val="18"/>
              </w:rPr>
              <w:t>$33,267.81</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DED66D6" w14:textId="7D8EF0F2" w:rsidR="00AE7FCE" w:rsidRPr="00493A2D" w:rsidRDefault="00AE7FCE" w:rsidP="00AE7FCE">
            <w:pPr>
              <w:spacing w:after="0" w:line="240" w:lineRule="auto"/>
              <w:ind w:left="0" w:firstLine="0"/>
              <w:jc w:val="center"/>
              <w:rPr>
                <w:rFonts w:eastAsia="Times New Roman"/>
                <w:color w:val="auto"/>
                <w:sz w:val="18"/>
                <w:szCs w:val="18"/>
              </w:rPr>
            </w:pPr>
            <w:r w:rsidRPr="008A6BD7">
              <w:rPr>
                <w:rFonts w:eastAsia="Times New Roman"/>
                <w:color w:val="auto"/>
                <w:sz w:val="18"/>
                <w:szCs w:val="18"/>
              </w:rPr>
              <w:t>$20,991.50</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78EE6C6" w14:textId="1E81EC1F" w:rsidR="00AE7FCE" w:rsidRPr="00493A2D" w:rsidRDefault="00AE7FCE" w:rsidP="00AE7FCE">
            <w:pPr>
              <w:spacing w:after="0" w:line="240" w:lineRule="auto"/>
              <w:ind w:left="0" w:firstLine="0"/>
              <w:jc w:val="center"/>
              <w:rPr>
                <w:rFonts w:eastAsia="Times New Roman"/>
                <w:color w:val="auto"/>
                <w:sz w:val="18"/>
                <w:szCs w:val="18"/>
              </w:rPr>
            </w:pPr>
            <w:r>
              <w:rPr>
                <w:sz w:val="18"/>
                <w:szCs w:val="18"/>
              </w:rPr>
              <w:t xml:space="preserve">$12,276.31 </w:t>
            </w:r>
          </w:p>
        </w:tc>
      </w:tr>
      <w:tr w:rsidR="00AE7FCE" w:rsidRPr="00E74404" w14:paraId="2E6E2A41" w14:textId="77777777" w:rsidTr="38315689">
        <w:trPr>
          <w:trHeight w:val="247"/>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237AB14F" w14:textId="1F807132" w:rsidR="00AE7FCE" w:rsidRPr="009F5B42" w:rsidRDefault="38315689" w:rsidP="38315689">
            <w:pPr>
              <w:spacing w:after="0" w:line="240" w:lineRule="auto"/>
              <w:ind w:left="0" w:firstLine="0"/>
              <w:rPr>
                <w:rFonts w:eastAsia="Times New Roman"/>
                <w:b/>
                <w:bCs/>
                <w:color w:val="FFFFFF" w:themeColor="background1"/>
                <w:sz w:val="18"/>
                <w:szCs w:val="18"/>
              </w:rPr>
            </w:pPr>
            <w:r w:rsidRPr="38315689">
              <w:rPr>
                <w:rFonts w:eastAsia="Times New Roman"/>
                <w:b/>
                <w:bCs/>
                <w:color w:val="FFFFFF" w:themeColor="background1"/>
                <w:sz w:val="18"/>
                <w:szCs w:val="18"/>
              </w:rPr>
              <w:t>19 - Mar</w:t>
            </w:r>
          </w:p>
        </w:tc>
        <w:tc>
          <w:tcPr>
            <w:tcW w:w="978"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4F0E09E" w14:textId="4BBB4788" w:rsidR="00AE7FCE" w:rsidRPr="009F5B42" w:rsidRDefault="00AE7FCE" w:rsidP="00AE7FCE">
            <w:pPr>
              <w:spacing w:after="0" w:line="240" w:lineRule="auto"/>
              <w:ind w:left="0" w:firstLine="0"/>
              <w:jc w:val="center"/>
              <w:rPr>
                <w:rFonts w:eastAsia="Times New Roman"/>
                <w:sz w:val="18"/>
                <w:szCs w:val="18"/>
              </w:rPr>
            </w:pPr>
            <w:r w:rsidRPr="002F171E">
              <w:rPr>
                <w:rFonts w:eastAsia="Times New Roman"/>
                <w:sz w:val="18"/>
                <w:szCs w:val="18"/>
              </w:rPr>
              <w:t>216,820</w:t>
            </w:r>
          </w:p>
        </w:tc>
        <w:tc>
          <w:tcPr>
            <w:tcW w:w="113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7E5DABA" w14:textId="1DF8994E" w:rsidR="00AE7FCE" w:rsidRPr="009F5B42" w:rsidRDefault="00AE7FCE" w:rsidP="00AE7FCE">
            <w:pPr>
              <w:spacing w:after="0" w:line="240" w:lineRule="auto"/>
              <w:ind w:left="0" w:firstLine="0"/>
              <w:jc w:val="center"/>
              <w:rPr>
                <w:rFonts w:eastAsia="Times New Roman"/>
                <w:sz w:val="18"/>
                <w:szCs w:val="18"/>
              </w:rPr>
            </w:pPr>
            <w:r w:rsidRPr="002F171E">
              <w:rPr>
                <w:rFonts w:eastAsia="Times New Roman"/>
                <w:sz w:val="18"/>
                <w:szCs w:val="18"/>
              </w:rPr>
              <w:t>216,238</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6804D66D" w14:textId="27C4B5C4" w:rsidR="00AE7FCE" w:rsidRPr="00493A2D" w:rsidRDefault="00AE7FCE" w:rsidP="00AE7FCE">
            <w:pPr>
              <w:spacing w:after="0" w:line="240" w:lineRule="auto"/>
              <w:ind w:left="0" w:firstLine="0"/>
              <w:jc w:val="center"/>
              <w:rPr>
                <w:rFonts w:eastAsia="Times New Roman"/>
                <w:color w:val="auto"/>
                <w:sz w:val="18"/>
                <w:szCs w:val="18"/>
              </w:rPr>
            </w:pPr>
            <w:r>
              <w:rPr>
                <w:sz w:val="18"/>
                <w:szCs w:val="18"/>
              </w:rPr>
              <w:t>-582</w:t>
            </w:r>
          </w:p>
        </w:tc>
        <w:tc>
          <w:tcPr>
            <w:tcW w:w="1241"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CA31108" w14:textId="6C79EA35" w:rsidR="00AE7FCE" w:rsidRPr="00493A2D" w:rsidRDefault="00AE7FCE" w:rsidP="00AE7FCE">
            <w:pPr>
              <w:spacing w:after="0" w:line="240" w:lineRule="auto"/>
              <w:ind w:left="0" w:firstLine="0"/>
              <w:jc w:val="center"/>
              <w:rPr>
                <w:rFonts w:eastAsia="Times New Roman"/>
                <w:color w:val="auto"/>
                <w:sz w:val="18"/>
                <w:szCs w:val="18"/>
              </w:rPr>
            </w:pPr>
            <w:r w:rsidRPr="00970E39">
              <w:rPr>
                <w:rFonts w:eastAsia="Times New Roman"/>
                <w:color w:val="auto"/>
                <w:sz w:val="18"/>
                <w:szCs w:val="18"/>
              </w:rPr>
              <w:t>$24,487.15</w:t>
            </w:r>
          </w:p>
        </w:tc>
        <w:tc>
          <w:tcPr>
            <w:tcW w:w="105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36D115EE" w14:textId="0E830573" w:rsidR="00AE7FCE" w:rsidRPr="00493A2D" w:rsidRDefault="00AE7FCE" w:rsidP="00AE7FCE">
            <w:pPr>
              <w:spacing w:after="0" w:line="240" w:lineRule="auto"/>
              <w:ind w:left="0" w:firstLine="0"/>
              <w:jc w:val="center"/>
              <w:rPr>
                <w:rFonts w:eastAsia="Times New Roman"/>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E4323E1" w14:textId="3020BB73" w:rsidR="00AE7FCE" w:rsidRPr="00493A2D" w:rsidRDefault="00AE7FCE" w:rsidP="00AE7FCE">
            <w:pPr>
              <w:spacing w:after="0" w:line="240" w:lineRule="auto"/>
              <w:ind w:left="0" w:firstLine="0"/>
              <w:jc w:val="center"/>
              <w:rPr>
                <w:rFonts w:eastAsia="Times New Roman"/>
                <w:color w:val="auto"/>
                <w:sz w:val="18"/>
                <w:szCs w:val="18"/>
              </w:rPr>
            </w:pPr>
            <w:r w:rsidRPr="00970E39">
              <w:rPr>
                <w:rFonts w:eastAsia="Times New Roman"/>
                <w:color w:val="auto"/>
                <w:sz w:val="18"/>
                <w:szCs w:val="18"/>
              </w:rPr>
              <w:t>$24,487.15</w:t>
            </w:r>
          </w:p>
        </w:tc>
        <w:tc>
          <w:tcPr>
            <w:tcW w:w="1132"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0C42F1A" w14:textId="410670DB" w:rsidR="00AE7FCE" w:rsidRPr="00493A2D" w:rsidRDefault="00AE7FCE" w:rsidP="00AE7FCE">
            <w:pPr>
              <w:spacing w:after="0" w:line="240" w:lineRule="auto"/>
              <w:ind w:left="0" w:firstLine="0"/>
              <w:jc w:val="center"/>
              <w:rPr>
                <w:rFonts w:eastAsia="Times New Roman"/>
                <w:color w:val="auto"/>
                <w:sz w:val="18"/>
                <w:szCs w:val="18"/>
              </w:rPr>
            </w:pPr>
            <w:r w:rsidRPr="008A6BD7">
              <w:rPr>
                <w:rFonts w:eastAsia="Times New Roman"/>
                <w:color w:val="auto"/>
                <w:sz w:val="18"/>
                <w:szCs w:val="18"/>
              </w:rPr>
              <w:t>$29,091.95</w:t>
            </w:r>
          </w:p>
        </w:tc>
        <w:tc>
          <w:tcPr>
            <w:tcW w:w="1257" w:type="dxa"/>
            <w:tcBorders>
              <w:top w:val="nil"/>
              <w:left w:val="nil"/>
              <w:bottom w:val="single" w:sz="8" w:space="0" w:color="FFFFFF" w:themeColor="background1"/>
              <w:right w:val="single" w:sz="8" w:space="0" w:color="FFFFFF" w:themeColor="background1"/>
            </w:tcBorders>
            <w:shd w:val="clear" w:color="auto" w:fill="D9E1F3"/>
            <w:vAlign w:val="center"/>
            <w:hideMark/>
          </w:tcPr>
          <w:p w14:paraId="414FD369" w14:textId="7A595F13" w:rsidR="00AE7FCE" w:rsidRPr="00493A2D" w:rsidRDefault="00AE7FCE" w:rsidP="00AE7FCE">
            <w:pPr>
              <w:spacing w:after="0" w:line="240" w:lineRule="auto"/>
              <w:ind w:left="0" w:firstLine="0"/>
              <w:jc w:val="center"/>
              <w:rPr>
                <w:rFonts w:eastAsia="Times New Roman"/>
                <w:color w:val="auto"/>
                <w:sz w:val="18"/>
                <w:szCs w:val="18"/>
              </w:rPr>
            </w:pPr>
            <w:r>
              <w:rPr>
                <w:color w:val="FF0000"/>
                <w:sz w:val="18"/>
                <w:szCs w:val="18"/>
              </w:rPr>
              <w:t>($4,604.80)</w:t>
            </w:r>
          </w:p>
        </w:tc>
      </w:tr>
      <w:tr w:rsidR="00AE7FCE" w:rsidRPr="00E74404" w14:paraId="1D3896AA" w14:textId="77777777" w:rsidTr="38315689">
        <w:trPr>
          <w:trHeight w:val="250"/>
          <w:jc w:val="center"/>
        </w:trPr>
        <w:tc>
          <w:tcPr>
            <w:tcW w:w="1002"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5357C18D" w14:textId="5AF94619" w:rsidR="00AE7FCE" w:rsidRPr="009F5B42" w:rsidRDefault="00AE7FCE" w:rsidP="00AE7FCE">
            <w:pPr>
              <w:spacing w:after="0" w:line="240" w:lineRule="auto"/>
              <w:ind w:left="0" w:firstLine="0"/>
              <w:rPr>
                <w:rFonts w:eastAsia="Times New Roman"/>
                <w:b/>
                <w:bCs/>
                <w:color w:val="FFFFFF"/>
                <w:sz w:val="18"/>
                <w:szCs w:val="18"/>
              </w:rPr>
            </w:pPr>
            <w:r w:rsidRPr="009F5B42">
              <w:rPr>
                <w:rFonts w:eastAsia="Times New Roman"/>
                <w:b/>
                <w:bCs/>
                <w:color w:val="FFFFFF"/>
                <w:sz w:val="18"/>
                <w:szCs w:val="18"/>
              </w:rPr>
              <w:t xml:space="preserve">Total </w:t>
            </w:r>
          </w:p>
        </w:tc>
        <w:tc>
          <w:tcPr>
            <w:tcW w:w="978" w:type="dxa"/>
            <w:tcBorders>
              <w:top w:val="nil"/>
              <w:left w:val="nil"/>
              <w:bottom w:val="single" w:sz="8" w:space="0" w:color="FFFFFF" w:themeColor="background1"/>
              <w:right w:val="single" w:sz="8" w:space="0" w:color="FFFFFF" w:themeColor="background1"/>
            </w:tcBorders>
            <w:shd w:val="clear" w:color="auto" w:fill="C6E0B4"/>
            <w:vAlign w:val="center"/>
            <w:hideMark/>
          </w:tcPr>
          <w:p w14:paraId="68A91211" w14:textId="6E2B83F3" w:rsidR="00AE7FCE" w:rsidRPr="009F5B42" w:rsidRDefault="00AE7FCE" w:rsidP="00AE7FCE">
            <w:pPr>
              <w:spacing w:after="0" w:line="240" w:lineRule="auto"/>
              <w:ind w:left="0" w:firstLine="0"/>
              <w:jc w:val="center"/>
              <w:rPr>
                <w:rFonts w:eastAsia="Times New Roman"/>
                <w:b/>
                <w:bCs/>
                <w:sz w:val="18"/>
                <w:szCs w:val="18"/>
              </w:rPr>
            </w:pPr>
            <w:r>
              <w:rPr>
                <w:rFonts w:eastAsia="Times New Roman"/>
                <w:b/>
                <w:bCs/>
                <w:sz w:val="18"/>
                <w:szCs w:val="18"/>
              </w:rPr>
              <w:t>458,705</w:t>
            </w:r>
          </w:p>
        </w:tc>
        <w:tc>
          <w:tcPr>
            <w:tcW w:w="1133"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926F9D5" w14:textId="51B118B8" w:rsidR="00AE7FCE" w:rsidRPr="009F5B42" w:rsidRDefault="00AE7FCE" w:rsidP="00AE7FCE">
            <w:pPr>
              <w:spacing w:after="0" w:line="240" w:lineRule="auto"/>
              <w:ind w:left="0" w:firstLine="0"/>
              <w:jc w:val="center"/>
              <w:rPr>
                <w:rFonts w:eastAsia="Times New Roman"/>
                <w:b/>
                <w:bCs/>
                <w:sz w:val="18"/>
                <w:szCs w:val="18"/>
              </w:rPr>
            </w:pPr>
            <w:r>
              <w:rPr>
                <w:rFonts w:eastAsia="Times New Roman"/>
                <w:b/>
                <w:bCs/>
                <w:sz w:val="18"/>
                <w:szCs w:val="18"/>
              </w:rPr>
              <w:t>470,602</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274B2A2F" w14:textId="37707D66" w:rsidR="00AE7FCE" w:rsidRPr="00493A2D" w:rsidRDefault="00AE7FCE" w:rsidP="00AE7FCE">
            <w:pPr>
              <w:spacing w:after="0" w:line="240" w:lineRule="auto"/>
              <w:ind w:left="0" w:firstLine="0"/>
              <w:jc w:val="center"/>
              <w:rPr>
                <w:rFonts w:eastAsia="Times New Roman"/>
                <w:b/>
                <w:bCs/>
                <w:color w:val="auto"/>
                <w:sz w:val="18"/>
                <w:szCs w:val="18"/>
              </w:rPr>
            </w:pPr>
            <w:r>
              <w:rPr>
                <w:b/>
                <w:bCs/>
                <w:sz w:val="18"/>
                <w:szCs w:val="18"/>
              </w:rPr>
              <w:t>11,897</w:t>
            </w:r>
          </w:p>
        </w:tc>
        <w:tc>
          <w:tcPr>
            <w:tcW w:w="1241" w:type="dxa"/>
            <w:tcBorders>
              <w:top w:val="nil"/>
              <w:left w:val="nil"/>
              <w:bottom w:val="single" w:sz="8" w:space="0" w:color="FFFFFF" w:themeColor="background1"/>
              <w:right w:val="single" w:sz="8" w:space="0" w:color="FFFFFF" w:themeColor="background1"/>
            </w:tcBorders>
            <w:shd w:val="clear" w:color="auto" w:fill="C6E0B4"/>
            <w:vAlign w:val="center"/>
            <w:hideMark/>
          </w:tcPr>
          <w:p w14:paraId="099E23B2" w14:textId="185E2D7E" w:rsidR="00AE7FCE" w:rsidRPr="00493A2D" w:rsidRDefault="00AE7FCE" w:rsidP="00AE7FCE">
            <w:pPr>
              <w:spacing w:after="0" w:line="240" w:lineRule="auto"/>
              <w:ind w:left="0" w:firstLine="0"/>
              <w:jc w:val="center"/>
              <w:rPr>
                <w:rFonts w:eastAsia="Times New Roman"/>
                <w:b/>
                <w:bCs/>
                <w:color w:val="auto"/>
                <w:sz w:val="18"/>
                <w:szCs w:val="18"/>
              </w:rPr>
            </w:pPr>
            <w:r>
              <w:rPr>
                <w:rFonts w:eastAsia="Times New Roman"/>
                <w:b/>
                <w:bCs/>
                <w:color w:val="auto"/>
                <w:sz w:val="18"/>
                <w:szCs w:val="18"/>
              </w:rPr>
              <w:t>$83,092.92</w:t>
            </w:r>
          </w:p>
        </w:tc>
        <w:tc>
          <w:tcPr>
            <w:tcW w:w="1055"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2CC163E" w14:textId="6526A920" w:rsidR="00AE7FCE" w:rsidRPr="00493A2D" w:rsidRDefault="00AE7FCE" w:rsidP="00AE7FCE">
            <w:pPr>
              <w:spacing w:after="0" w:line="240" w:lineRule="auto"/>
              <w:ind w:left="0" w:firstLine="0"/>
              <w:jc w:val="center"/>
              <w:rPr>
                <w:rFonts w:eastAsia="Times New Roman"/>
                <w:b/>
                <w:bCs/>
                <w:color w:val="auto"/>
                <w:sz w:val="18"/>
                <w:szCs w:val="18"/>
              </w:rPr>
            </w:pP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hideMark/>
          </w:tcPr>
          <w:p w14:paraId="3A7E134D" w14:textId="0DB10F5A" w:rsidR="00AE7FCE" w:rsidRPr="00493A2D" w:rsidRDefault="00AE7FCE" w:rsidP="00AE7FCE">
            <w:pPr>
              <w:spacing w:after="0" w:line="240" w:lineRule="auto"/>
              <w:ind w:left="0" w:firstLine="0"/>
              <w:jc w:val="center"/>
              <w:rPr>
                <w:rFonts w:eastAsia="Times New Roman"/>
                <w:b/>
                <w:bCs/>
                <w:color w:val="auto"/>
                <w:sz w:val="18"/>
                <w:szCs w:val="18"/>
              </w:rPr>
            </w:pPr>
            <w:r>
              <w:rPr>
                <w:b/>
                <w:bCs/>
                <w:color w:val="auto"/>
                <w:sz w:val="18"/>
                <w:szCs w:val="18"/>
              </w:rPr>
              <w:t>$83,092.72</w:t>
            </w:r>
            <w:r w:rsidRPr="00493A2D">
              <w:rPr>
                <w:b/>
                <w:bCs/>
                <w:color w:val="auto"/>
                <w:sz w:val="18"/>
                <w:szCs w:val="18"/>
              </w:rPr>
              <w:t xml:space="preserve"> </w:t>
            </w:r>
          </w:p>
        </w:tc>
        <w:tc>
          <w:tcPr>
            <w:tcW w:w="1132" w:type="dxa"/>
            <w:tcBorders>
              <w:top w:val="nil"/>
              <w:left w:val="nil"/>
              <w:bottom w:val="single" w:sz="8" w:space="0" w:color="FFFFFF" w:themeColor="background1"/>
              <w:right w:val="single" w:sz="8" w:space="0" w:color="FFFFFF" w:themeColor="background1"/>
            </w:tcBorders>
            <w:shd w:val="clear" w:color="auto" w:fill="C6E0B4"/>
            <w:vAlign w:val="center"/>
            <w:hideMark/>
          </w:tcPr>
          <w:p w14:paraId="11B75574" w14:textId="3B48BDE0" w:rsidR="00AE7FCE" w:rsidRPr="00493A2D" w:rsidRDefault="00AE7FCE" w:rsidP="00AE7FCE">
            <w:pPr>
              <w:spacing w:after="0" w:line="240" w:lineRule="auto"/>
              <w:ind w:left="0" w:firstLine="0"/>
              <w:jc w:val="center"/>
              <w:rPr>
                <w:rFonts w:eastAsia="Times New Roman"/>
                <w:b/>
                <w:bCs/>
                <w:color w:val="auto"/>
                <w:sz w:val="18"/>
                <w:szCs w:val="18"/>
              </w:rPr>
            </w:pPr>
            <w:r>
              <w:rPr>
                <w:rFonts w:eastAsia="Times New Roman"/>
                <w:b/>
                <w:bCs/>
                <w:color w:val="auto"/>
                <w:sz w:val="18"/>
                <w:szCs w:val="18"/>
              </w:rPr>
              <w:t>$67,982.84</w:t>
            </w:r>
          </w:p>
        </w:tc>
        <w:tc>
          <w:tcPr>
            <w:tcW w:w="1257" w:type="dxa"/>
            <w:tcBorders>
              <w:top w:val="nil"/>
              <w:left w:val="nil"/>
              <w:bottom w:val="single" w:sz="8" w:space="0" w:color="FFFFFF" w:themeColor="background1"/>
              <w:right w:val="single" w:sz="8" w:space="0" w:color="FFFFFF" w:themeColor="background1"/>
            </w:tcBorders>
            <w:shd w:val="clear" w:color="auto" w:fill="C6E0B4"/>
            <w:vAlign w:val="center"/>
            <w:hideMark/>
          </w:tcPr>
          <w:p w14:paraId="41560CDF" w14:textId="34BF1BEC" w:rsidR="00AE7FCE" w:rsidRPr="00493A2D" w:rsidRDefault="00AE7FCE" w:rsidP="00AE7FCE">
            <w:pPr>
              <w:spacing w:after="0" w:line="240" w:lineRule="auto"/>
              <w:ind w:left="0" w:firstLine="0"/>
              <w:jc w:val="center"/>
              <w:rPr>
                <w:rFonts w:eastAsia="Times New Roman"/>
                <w:b/>
                <w:bCs/>
                <w:color w:val="auto"/>
                <w:sz w:val="18"/>
                <w:szCs w:val="18"/>
              </w:rPr>
            </w:pPr>
            <w:r>
              <w:rPr>
                <w:b/>
                <w:bCs/>
                <w:sz w:val="18"/>
                <w:szCs w:val="18"/>
              </w:rPr>
              <w:t>15,110.08</w:t>
            </w:r>
          </w:p>
        </w:tc>
      </w:tr>
    </w:tbl>
    <w:bookmarkEnd w:id="1"/>
    <w:p w14:paraId="4CCF7324" w14:textId="229EF079" w:rsidR="009F5B42" w:rsidRPr="009F5B42" w:rsidRDefault="00D003FA" w:rsidP="00D003FA">
      <w:pPr>
        <w:spacing w:line="240" w:lineRule="auto"/>
        <w:rPr>
          <w:sz w:val="18"/>
          <w:szCs w:val="18"/>
        </w:rPr>
      </w:pPr>
      <w:r>
        <w:rPr>
          <w:sz w:val="18"/>
          <w:szCs w:val="18"/>
        </w:rPr>
        <w:t xml:space="preserve">       </w:t>
      </w:r>
    </w:p>
    <w:p w14:paraId="6E0BC36B" w14:textId="77777777" w:rsidR="009F5B42" w:rsidRDefault="009F5B42" w:rsidP="0064186B">
      <w:pPr>
        <w:spacing w:line="240" w:lineRule="auto"/>
        <w:ind w:firstLine="0"/>
      </w:pPr>
    </w:p>
    <w:p w14:paraId="5F6E8CAF" w14:textId="2F17EF0A" w:rsidR="00994585" w:rsidRDefault="00994585" w:rsidP="0064186B">
      <w:pPr>
        <w:spacing w:line="240" w:lineRule="auto"/>
        <w:ind w:firstLine="0"/>
      </w:pPr>
    </w:p>
    <w:p w14:paraId="443A27D4" w14:textId="77777777" w:rsidR="00994585" w:rsidRDefault="00994585" w:rsidP="0064186B">
      <w:pPr>
        <w:spacing w:line="240" w:lineRule="auto"/>
        <w:ind w:firstLine="0"/>
      </w:pPr>
    </w:p>
    <w:p w14:paraId="2317DDFD" w14:textId="36D9C73A" w:rsidR="008930D0" w:rsidRDefault="0064186B" w:rsidP="00C11430">
      <w:pPr>
        <w:spacing w:line="240" w:lineRule="auto"/>
        <w:ind w:firstLine="0"/>
        <w:rPr>
          <w:color w:val="2E5395"/>
          <w:sz w:val="32"/>
        </w:rPr>
      </w:pPr>
      <w:r w:rsidRPr="008930D0">
        <w:rPr>
          <w:color w:val="2E5395"/>
          <w:sz w:val="32"/>
        </w:rPr>
        <w:t xml:space="preserve">Summary </w:t>
      </w:r>
      <w:r w:rsidR="00493A2D" w:rsidRPr="008930D0">
        <w:rPr>
          <w:color w:val="2E5395"/>
          <w:sz w:val="32"/>
        </w:rPr>
        <w:t>by</w:t>
      </w:r>
      <w:r w:rsidRPr="008930D0">
        <w:rPr>
          <w:color w:val="2E5395"/>
          <w:sz w:val="32"/>
        </w:rPr>
        <w:t xml:space="preserve"> Quarter</w:t>
      </w:r>
    </w:p>
    <w:tbl>
      <w:tblPr>
        <w:tblW w:w="10302" w:type="dxa"/>
        <w:jc w:val="center"/>
        <w:tblLook w:val="04A0" w:firstRow="1" w:lastRow="0" w:firstColumn="1" w:lastColumn="0" w:noHBand="0" w:noVBand="1"/>
      </w:tblPr>
      <w:tblGrid>
        <w:gridCol w:w="987"/>
        <w:gridCol w:w="810"/>
        <w:gridCol w:w="1133"/>
        <w:gridCol w:w="1133"/>
        <w:gridCol w:w="1234"/>
        <w:gridCol w:w="1288"/>
        <w:gridCol w:w="1234"/>
        <w:gridCol w:w="1234"/>
        <w:gridCol w:w="1249"/>
      </w:tblGrid>
      <w:tr w:rsidR="00E74404" w:rsidRPr="00E74404" w14:paraId="2598B12A" w14:textId="77777777" w:rsidTr="00381BEA">
        <w:trPr>
          <w:trHeight w:val="450"/>
          <w:jc w:val="center"/>
        </w:trPr>
        <w:tc>
          <w:tcPr>
            <w:tcW w:w="987" w:type="dxa"/>
            <w:vMerge w:val="restart"/>
            <w:tcBorders>
              <w:top w:val="nil"/>
              <w:left w:val="single" w:sz="8" w:space="0" w:color="FFFFFF"/>
              <w:bottom w:val="single" w:sz="8" w:space="0" w:color="FFFFFF"/>
              <w:right w:val="single" w:sz="8" w:space="0" w:color="FFFFFF"/>
            </w:tcBorders>
            <w:shd w:val="clear" w:color="000000" w:fill="4471C4"/>
            <w:vAlign w:val="center"/>
            <w:hideMark/>
          </w:tcPr>
          <w:p w14:paraId="3122D1E8" w14:textId="77777777" w:rsidR="00E74404" w:rsidRPr="00D003FA" w:rsidRDefault="00E74404" w:rsidP="00E74404">
            <w:pPr>
              <w:spacing w:after="0" w:line="240" w:lineRule="auto"/>
              <w:ind w:left="0" w:firstLine="0"/>
              <w:jc w:val="left"/>
              <w:rPr>
                <w:rFonts w:eastAsia="Times New Roman"/>
                <w:sz w:val="18"/>
                <w:szCs w:val="18"/>
              </w:rPr>
            </w:pPr>
            <w:r w:rsidRPr="00D003FA">
              <w:rPr>
                <w:rFonts w:eastAsia="Times New Roman"/>
                <w:sz w:val="18"/>
                <w:szCs w:val="18"/>
              </w:rPr>
              <w:t> </w:t>
            </w:r>
          </w:p>
        </w:tc>
        <w:tc>
          <w:tcPr>
            <w:tcW w:w="810"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FDB7E62"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spellStart"/>
            <w:r w:rsidRPr="00D003FA">
              <w:rPr>
                <w:rFonts w:eastAsia="Times New Roman"/>
                <w:b/>
                <w:bCs/>
                <w:color w:val="FFFFFF"/>
                <w:sz w:val="18"/>
                <w:szCs w:val="18"/>
              </w:rPr>
              <w:t>PVSyst</w:t>
            </w:r>
            <w:proofErr w:type="spellEnd"/>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428C4BEB" w14:textId="77777777" w:rsidR="00E74404" w:rsidRPr="00D003FA" w:rsidRDefault="00E74404" w:rsidP="00E74404">
            <w:pPr>
              <w:spacing w:after="0" w:line="240" w:lineRule="auto"/>
              <w:ind w:left="0" w:firstLine="0"/>
              <w:jc w:val="center"/>
              <w:rPr>
                <w:rFonts w:eastAsia="Times New Roman"/>
                <w:b/>
                <w:bCs/>
                <w:color w:val="FFFFFF"/>
                <w:sz w:val="18"/>
                <w:szCs w:val="18"/>
              </w:rPr>
            </w:pPr>
            <w:proofErr w:type="gramStart"/>
            <w:r w:rsidRPr="00D003FA">
              <w:rPr>
                <w:rFonts w:eastAsia="Times New Roman"/>
                <w:b/>
                <w:bCs/>
                <w:color w:val="FFFFFF"/>
                <w:sz w:val="18"/>
                <w:szCs w:val="18"/>
              </w:rPr>
              <w:t>Production  Meter</w:t>
            </w:r>
            <w:proofErr w:type="gramEnd"/>
            <w:r w:rsidRPr="00D003FA">
              <w:rPr>
                <w:rFonts w:eastAsia="Times New Roman"/>
                <w:b/>
                <w:bCs/>
                <w:color w:val="FFFFFF"/>
                <w:sz w:val="18"/>
                <w:szCs w:val="18"/>
              </w:rPr>
              <w:t xml:space="preserve"> </w:t>
            </w:r>
          </w:p>
        </w:tc>
        <w:tc>
          <w:tcPr>
            <w:tcW w:w="1133"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1B4959CE"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Production Variance</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06E8BC" w14:textId="54558DF1"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Invoiced</w:t>
            </w:r>
            <w:r w:rsidR="00A15F0D" w:rsidRPr="00D003FA">
              <w:rPr>
                <w:rFonts w:eastAsia="Times New Roman"/>
                <w:b/>
                <w:bCs/>
                <w:color w:val="FFFFFF"/>
                <w:sz w:val="18"/>
                <w:szCs w:val="18"/>
              </w:rPr>
              <w:t>*</w:t>
            </w:r>
          </w:p>
        </w:tc>
        <w:tc>
          <w:tcPr>
            <w:tcW w:w="1288"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C1B5746"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Accrued Credits*</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FF0169B" w14:textId="1AC8CBBE"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Value Created*</w:t>
            </w:r>
          </w:p>
        </w:tc>
        <w:tc>
          <w:tcPr>
            <w:tcW w:w="1234"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8A03403"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Projected Revenue</w:t>
            </w:r>
          </w:p>
        </w:tc>
        <w:tc>
          <w:tcPr>
            <w:tcW w:w="1249" w:type="dxa"/>
            <w:vMerge w:val="restart"/>
            <w:tcBorders>
              <w:top w:val="nil"/>
              <w:left w:val="single" w:sz="8" w:space="0" w:color="FFFFFF"/>
              <w:bottom w:val="single" w:sz="8" w:space="0" w:color="FFFFFF"/>
              <w:right w:val="single" w:sz="8" w:space="0" w:color="FFFFFF"/>
            </w:tcBorders>
            <w:shd w:val="clear" w:color="000000" w:fill="4472C4"/>
            <w:vAlign w:val="center"/>
            <w:hideMark/>
          </w:tcPr>
          <w:p w14:paraId="64F85318" w14:textId="77777777" w:rsidR="00E74404" w:rsidRPr="00D003FA" w:rsidRDefault="00E74404" w:rsidP="00E74404">
            <w:pPr>
              <w:spacing w:after="0" w:line="240" w:lineRule="auto"/>
              <w:ind w:left="0" w:firstLine="0"/>
              <w:jc w:val="center"/>
              <w:rPr>
                <w:rFonts w:eastAsia="Times New Roman"/>
                <w:b/>
                <w:bCs/>
                <w:color w:val="FFFFFF"/>
                <w:sz w:val="18"/>
                <w:szCs w:val="18"/>
              </w:rPr>
            </w:pPr>
            <w:r w:rsidRPr="00D003FA">
              <w:rPr>
                <w:rFonts w:eastAsia="Times New Roman"/>
                <w:b/>
                <w:bCs/>
                <w:color w:val="FFFFFF"/>
                <w:sz w:val="18"/>
                <w:szCs w:val="18"/>
              </w:rPr>
              <w:t>Revenue Variance</w:t>
            </w:r>
          </w:p>
        </w:tc>
      </w:tr>
      <w:tr w:rsidR="00E74404" w:rsidRPr="00E74404" w14:paraId="5FD98E58" w14:textId="77777777" w:rsidTr="00381BEA">
        <w:trPr>
          <w:trHeight w:val="450"/>
          <w:jc w:val="center"/>
        </w:trPr>
        <w:tc>
          <w:tcPr>
            <w:tcW w:w="987" w:type="dxa"/>
            <w:vMerge/>
            <w:tcBorders>
              <w:top w:val="nil"/>
              <w:left w:val="single" w:sz="8" w:space="0" w:color="FFFFFF"/>
              <w:bottom w:val="single" w:sz="8" w:space="0" w:color="FFFFFF"/>
              <w:right w:val="single" w:sz="8" w:space="0" w:color="FFFFFF"/>
            </w:tcBorders>
            <w:vAlign w:val="center"/>
            <w:hideMark/>
          </w:tcPr>
          <w:p w14:paraId="6DD14BE2" w14:textId="77777777" w:rsidR="00E74404" w:rsidRPr="00D003FA" w:rsidRDefault="00E74404" w:rsidP="00E74404">
            <w:pPr>
              <w:spacing w:after="0" w:line="240" w:lineRule="auto"/>
              <w:ind w:left="0" w:firstLine="0"/>
              <w:jc w:val="left"/>
              <w:rPr>
                <w:rFonts w:eastAsia="Times New Roman"/>
                <w:sz w:val="18"/>
                <w:szCs w:val="18"/>
              </w:rPr>
            </w:pPr>
          </w:p>
        </w:tc>
        <w:tc>
          <w:tcPr>
            <w:tcW w:w="810" w:type="dxa"/>
            <w:vMerge/>
            <w:tcBorders>
              <w:top w:val="nil"/>
              <w:left w:val="single" w:sz="8" w:space="0" w:color="FFFFFF"/>
              <w:bottom w:val="single" w:sz="8" w:space="0" w:color="FFFFFF"/>
              <w:right w:val="single" w:sz="8" w:space="0" w:color="FFFFFF"/>
            </w:tcBorders>
            <w:vAlign w:val="center"/>
            <w:hideMark/>
          </w:tcPr>
          <w:p w14:paraId="1158FCB7"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1DE3A344"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133" w:type="dxa"/>
            <w:vMerge/>
            <w:tcBorders>
              <w:top w:val="nil"/>
              <w:left w:val="single" w:sz="8" w:space="0" w:color="FFFFFF"/>
              <w:bottom w:val="single" w:sz="8" w:space="0" w:color="FFFFFF"/>
              <w:right w:val="single" w:sz="8" w:space="0" w:color="FFFFFF"/>
            </w:tcBorders>
            <w:vAlign w:val="center"/>
            <w:hideMark/>
          </w:tcPr>
          <w:p w14:paraId="40FB36A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06D75E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88" w:type="dxa"/>
            <w:vMerge/>
            <w:tcBorders>
              <w:top w:val="nil"/>
              <w:left w:val="single" w:sz="8" w:space="0" w:color="FFFFFF"/>
              <w:bottom w:val="single" w:sz="8" w:space="0" w:color="FFFFFF"/>
              <w:right w:val="single" w:sz="8" w:space="0" w:color="FFFFFF"/>
            </w:tcBorders>
            <w:vAlign w:val="center"/>
            <w:hideMark/>
          </w:tcPr>
          <w:p w14:paraId="0251A7DE"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11A1ADEB"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34" w:type="dxa"/>
            <w:vMerge/>
            <w:tcBorders>
              <w:top w:val="nil"/>
              <w:left w:val="single" w:sz="8" w:space="0" w:color="FFFFFF"/>
              <w:bottom w:val="single" w:sz="8" w:space="0" w:color="FFFFFF"/>
              <w:right w:val="single" w:sz="8" w:space="0" w:color="FFFFFF"/>
            </w:tcBorders>
            <w:vAlign w:val="center"/>
            <w:hideMark/>
          </w:tcPr>
          <w:p w14:paraId="0299CD2D" w14:textId="77777777" w:rsidR="00E74404" w:rsidRPr="00D003FA" w:rsidRDefault="00E74404" w:rsidP="00E74404">
            <w:pPr>
              <w:spacing w:after="0" w:line="240" w:lineRule="auto"/>
              <w:ind w:left="0" w:firstLine="0"/>
              <w:jc w:val="left"/>
              <w:rPr>
                <w:rFonts w:eastAsia="Times New Roman"/>
                <w:b/>
                <w:bCs/>
                <w:color w:val="FFFFFF"/>
                <w:sz w:val="18"/>
                <w:szCs w:val="18"/>
              </w:rPr>
            </w:pPr>
          </w:p>
        </w:tc>
        <w:tc>
          <w:tcPr>
            <w:tcW w:w="1249" w:type="dxa"/>
            <w:vMerge/>
            <w:tcBorders>
              <w:top w:val="nil"/>
              <w:left w:val="single" w:sz="8" w:space="0" w:color="FFFFFF"/>
              <w:bottom w:val="single" w:sz="8" w:space="0" w:color="FFFFFF"/>
              <w:right w:val="single" w:sz="8" w:space="0" w:color="FFFFFF"/>
            </w:tcBorders>
            <w:vAlign w:val="center"/>
            <w:hideMark/>
          </w:tcPr>
          <w:p w14:paraId="6160F666" w14:textId="77777777" w:rsidR="00E74404" w:rsidRPr="00D003FA" w:rsidRDefault="00E74404" w:rsidP="00E74404">
            <w:pPr>
              <w:spacing w:after="0" w:line="240" w:lineRule="auto"/>
              <w:ind w:left="0" w:firstLine="0"/>
              <w:jc w:val="left"/>
              <w:rPr>
                <w:rFonts w:eastAsia="Times New Roman"/>
                <w:b/>
                <w:bCs/>
                <w:color w:val="FFFFFF"/>
                <w:sz w:val="18"/>
                <w:szCs w:val="18"/>
              </w:rPr>
            </w:pPr>
          </w:p>
        </w:tc>
      </w:tr>
      <w:tr w:rsidR="00E74404" w:rsidRPr="00E74404" w14:paraId="0853C03B" w14:textId="77777777" w:rsidTr="00381BEA">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3836B29E" w14:textId="77777777" w:rsidR="00E74404" w:rsidRPr="00D003FA" w:rsidRDefault="00E74404" w:rsidP="00E74404">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Quarter</w:t>
            </w:r>
          </w:p>
        </w:tc>
        <w:tc>
          <w:tcPr>
            <w:tcW w:w="810" w:type="dxa"/>
            <w:tcBorders>
              <w:top w:val="nil"/>
              <w:left w:val="nil"/>
              <w:bottom w:val="nil"/>
              <w:right w:val="nil"/>
            </w:tcBorders>
            <w:shd w:val="clear" w:color="auto" w:fill="auto"/>
            <w:noWrap/>
            <w:vAlign w:val="bottom"/>
            <w:hideMark/>
          </w:tcPr>
          <w:p w14:paraId="256F196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322EABF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133" w:type="dxa"/>
            <w:tcBorders>
              <w:top w:val="nil"/>
              <w:left w:val="nil"/>
              <w:bottom w:val="nil"/>
              <w:right w:val="nil"/>
            </w:tcBorders>
            <w:shd w:val="clear" w:color="auto" w:fill="auto"/>
            <w:noWrap/>
            <w:vAlign w:val="bottom"/>
            <w:hideMark/>
          </w:tcPr>
          <w:p w14:paraId="4387B58A"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kWh</w:t>
            </w:r>
          </w:p>
        </w:tc>
        <w:tc>
          <w:tcPr>
            <w:tcW w:w="1234" w:type="dxa"/>
            <w:tcBorders>
              <w:top w:val="nil"/>
              <w:left w:val="nil"/>
              <w:bottom w:val="nil"/>
              <w:right w:val="nil"/>
            </w:tcBorders>
            <w:shd w:val="clear" w:color="auto" w:fill="auto"/>
            <w:noWrap/>
            <w:vAlign w:val="bottom"/>
            <w:hideMark/>
          </w:tcPr>
          <w:p w14:paraId="484C3950"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88" w:type="dxa"/>
            <w:tcBorders>
              <w:top w:val="nil"/>
              <w:left w:val="nil"/>
              <w:bottom w:val="nil"/>
              <w:right w:val="nil"/>
            </w:tcBorders>
            <w:shd w:val="clear" w:color="auto" w:fill="auto"/>
            <w:noWrap/>
            <w:vAlign w:val="bottom"/>
            <w:hideMark/>
          </w:tcPr>
          <w:p w14:paraId="2F3F8529"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32E43A3B"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34" w:type="dxa"/>
            <w:tcBorders>
              <w:top w:val="nil"/>
              <w:left w:val="nil"/>
              <w:bottom w:val="nil"/>
              <w:right w:val="nil"/>
            </w:tcBorders>
            <w:shd w:val="clear" w:color="auto" w:fill="auto"/>
            <w:noWrap/>
            <w:vAlign w:val="bottom"/>
            <w:hideMark/>
          </w:tcPr>
          <w:p w14:paraId="789AB615"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c>
          <w:tcPr>
            <w:tcW w:w="1249" w:type="dxa"/>
            <w:tcBorders>
              <w:top w:val="nil"/>
              <w:left w:val="nil"/>
              <w:bottom w:val="nil"/>
              <w:right w:val="nil"/>
            </w:tcBorders>
            <w:shd w:val="clear" w:color="auto" w:fill="auto"/>
            <w:noWrap/>
            <w:vAlign w:val="bottom"/>
            <w:hideMark/>
          </w:tcPr>
          <w:p w14:paraId="62483CDC" w14:textId="77777777" w:rsidR="00E74404" w:rsidRPr="00D003FA" w:rsidRDefault="00E74404" w:rsidP="00E74404">
            <w:pPr>
              <w:spacing w:after="0" w:line="240" w:lineRule="auto"/>
              <w:ind w:left="0" w:firstLine="0"/>
              <w:jc w:val="center"/>
              <w:rPr>
                <w:rFonts w:eastAsia="Times New Roman"/>
                <w:sz w:val="18"/>
                <w:szCs w:val="18"/>
              </w:rPr>
            </w:pPr>
            <w:r w:rsidRPr="00D003FA">
              <w:rPr>
                <w:rFonts w:eastAsia="Times New Roman"/>
                <w:sz w:val="18"/>
                <w:szCs w:val="18"/>
              </w:rPr>
              <w:t>$</w:t>
            </w:r>
          </w:p>
        </w:tc>
      </w:tr>
      <w:tr w:rsidR="00E74404" w:rsidRPr="00E74404" w14:paraId="5D67B470"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10025806" w14:textId="6EB44413" w:rsidR="00E74404" w:rsidRPr="00D003FA" w:rsidRDefault="00E74404" w:rsidP="00E74404">
            <w:pPr>
              <w:spacing w:after="0" w:line="240" w:lineRule="auto"/>
              <w:ind w:left="0" w:firstLine="0"/>
              <w:jc w:val="left"/>
              <w:rPr>
                <w:rFonts w:eastAsia="Times New Roman"/>
                <w:b/>
                <w:bCs/>
                <w:color w:val="FFFFFF"/>
                <w:sz w:val="18"/>
                <w:szCs w:val="18"/>
              </w:rPr>
            </w:pPr>
            <w:bookmarkStart w:id="2" w:name="_Hlk1658817"/>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Q1</w:t>
            </w:r>
          </w:p>
        </w:tc>
        <w:tc>
          <w:tcPr>
            <w:tcW w:w="810" w:type="dxa"/>
            <w:tcBorders>
              <w:top w:val="nil"/>
              <w:left w:val="nil"/>
              <w:bottom w:val="single" w:sz="8" w:space="0" w:color="FFFFFF"/>
              <w:right w:val="single" w:sz="8" w:space="0" w:color="FFFFFF"/>
            </w:tcBorders>
            <w:shd w:val="clear" w:color="000000" w:fill="D9E1F3"/>
            <w:vAlign w:val="center"/>
          </w:tcPr>
          <w:p w14:paraId="44F7A7AF" w14:textId="6516E7F0" w:rsidR="00E74404" w:rsidRPr="00D003FA" w:rsidRDefault="00970E39" w:rsidP="00311AF8">
            <w:pPr>
              <w:spacing w:after="0" w:line="240" w:lineRule="auto"/>
              <w:ind w:left="0" w:firstLine="0"/>
              <w:jc w:val="center"/>
              <w:rPr>
                <w:rFonts w:eastAsia="Times New Roman"/>
                <w:sz w:val="18"/>
                <w:szCs w:val="18"/>
              </w:rPr>
            </w:pPr>
            <w:r>
              <w:rPr>
                <w:rFonts w:eastAsia="Times New Roman"/>
                <w:sz w:val="18"/>
                <w:szCs w:val="18"/>
              </w:rPr>
              <w:t>458,705</w:t>
            </w:r>
          </w:p>
        </w:tc>
        <w:tc>
          <w:tcPr>
            <w:tcW w:w="1133" w:type="dxa"/>
            <w:tcBorders>
              <w:top w:val="nil"/>
              <w:left w:val="nil"/>
              <w:bottom w:val="single" w:sz="8" w:space="0" w:color="FFFFFF"/>
              <w:right w:val="single" w:sz="8" w:space="0" w:color="FFFFFF"/>
            </w:tcBorders>
            <w:shd w:val="clear" w:color="000000" w:fill="D9E1F3"/>
            <w:vAlign w:val="center"/>
          </w:tcPr>
          <w:p w14:paraId="6BE8C5AE" w14:textId="5EFB9A2E" w:rsidR="00E74404" w:rsidRPr="00D003FA" w:rsidRDefault="00970E39" w:rsidP="00311AF8">
            <w:pPr>
              <w:spacing w:after="0" w:line="240" w:lineRule="auto"/>
              <w:ind w:left="0" w:firstLine="0"/>
              <w:jc w:val="center"/>
              <w:rPr>
                <w:rFonts w:eastAsia="Times New Roman"/>
                <w:sz w:val="18"/>
                <w:szCs w:val="18"/>
              </w:rPr>
            </w:pPr>
            <w:r>
              <w:rPr>
                <w:rFonts w:eastAsia="Times New Roman"/>
                <w:sz w:val="18"/>
                <w:szCs w:val="18"/>
              </w:rPr>
              <w:t>470,602</w:t>
            </w:r>
          </w:p>
        </w:tc>
        <w:tc>
          <w:tcPr>
            <w:tcW w:w="1133" w:type="dxa"/>
            <w:tcBorders>
              <w:top w:val="nil"/>
              <w:left w:val="nil"/>
              <w:bottom w:val="single" w:sz="8" w:space="0" w:color="FFFFFF"/>
              <w:right w:val="single" w:sz="8" w:space="0" w:color="FFFFFF"/>
            </w:tcBorders>
            <w:shd w:val="clear" w:color="000000" w:fill="D9E1F3"/>
            <w:vAlign w:val="center"/>
          </w:tcPr>
          <w:p w14:paraId="5BF48DA2" w14:textId="7055FBAB" w:rsidR="00E74404" w:rsidRPr="00493A2D" w:rsidRDefault="00271254" w:rsidP="00311AF8">
            <w:pPr>
              <w:spacing w:after="0" w:line="240" w:lineRule="auto"/>
              <w:ind w:left="0" w:firstLine="0"/>
              <w:jc w:val="center"/>
              <w:rPr>
                <w:color w:val="auto"/>
                <w:sz w:val="18"/>
                <w:szCs w:val="18"/>
              </w:rPr>
            </w:pPr>
            <w:r>
              <w:rPr>
                <w:color w:val="auto"/>
                <w:sz w:val="18"/>
                <w:szCs w:val="18"/>
              </w:rPr>
              <w:t>11,897</w:t>
            </w:r>
          </w:p>
        </w:tc>
        <w:tc>
          <w:tcPr>
            <w:tcW w:w="1234" w:type="dxa"/>
            <w:tcBorders>
              <w:top w:val="nil"/>
              <w:left w:val="nil"/>
              <w:bottom w:val="single" w:sz="8" w:space="0" w:color="FFFFFF"/>
              <w:right w:val="single" w:sz="8" w:space="0" w:color="FFFFFF"/>
            </w:tcBorders>
            <w:shd w:val="clear" w:color="000000" w:fill="D9E1F3"/>
            <w:vAlign w:val="center"/>
          </w:tcPr>
          <w:p w14:paraId="4FEA6F92" w14:textId="7B9E90B9" w:rsidR="00E74404" w:rsidRPr="00493A2D" w:rsidRDefault="00970E39" w:rsidP="00311AF8">
            <w:pPr>
              <w:spacing w:after="0" w:line="240" w:lineRule="auto"/>
              <w:ind w:left="0" w:firstLine="0"/>
              <w:jc w:val="center"/>
              <w:rPr>
                <w:rFonts w:eastAsia="Times New Roman"/>
                <w:color w:val="auto"/>
                <w:sz w:val="18"/>
                <w:szCs w:val="18"/>
              </w:rPr>
            </w:pPr>
            <w:r>
              <w:rPr>
                <w:rFonts w:eastAsia="Times New Roman"/>
                <w:color w:val="auto"/>
                <w:sz w:val="18"/>
                <w:szCs w:val="18"/>
              </w:rPr>
              <w:t>$83,092.92</w:t>
            </w:r>
          </w:p>
        </w:tc>
        <w:tc>
          <w:tcPr>
            <w:tcW w:w="1288" w:type="dxa"/>
            <w:tcBorders>
              <w:top w:val="nil"/>
              <w:left w:val="nil"/>
              <w:bottom w:val="single" w:sz="8" w:space="0" w:color="FFFFFF"/>
              <w:right w:val="single" w:sz="8" w:space="0" w:color="FFFFFF"/>
            </w:tcBorders>
            <w:shd w:val="clear" w:color="000000" w:fill="D9E1F3"/>
            <w:vAlign w:val="center"/>
          </w:tcPr>
          <w:p w14:paraId="6FC70735" w14:textId="216D6AB5" w:rsidR="00E74404" w:rsidRPr="00493A2D" w:rsidRDefault="00E74404" w:rsidP="00311AF8">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16C6DEC" w14:textId="34E6C4AB" w:rsidR="00E74404" w:rsidRPr="00493A2D" w:rsidRDefault="00970E39" w:rsidP="00311AF8">
            <w:pPr>
              <w:spacing w:after="0" w:line="240" w:lineRule="auto"/>
              <w:ind w:left="0" w:firstLine="0"/>
              <w:jc w:val="center"/>
              <w:rPr>
                <w:rFonts w:eastAsia="Times New Roman"/>
                <w:color w:val="auto"/>
                <w:sz w:val="18"/>
                <w:szCs w:val="18"/>
              </w:rPr>
            </w:pPr>
            <w:r>
              <w:rPr>
                <w:rFonts w:eastAsia="Times New Roman"/>
                <w:color w:val="auto"/>
                <w:sz w:val="18"/>
                <w:szCs w:val="18"/>
              </w:rPr>
              <w:t>$83,092.72</w:t>
            </w:r>
          </w:p>
        </w:tc>
        <w:tc>
          <w:tcPr>
            <w:tcW w:w="1234" w:type="dxa"/>
            <w:tcBorders>
              <w:top w:val="nil"/>
              <w:left w:val="nil"/>
              <w:bottom w:val="single" w:sz="8" w:space="0" w:color="FFFFFF"/>
              <w:right w:val="single" w:sz="8" w:space="0" w:color="FFFFFF"/>
            </w:tcBorders>
            <w:shd w:val="clear" w:color="000000" w:fill="D9E1F3"/>
            <w:vAlign w:val="center"/>
          </w:tcPr>
          <w:p w14:paraId="77C1BF56" w14:textId="775F7005" w:rsidR="00E74404" w:rsidRPr="00493A2D" w:rsidRDefault="008A6BD7" w:rsidP="00311AF8">
            <w:pPr>
              <w:spacing w:after="0" w:line="240" w:lineRule="auto"/>
              <w:ind w:left="0" w:firstLine="0"/>
              <w:jc w:val="center"/>
              <w:rPr>
                <w:rFonts w:eastAsia="Times New Roman"/>
                <w:color w:val="auto"/>
                <w:sz w:val="18"/>
                <w:szCs w:val="18"/>
              </w:rPr>
            </w:pPr>
            <w:r>
              <w:rPr>
                <w:rFonts w:eastAsia="Times New Roman"/>
                <w:color w:val="auto"/>
                <w:sz w:val="18"/>
                <w:szCs w:val="18"/>
              </w:rPr>
              <w:t>$67,982.84</w:t>
            </w:r>
          </w:p>
        </w:tc>
        <w:tc>
          <w:tcPr>
            <w:tcW w:w="1249" w:type="dxa"/>
            <w:tcBorders>
              <w:top w:val="nil"/>
              <w:left w:val="nil"/>
              <w:bottom w:val="single" w:sz="8" w:space="0" w:color="FFFFFF"/>
              <w:right w:val="single" w:sz="8" w:space="0" w:color="FFFFFF"/>
            </w:tcBorders>
            <w:shd w:val="clear" w:color="000000" w:fill="D9E1F3"/>
            <w:vAlign w:val="center"/>
          </w:tcPr>
          <w:p w14:paraId="5ED646D1" w14:textId="2246F2FC" w:rsidR="00E74404" w:rsidRPr="00493A2D" w:rsidRDefault="00271254" w:rsidP="00311AF8">
            <w:pPr>
              <w:spacing w:after="0" w:line="240" w:lineRule="auto"/>
              <w:ind w:left="0" w:firstLine="0"/>
              <w:jc w:val="center"/>
              <w:rPr>
                <w:rFonts w:eastAsia="Times New Roman"/>
                <w:color w:val="auto"/>
                <w:sz w:val="18"/>
                <w:szCs w:val="18"/>
              </w:rPr>
            </w:pPr>
            <w:r>
              <w:rPr>
                <w:rFonts w:eastAsia="Times New Roman"/>
                <w:color w:val="auto"/>
                <w:sz w:val="18"/>
                <w:szCs w:val="18"/>
              </w:rPr>
              <w:t>15,110.08</w:t>
            </w:r>
          </w:p>
        </w:tc>
      </w:tr>
      <w:tr w:rsidR="00381BEA" w:rsidRPr="00E74404" w14:paraId="39EDDB6A"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6E8217D5" w14:textId="11897E28"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Q2 </w:t>
            </w:r>
          </w:p>
        </w:tc>
        <w:tc>
          <w:tcPr>
            <w:tcW w:w="810" w:type="dxa"/>
            <w:tcBorders>
              <w:top w:val="nil"/>
              <w:left w:val="nil"/>
              <w:bottom w:val="single" w:sz="8" w:space="0" w:color="FFFFFF"/>
              <w:right w:val="single" w:sz="8" w:space="0" w:color="FFFFFF"/>
            </w:tcBorders>
            <w:shd w:val="clear" w:color="000000" w:fill="D9E1F3"/>
            <w:vAlign w:val="center"/>
          </w:tcPr>
          <w:p w14:paraId="0FD93CD8" w14:textId="1FD5D4D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1BFFE4B1" w14:textId="6C9EB6C0"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42F512F2" w14:textId="3DBBE721"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EE4B40A" w14:textId="51BC3EA3"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36DBD394" w14:textId="7AB6CBFA"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A50967B" w14:textId="0604A190"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70A9AB9F" w14:textId="7CAFF987"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3829E2C8" w14:textId="0DC9402F"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131316D2"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7507334B" w14:textId="04260966" w:rsidR="00381BEA" w:rsidRPr="00D003FA" w:rsidRDefault="00381BEA" w:rsidP="00381BEA">
            <w:pPr>
              <w:spacing w:after="0" w:line="240" w:lineRule="auto"/>
              <w:ind w:left="0" w:firstLine="0"/>
              <w:jc w:val="left"/>
              <w:rPr>
                <w:rFonts w:eastAsia="Times New Roman"/>
                <w:b/>
                <w:bCs/>
                <w:color w:val="FFFFFF"/>
                <w:sz w:val="18"/>
                <w:szCs w:val="18"/>
              </w:rPr>
            </w:pPr>
            <w:bookmarkStart w:id="3" w:name="OLE_LINK5"/>
            <w:bookmarkStart w:id="4" w:name="OLE_LINK6"/>
            <w:r w:rsidRPr="00D003FA">
              <w:rPr>
                <w:rFonts w:eastAsia="Times New Roman"/>
                <w:b/>
                <w:bCs/>
                <w:color w:val="FFFFFF"/>
                <w:sz w:val="18"/>
                <w:szCs w:val="18"/>
              </w:rPr>
              <w:t>1</w:t>
            </w:r>
            <w:r w:rsidR="004A273F">
              <w:rPr>
                <w:rFonts w:eastAsia="Times New Roman"/>
                <w:b/>
                <w:bCs/>
                <w:color w:val="FFFFFF"/>
                <w:sz w:val="18"/>
                <w:szCs w:val="18"/>
              </w:rPr>
              <w:t>9</w:t>
            </w:r>
            <w:r w:rsidRPr="00D003FA">
              <w:rPr>
                <w:rFonts w:eastAsia="Times New Roman"/>
                <w:b/>
                <w:bCs/>
                <w:color w:val="FFFFFF"/>
                <w:sz w:val="18"/>
                <w:szCs w:val="18"/>
              </w:rPr>
              <w:t xml:space="preserve"> – Q3</w:t>
            </w:r>
            <w:bookmarkEnd w:id="3"/>
            <w:bookmarkEnd w:id="4"/>
          </w:p>
        </w:tc>
        <w:tc>
          <w:tcPr>
            <w:tcW w:w="810" w:type="dxa"/>
            <w:tcBorders>
              <w:top w:val="nil"/>
              <w:left w:val="nil"/>
              <w:bottom w:val="single" w:sz="8" w:space="0" w:color="FFFFFF"/>
              <w:right w:val="single" w:sz="8" w:space="0" w:color="FFFFFF"/>
            </w:tcBorders>
            <w:shd w:val="clear" w:color="000000" w:fill="D9E1F3"/>
            <w:vAlign w:val="center"/>
          </w:tcPr>
          <w:p w14:paraId="3047B085" w14:textId="2079689F"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494BA3ED" w14:textId="33175089"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5DC8B1E" w14:textId="6CF5F7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D1FDCE" w14:textId="1C511095"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1B027DB6" w14:textId="497B5AA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499D7998" w14:textId="468A7A1C"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394EAB30" w14:textId="18B72EC8"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A0A2AA7" w14:textId="338F3A2A"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0A5A6CB7" w14:textId="77777777" w:rsidTr="00381BEA">
        <w:trPr>
          <w:trHeight w:val="106"/>
          <w:jc w:val="center"/>
        </w:trPr>
        <w:tc>
          <w:tcPr>
            <w:tcW w:w="987" w:type="dxa"/>
            <w:tcBorders>
              <w:top w:val="nil"/>
              <w:left w:val="single" w:sz="8" w:space="0" w:color="FFFFFF"/>
              <w:bottom w:val="single" w:sz="8" w:space="0" w:color="FFFFFF"/>
              <w:right w:val="single" w:sz="8" w:space="0" w:color="FFFFFF"/>
            </w:tcBorders>
            <w:shd w:val="clear" w:color="000000" w:fill="4471C4"/>
            <w:vAlign w:val="center"/>
          </w:tcPr>
          <w:p w14:paraId="68BDC39E" w14:textId="26F12A34" w:rsidR="00381BEA" w:rsidRPr="00D003FA" w:rsidRDefault="00381BEA" w:rsidP="00381BEA">
            <w:pPr>
              <w:spacing w:after="0" w:line="240" w:lineRule="auto"/>
              <w:ind w:left="0" w:firstLine="0"/>
              <w:jc w:val="left"/>
              <w:rPr>
                <w:rFonts w:eastAsia="Times New Roman"/>
                <w:b/>
                <w:bCs/>
                <w:color w:val="FFFFFF"/>
                <w:sz w:val="18"/>
                <w:szCs w:val="18"/>
              </w:rPr>
            </w:pPr>
            <w:r w:rsidRPr="00D003FA">
              <w:rPr>
                <w:rFonts w:eastAsia="Times New Roman"/>
                <w:b/>
                <w:bCs/>
                <w:color w:val="FFFFFF"/>
                <w:sz w:val="18"/>
                <w:szCs w:val="18"/>
              </w:rPr>
              <w:t>18</w:t>
            </w:r>
            <w:r w:rsidR="004A273F">
              <w:rPr>
                <w:rFonts w:eastAsia="Times New Roman"/>
                <w:b/>
                <w:bCs/>
                <w:color w:val="FFFFFF"/>
                <w:sz w:val="18"/>
                <w:szCs w:val="18"/>
              </w:rPr>
              <w:t>9</w:t>
            </w:r>
            <w:r w:rsidRPr="00D003FA">
              <w:rPr>
                <w:rFonts w:eastAsia="Times New Roman"/>
                <w:b/>
                <w:bCs/>
                <w:color w:val="FFFFFF"/>
                <w:sz w:val="18"/>
                <w:szCs w:val="18"/>
              </w:rPr>
              <w:t>– Q4</w:t>
            </w:r>
          </w:p>
        </w:tc>
        <w:tc>
          <w:tcPr>
            <w:tcW w:w="810" w:type="dxa"/>
            <w:tcBorders>
              <w:top w:val="nil"/>
              <w:left w:val="nil"/>
              <w:bottom w:val="single" w:sz="8" w:space="0" w:color="FFFFFF"/>
              <w:right w:val="single" w:sz="8" w:space="0" w:color="FFFFFF"/>
            </w:tcBorders>
            <w:shd w:val="clear" w:color="000000" w:fill="D9E1F3"/>
            <w:vAlign w:val="center"/>
          </w:tcPr>
          <w:p w14:paraId="53067876" w14:textId="12632272"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3A482E92" w14:textId="1F3D6BF4" w:rsidR="00381BEA" w:rsidRPr="00D003FA" w:rsidRDefault="00381BEA" w:rsidP="00381BEA">
            <w:pPr>
              <w:spacing w:after="0" w:line="240" w:lineRule="auto"/>
              <w:ind w:left="0" w:firstLine="0"/>
              <w:jc w:val="center"/>
              <w:rPr>
                <w:rFonts w:eastAsia="Times New Roman"/>
                <w:sz w:val="18"/>
                <w:szCs w:val="18"/>
              </w:rPr>
            </w:pPr>
          </w:p>
        </w:tc>
        <w:tc>
          <w:tcPr>
            <w:tcW w:w="1133" w:type="dxa"/>
            <w:tcBorders>
              <w:top w:val="nil"/>
              <w:left w:val="nil"/>
              <w:bottom w:val="single" w:sz="8" w:space="0" w:color="FFFFFF"/>
              <w:right w:val="single" w:sz="8" w:space="0" w:color="FFFFFF"/>
            </w:tcBorders>
            <w:shd w:val="clear" w:color="000000" w:fill="D9E1F3"/>
            <w:vAlign w:val="center"/>
          </w:tcPr>
          <w:p w14:paraId="7E2F597F" w14:textId="2B9C1E26" w:rsidR="00381BEA" w:rsidRPr="00493A2D" w:rsidRDefault="00381BEA" w:rsidP="00381BEA">
            <w:pPr>
              <w:spacing w:after="0" w:line="240" w:lineRule="auto"/>
              <w:ind w:left="0" w:firstLine="0"/>
              <w:jc w:val="center"/>
              <w:rPr>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798961C2" w14:textId="6F97BF8B" w:rsidR="00381BEA" w:rsidRPr="00493A2D" w:rsidRDefault="00381BEA" w:rsidP="00381BEA">
            <w:pPr>
              <w:spacing w:after="0" w:line="240" w:lineRule="auto"/>
              <w:ind w:left="0" w:firstLine="0"/>
              <w:jc w:val="center"/>
              <w:rPr>
                <w:rFonts w:eastAsia="Times New Roman"/>
                <w:color w:val="auto"/>
                <w:sz w:val="18"/>
                <w:szCs w:val="18"/>
              </w:rPr>
            </w:pPr>
          </w:p>
        </w:tc>
        <w:tc>
          <w:tcPr>
            <w:tcW w:w="1288" w:type="dxa"/>
            <w:tcBorders>
              <w:top w:val="nil"/>
              <w:left w:val="nil"/>
              <w:bottom w:val="single" w:sz="8" w:space="0" w:color="FFFFFF"/>
              <w:right w:val="single" w:sz="8" w:space="0" w:color="FFFFFF"/>
            </w:tcBorders>
            <w:shd w:val="clear" w:color="000000" w:fill="D9E1F3"/>
            <w:vAlign w:val="center"/>
          </w:tcPr>
          <w:p w14:paraId="26783CCD" w14:textId="064DBEA7"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6DC1388C" w14:textId="411CBB64" w:rsidR="00381BEA" w:rsidRPr="00493A2D" w:rsidRDefault="00381BEA" w:rsidP="00381BEA">
            <w:pPr>
              <w:spacing w:after="0" w:line="240" w:lineRule="auto"/>
              <w:ind w:left="0" w:firstLine="0"/>
              <w:jc w:val="center"/>
              <w:rPr>
                <w:rFonts w:eastAsia="Times New Roman"/>
                <w:color w:val="auto"/>
                <w:sz w:val="18"/>
                <w:szCs w:val="18"/>
              </w:rPr>
            </w:pPr>
          </w:p>
        </w:tc>
        <w:tc>
          <w:tcPr>
            <w:tcW w:w="1234" w:type="dxa"/>
            <w:tcBorders>
              <w:top w:val="nil"/>
              <w:left w:val="nil"/>
              <w:bottom w:val="single" w:sz="8" w:space="0" w:color="FFFFFF"/>
              <w:right w:val="single" w:sz="8" w:space="0" w:color="FFFFFF"/>
            </w:tcBorders>
            <w:shd w:val="clear" w:color="000000" w:fill="D9E1F3"/>
            <w:vAlign w:val="center"/>
          </w:tcPr>
          <w:p w14:paraId="28A335EB" w14:textId="1C71497B" w:rsidR="00381BEA" w:rsidRPr="00493A2D" w:rsidRDefault="00381BEA" w:rsidP="00381BEA">
            <w:pPr>
              <w:spacing w:after="0" w:line="240" w:lineRule="auto"/>
              <w:ind w:left="0" w:firstLine="0"/>
              <w:jc w:val="center"/>
              <w:rPr>
                <w:rFonts w:eastAsia="Times New Roman"/>
                <w:color w:val="auto"/>
                <w:sz w:val="18"/>
                <w:szCs w:val="18"/>
              </w:rPr>
            </w:pPr>
          </w:p>
        </w:tc>
        <w:tc>
          <w:tcPr>
            <w:tcW w:w="1249" w:type="dxa"/>
            <w:tcBorders>
              <w:top w:val="nil"/>
              <w:left w:val="nil"/>
              <w:bottom w:val="single" w:sz="8" w:space="0" w:color="FFFFFF"/>
              <w:right w:val="single" w:sz="8" w:space="0" w:color="FFFFFF"/>
            </w:tcBorders>
            <w:shd w:val="clear" w:color="000000" w:fill="D9E1F3"/>
            <w:vAlign w:val="center"/>
          </w:tcPr>
          <w:p w14:paraId="185830F2" w14:textId="6CAF4EDC" w:rsidR="00381BEA" w:rsidRPr="00493A2D" w:rsidRDefault="00381BEA" w:rsidP="00381BEA">
            <w:pPr>
              <w:spacing w:after="0" w:line="240" w:lineRule="auto"/>
              <w:ind w:left="0" w:firstLine="0"/>
              <w:jc w:val="center"/>
              <w:rPr>
                <w:rFonts w:eastAsia="Times New Roman"/>
                <w:color w:val="auto"/>
                <w:sz w:val="18"/>
                <w:szCs w:val="18"/>
              </w:rPr>
            </w:pPr>
          </w:p>
        </w:tc>
      </w:tr>
      <w:tr w:rsidR="00381BEA" w:rsidRPr="00E74404" w14:paraId="646FEB79" w14:textId="77777777" w:rsidTr="004A273F">
        <w:trPr>
          <w:trHeight w:val="231"/>
          <w:jc w:val="center"/>
        </w:trPr>
        <w:tc>
          <w:tcPr>
            <w:tcW w:w="987" w:type="dxa"/>
            <w:tcBorders>
              <w:top w:val="nil"/>
              <w:left w:val="single" w:sz="8" w:space="0" w:color="FFFFFF"/>
              <w:bottom w:val="single" w:sz="8" w:space="0" w:color="FFFFFF"/>
              <w:right w:val="single" w:sz="8" w:space="0" w:color="FFFFFF"/>
            </w:tcBorders>
            <w:shd w:val="clear" w:color="000000" w:fill="4471C4"/>
            <w:vAlign w:val="center"/>
            <w:hideMark/>
          </w:tcPr>
          <w:p w14:paraId="5E5F3B12" w14:textId="77777777" w:rsidR="00381BEA" w:rsidRPr="00D003FA" w:rsidRDefault="00381BEA" w:rsidP="00381BEA">
            <w:pPr>
              <w:spacing w:after="0" w:line="240" w:lineRule="auto"/>
              <w:ind w:left="0" w:firstLine="0"/>
              <w:rPr>
                <w:rFonts w:eastAsia="Times New Roman"/>
                <w:b/>
                <w:bCs/>
                <w:color w:val="FFFFFF"/>
                <w:sz w:val="18"/>
                <w:szCs w:val="18"/>
              </w:rPr>
            </w:pPr>
            <w:r w:rsidRPr="00D003FA">
              <w:rPr>
                <w:rFonts w:eastAsia="Times New Roman"/>
                <w:b/>
                <w:bCs/>
                <w:color w:val="FFFFFF"/>
                <w:sz w:val="18"/>
                <w:szCs w:val="18"/>
              </w:rPr>
              <w:t>YTD Total</w:t>
            </w:r>
          </w:p>
        </w:tc>
        <w:tc>
          <w:tcPr>
            <w:tcW w:w="810" w:type="dxa"/>
            <w:tcBorders>
              <w:top w:val="nil"/>
              <w:left w:val="nil"/>
              <w:bottom w:val="single" w:sz="8" w:space="0" w:color="FFFFFF"/>
              <w:right w:val="single" w:sz="8" w:space="0" w:color="FFFFFF"/>
            </w:tcBorders>
            <w:shd w:val="clear" w:color="000000" w:fill="C6E0B4"/>
            <w:vAlign w:val="center"/>
          </w:tcPr>
          <w:p w14:paraId="066A1801" w14:textId="45205F5F" w:rsidR="00381BEA" w:rsidRPr="00381BEA" w:rsidRDefault="00381BEA" w:rsidP="00381BEA">
            <w:pPr>
              <w:spacing w:after="0" w:line="240" w:lineRule="auto"/>
              <w:ind w:left="0" w:firstLine="0"/>
              <w:jc w:val="center"/>
              <w:rPr>
                <w:rFonts w:eastAsia="Times New Roman"/>
                <w:b/>
                <w:bCs/>
                <w:sz w:val="18"/>
                <w:szCs w:val="18"/>
              </w:rPr>
            </w:pPr>
            <w:bookmarkStart w:id="5" w:name="_GoBack"/>
            <w:bookmarkEnd w:id="5"/>
          </w:p>
        </w:tc>
        <w:tc>
          <w:tcPr>
            <w:tcW w:w="1133" w:type="dxa"/>
            <w:tcBorders>
              <w:top w:val="nil"/>
              <w:left w:val="nil"/>
              <w:bottom w:val="single" w:sz="8" w:space="0" w:color="FFFFFF"/>
              <w:right w:val="single" w:sz="8" w:space="0" w:color="FFFFFF"/>
            </w:tcBorders>
            <w:shd w:val="clear" w:color="000000" w:fill="C6E0B4"/>
            <w:vAlign w:val="center"/>
          </w:tcPr>
          <w:p w14:paraId="2F279882" w14:textId="3C3428BE" w:rsidR="00381BEA" w:rsidRPr="00381BEA" w:rsidRDefault="00381BEA" w:rsidP="00381BEA">
            <w:pPr>
              <w:spacing w:after="0" w:line="240" w:lineRule="auto"/>
              <w:ind w:left="0" w:firstLine="0"/>
              <w:jc w:val="center"/>
              <w:rPr>
                <w:rFonts w:eastAsia="Times New Roman"/>
                <w:b/>
                <w:bCs/>
                <w:sz w:val="18"/>
                <w:szCs w:val="18"/>
              </w:rPr>
            </w:pPr>
          </w:p>
        </w:tc>
        <w:tc>
          <w:tcPr>
            <w:tcW w:w="1133" w:type="dxa"/>
            <w:tcBorders>
              <w:top w:val="nil"/>
              <w:left w:val="nil"/>
              <w:bottom w:val="single" w:sz="8" w:space="0" w:color="FFFFFF"/>
              <w:right w:val="single" w:sz="8" w:space="0" w:color="FFFFFF"/>
            </w:tcBorders>
            <w:shd w:val="clear" w:color="000000" w:fill="C6E0B4"/>
            <w:vAlign w:val="center"/>
          </w:tcPr>
          <w:p w14:paraId="1D128B45" w14:textId="16224816" w:rsidR="00381BEA" w:rsidRPr="00493A2D" w:rsidRDefault="00381BEA" w:rsidP="00381BEA">
            <w:pPr>
              <w:spacing w:after="0" w:line="240" w:lineRule="auto"/>
              <w:ind w:left="0" w:firstLine="0"/>
              <w:jc w:val="center"/>
              <w:rPr>
                <w:b/>
                <w:color w:val="auto"/>
                <w:sz w:val="18"/>
                <w:szCs w:val="18"/>
              </w:rPr>
            </w:pPr>
          </w:p>
        </w:tc>
        <w:tc>
          <w:tcPr>
            <w:tcW w:w="1234" w:type="dxa"/>
            <w:tcBorders>
              <w:top w:val="nil"/>
              <w:left w:val="nil"/>
              <w:bottom w:val="single" w:sz="8" w:space="0" w:color="FFFFFF"/>
              <w:right w:val="single" w:sz="8" w:space="0" w:color="FFFFFF"/>
            </w:tcBorders>
            <w:shd w:val="clear" w:color="000000" w:fill="C6E0B4"/>
            <w:vAlign w:val="center"/>
          </w:tcPr>
          <w:p w14:paraId="6B7599F3" w14:textId="18D09CF6" w:rsidR="00381BEA" w:rsidRPr="00493A2D" w:rsidRDefault="00381BEA" w:rsidP="00381BEA">
            <w:pPr>
              <w:spacing w:after="0" w:line="240" w:lineRule="auto"/>
              <w:ind w:left="0" w:firstLine="0"/>
              <w:jc w:val="center"/>
              <w:rPr>
                <w:rFonts w:eastAsia="Times New Roman"/>
                <w:b/>
                <w:bCs/>
                <w:color w:val="auto"/>
                <w:sz w:val="18"/>
                <w:szCs w:val="18"/>
              </w:rPr>
            </w:pPr>
          </w:p>
        </w:tc>
        <w:tc>
          <w:tcPr>
            <w:tcW w:w="1288" w:type="dxa"/>
            <w:tcBorders>
              <w:top w:val="nil"/>
              <w:left w:val="nil"/>
              <w:bottom w:val="single" w:sz="8" w:space="0" w:color="FFFFFF"/>
              <w:right w:val="single" w:sz="8" w:space="0" w:color="FFFFFF"/>
            </w:tcBorders>
            <w:shd w:val="clear" w:color="000000" w:fill="C6E0B4"/>
            <w:vAlign w:val="center"/>
          </w:tcPr>
          <w:p w14:paraId="199FEED9" w14:textId="2697637E" w:rsidR="00381BEA" w:rsidRPr="00493A2D" w:rsidRDefault="00381BEA" w:rsidP="00381BEA">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right w:val="single" w:sz="8" w:space="0" w:color="FFFFFF"/>
            </w:tcBorders>
            <w:shd w:val="clear" w:color="000000" w:fill="C6E0B4"/>
            <w:vAlign w:val="center"/>
          </w:tcPr>
          <w:p w14:paraId="279AC024" w14:textId="0BB47FCC" w:rsidR="00381BEA" w:rsidRPr="00493A2D" w:rsidRDefault="00381BEA" w:rsidP="00381BEA">
            <w:pPr>
              <w:spacing w:after="0" w:line="240" w:lineRule="auto"/>
              <w:ind w:left="0" w:firstLine="0"/>
              <w:jc w:val="center"/>
              <w:rPr>
                <w:rFonts w:eastAsia="Times New Roman"/>
                <w:b/>
                <w:bCs/>
                <w:color w:val="auto"/>
                <w:sz w:val="18"/>
                <w:szCs w:val="18"/>
              </w:rPr>
            </w:pPr>
          </w:p>
        </w:tc>
        <w:tc>
          <w:tcPr>
            <w:tcW w:w="1234" w:type="dxa"/>
            <w:tcBorders>
              <w:top w:val="nil"/>
              <w:left w:val="nil"/>
              <w:bottom w:val="single" w:sz="8" w:space="0" w:color="FFFFFF"/>
              <w:right w:val="single" w:sz="8" w:space="0" w:color="FFFFFF"/>
            </w:tcBorders>
            <w:shd w:val="clear" w:color="000000" w:fill="C6E0B4"/>
            <w:vAlign w:val="center"/>
          </w:tcPr>
          <w:p w14:paraId="76C9FF97" w14:textId="23E10CCB" w:rsidR="00381BEA" w:rsidRPr="00493A2D" w:rsidRDefault="00381BEA" w:rsidP="00381BEA">
            <w:pPr>
              <w:spacing w:after="0" w:line="240" w:lineRule="auto"/>
              <w:ind w:left="0" w:firstLine="0"/>
              <w:jc w:val="center"/>
              <w:rPr>
                <w:rFonts w:eastAsia="Times New Roman"/>
                <w:b/>
                <w:bCs/>
                <w:color w:val="auto"/>
                <w:sz w:val="18"/>
                <w:szCs w:val="18"/>
              </w:rPr>
            </w:pPr>
          </w:p>
        </w:tc>
        <w:tc>
          <w:tcPr>
            <w:tcW w:w="1249" w:type="dxa"/>
            <w:tcBorders>
              <w:top w:val="nil"/>
              <w:left w:val="nil"/>
              <w:bottom w:val="single" w:sz="8" w:space="0" w:color="FFFFFF"/>
              <w:right w:val="single" w:sz="8" w:space="0" w:color="FFFFFF"/>
            </w:tcBorders>
            <w:shd w:val="clear" w:color="000000" w:fill="C6E0B4"/>
            <w:vAlign w:val="center"/>
          </w:tcPr>
          <w:p w14:paraId="3E5F2DE1" w14:textId="0D7D8842" w:rsidR="00381BEA" w:rsidRPr="00493A2D" w:rsidRDefault="00381BEA" w:rsidP="00F641DE">
            <w:pPr>
              <w:spacing w:after="0" w:line="240" w:lineRule="auto"/>
              <w:ind w:left="0" w:firstLine="0"/>
              <w:jc w:val="center"/>
              <w:rPr>
                <w:rFonts w:eastAsia="Times New Roman"/>
                <w:b/>
                <w:bCs/>
                <w:color w:val="auto"/>
                <w:sz w:val="18"/>
                <w:szCs w:val="18"/>
              </w:rPr>
            </w:pPr>
          </w:p>
        </w:tc>
      </w:tr>
      <w:bookmarkEnd w:id="2"/>
    </w:tbl>
    <w:p w14:paraId="76A34F01" w14:textId="721AC4CF" w:rsidR="00654509" w:rsidRDefault="00654509" w:rsidP="00AE7FCE">
      <w:pPr>
        <w:spacing w:line="240" w:lineRule="auto"/>
        <w:ind w:left="0" w:firstLine="0"/>
      </w:pPr>
    </w:p>
    <w:p w14:paraId="07FD2553" w14:textId="77777777" w:rsidR="00654509" w:rsidRDefault="00654509" w:rsidP="00152C75">
      <w:pPr>
        <w:spacing w:line="240" w:lineRule="auto"/>
        <w:ind w:firstLine="0"/>
      </w:pPr>
    </w:p>
    <w:p w14:paraId="23FE02A3" w14:textId="77777777" w:rsidR="00DE5493" w:rsidRDefault="00DE5493" w:rsidP="00152C75">
      <w:pPr>
        <w:spacing w:line="240" w:lineRule="auto"/>
        <w:ind w:firstLine="0"/>
      </w:pPr>
    </w:p>
    <w:p w14:paraId="19B921B9" w14:textId="77777777" w:rsidR="00CE3959" w:rsidRDefault="00C57C89">
      <w:pPr>
        <w:pStyle w:val="Heading1"/>
        <w:ind w:left="219" w:hanging="233"/>
      </w:pPr>
      <w:r>
        <w:t xml:space="preserve">| Portfolio Performance </w:t>
      </w:r>
    </w:p>
    <w:p w14:paraId="6E4F67A8" w14:textId="74A80E0F" w:rsidR="00CE3959" w:rsidRDefault="38315689" w:rsidP="00AE7FCE">
      <w:pPr>
        <w:spacing w:after="2" w:line="240" w:lineRule="auto"/>
        <w:ind w:left="0" w:firstLine="0"/>
      </w:pPr>
      <w:r>
        <w:t xml:space="preserve">The predicted energy output for the </w:t>
      </w:r>
      <w:proofErr w:type="gramStart"/>
      <w:r>
        <w:t>Blue Sky</w:t>
      </w:r>
      <w:proofErr w:type="gramEnd"/>
      <w:r>
        <w:t xml:space="preserve"> Utility 2017 III, LLC project during Q1 2019 was </w:t>
      </w:r>
      <w:r w:rsidRPr="00271254">
        <w:rPr>
          <w:b/>
          <w:bCs/>
        </w:rPr>
        <w:t>458,705 kWh</w:t>
      </w:r>
      <w:r w:rsidRPr="00271254">
        <w:t xml:space="preserve">.  The actual energy output for the </w:t>
      </w:r>
      <w:proofErr w:type="gramStart"/>
      <w:r w:rsidRPr="00271254">
        <w:t>Blue Sky</w:t>
      </w:r>
      <w:proofErr w:type="gramEnd"/>
      <w:r w:rsidRPr="00271254">
        <w:t xml:space="preserve"> Utility 2017 III, LLC project during Q1 2019 was </w:t>
      </w:r>
      <w:r w:rsidRPr="00271254">
        <w:rPr>
          <w:b/>
          <w:bCs/>
        </w:rPr>
        <w:t>470,602 kWh</w:t>
      </w:r>
      <w:r w:rsidRPr="00271254">
        <w:t>.</w:t>
      </w:r>
      <w:r>
        <w:t xml:space="preserve"> </w:t>
      </w:r>
    </w:p>
    <w:p w14:paraId="26CD068F" w14:textId="6A09931A" w:rsidR="00DE5493" w:rsidRDefault="00C57C89" w:rsidP="00AE7FCE">
      <w:pPr>
        <w:spacing w:after="341" w:line="240" w:lineRule="auto"/>
        <w:ind w:left="0" w:firstLine="0"/>
      </w:pPr>
      <w:r>
        <w:t>The performance of the portfolio is evaluated by comparing the produced energy to two quantities: (1) the energy forecasted/modeled during pre-acquisition of each array (</w:t>
      </w:r>
      <w:proofErr w:type="spellStart"/>
      <w:r>
        <w:t>PVSyst</w:t>
      </w:r>
      <w:proofErr w:type="spellEnd"/>
      <w:r>
        <w:t xml:space="preserve"> model), to which the quantities are labeled as “predicted” will be associated, and (2) the energy expected using the same model as the forecast, but applied to the actual irradiance, temperature, and wind speed observed at the site during the reporting period. Quantities associated with the specific energy production are labeled as “actual”. </w:t>
      </w:r>
    </w:p>
    <w:p w14:paraId="57C503C4" w14:textId="77777777" w:rsidR="00DE5493" w:rsidRDefault="00DE5493">
      <w:pPr>
        <w:spacing w:after="341"/>
        <w:ind w:left="-4"/>
      </w:pPr>
    </w:p>
    <w:p w14:paraId="36588F4E" w14:textId="77777777" w:rsidR="00CE3959" w:rsidRDefault="00C57C89">
      <w:pPr>
        <w:pStyle w:val="Heading1"/>
        <w:ind w:left="219" w:hanging="233"/>
      </w:pPr>
      <w:r>
        <w:t xml:space="preserve">| Forecasted vs. Actual Energy </w:t>
      </w:r>
    </w:p>
    <w:p w14:paraId="5361925E" w14:textId="68443E12" w:rsidR="00CE3959" w:rsidRDefault="00C57C89" w:rsidP="00524376">
      <w:pPr>
        <w:spacing w:after="0"/>
        <w:ind w:left="-4"/>
      </w:pPr>
      <w:r>
        <w:t>The following graph shows performance (</w:t>
      </w:r>
      <w:r>
        <w:rPr>
          <w:i/>
        </w:rPr>
        <w:t>Actual</w:t>
      </w:r>
      <w:r>
        <w:t xml:space="preserve">-metered energy v. </w:t>
      </w:r>
      <w:r>
        <w:rPr>
          <w:i/>
        </w:rPr>
        <w:t>Predicted</w:t>
      </w:r>
      <w:r>
        <w:t>- PVSYST forecast) for Q</w:t>
      </w:r>
      <w:r w:rsidR="00C73182">
        <w:t>1</w:t>
      </w:r>
      <w:r w:rsidR="00CA7CF4">
        <w:t xml:space="preserve"> </w:t>
      </w:r>
      <w:r>
        <w:t>201</w:t>
      </w:r>
      <w:r w:rsidR="00C73182">
        <w:t>9</w:t>
      </w:r>
      <w:r>
        <w:t>.</w:t>
      </w:r>
    </w:p>
    <w:p w14:paraId="35DE1542" w14:textId="77777777" w:rsidR="00684DE8" w:rsidRDefault="00684DE8" w:rsidP="00524376">
      <w:pPr>
        <w:spacing w:after="0"/>
        <w:ind w:left="-4"/>
      </w:pPr>
    </w:p>
    <w:p w14:paraId="6138FBC9" w14:textId="2F439DBF" w:rsidR="00CE3959" w:rsidRDefault="00AE7FCE" w:rsidP="00CA7CF4">
      <w:pPr>
        <w:tabs>
          <w:tab w:val="center" w:pos="1741"/>
          <w:tab w:val="center" w:pos="4681"/>
          <w:tab w:val="right" w:pos="9365"/>
        </w:tabs>
        <w:spacing w:after="0" w:line="259" w:lineRule="auto"/>
        <w:ind w:left="0" w:right="-9" w:firstLine="0"/>
        <w:jc w:val="center"/>
      </w:pPr>
      <w:r>
        <w:rPr>
          <w:noProof/>
        </w:rPr>
        <w:drawing>
          <wp:inline distT="0" distB="0" distL="0" distR="0" wp14:anchorId="50076707" wp14:editId="47084BB0">
            <wp:extent cx="36576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7600" cy="2717800"/>
                    </a:xfrm>
                    <a:prstGeom prst="rect">
                      <a:avLst/>
                    </a:prstGeom>
                  </pic:spPr>
                </pic:pic>
              </a:graphicData>
            </a:graphic>
          </wp:inline>
        </w:drawing>
      </w:r>
    </w:p>
    <w:p w14:paraId="0034A4EF" w14:textId="32FEAAF6" w:rsidR="00CA7CF4" w:rsidRDefault="00CA7CF4" w:rsidP="004B34FF">
      <w:pPr>
        <w:spacing w:after="242" w:line="259" w:lineRule="auto"/>
        <w:ind w:left="0" w:firstLine="0"/>
        <w:jc w:val="left"/>
        <w:rPr>
          <w:color w:val="2E5395"/>
          <w:sz w:val="32"/>
        </w:rPr>
      </w:pPr>
    </w:p>
    <w:p w14:paraId="5F9D61D5" w14:textId="33BF2489" w:rsidR="003A0C70" w:rsidRDefault="003A0C70" w:rsidP="004B34FF">
      <w:pPr>
        <w:spacing w:after="242" w:line="259" w:lineRule="auto"/>
        <w:ind w:left="0" w:firstLine="0"/>
        <w:jc w:val="left"/>
        <w:rPr>
          <w:color w:val="2E5395"/>
          <w:sz w:val="32"/>
        </w:rPr>
      </w:pPr>
    </w:p>
    <w:p w14:paraId="6D53838F" w14:textId="77777777" w:rsidR="003A0C70" w:rsidRPr="00FD559A" w:rsidRDefault="003A0C70" w:rsidP="00B0033F">
      <w:pPr>
        <w:spacing w:after="242" w:line="259" w:lineRule="auto"/>
        <w:ind w:left="0" w:firstLine="0"/>
        <w:jc w:val="left"/>
        <w:rPr>
          <w:color w:val="2E5395"/>
          <w:sz w:val="32"/>
        </w:rPr>
      </w:pPr>
    </w:p>
    <w:p w14:paraId="077D8AE6" w14:textId="1AD6977D" w:rsidR="00CE3959" w:rsidRDefault="00C57C89">
      <w:pPr>
        <w:pStyle w:val="Heading1"/>
        <w:ind w:left="219" w:hanging="233"/>
      </w:pPr>
      <w:r>
        <w:t xml:space="preserve">| Weather Adjusted Performance </w:t>
      </w:r>
    </w:p>
    <w:p w14:paraId="461BB178" w14:textId="77777777" w:rsidR="0010303B" w:rsidRDefault="0010303B">
      <w:pPr>
        <w:spacing w:after="124"/>
        <w:ind w:left="-4"/>
      </w:pPr>
    </w:p>
    <w:tbl>
      <w:tblPr>
        <w:tblW w:w="8480" w:type="dxa"/>
        <w:tblInd w:w="-10" w:type="dxa"/>
        <w:tblLook w:val="04A0" w:firstRow="1" w:lastRow="0" w:firstColumn="1" w:lastColumn="0" w:noHBand="0" w:noVBand="1"/>
      </w:tblPr>
      <w:tblGrid>
        <w:gridCol w:w="960"/>
        <w:gridCol w:w="1580"/>
        <w:gridCol w:w="1380"/>
        <w:gridCol w:w="1400"/>
        <w:gridCol w:w="1140"/>
        <w:gridCol w:w="2020"/>
      </w:tblGrid>
      <w:tr w:rsidR="00654509" w:rsidRPr="00654509" w14:paraId="0CB1419D" w14:textId="77777777" w:rsidTr="38315689">
        <w:trPr>
          <w:trHeight w:val="585"/>
        </w:trPr>
        <w:tc>
          <w:tcPr>
            <w:tcW w:w="960"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1D6C6237"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 </w:t>
            </w:r>
          </w:p>
        </w:tc>
        <w:tc>
          <w:tcPr>
            <w:tcW w:w="1580" w:type="dxa"/>
            <w:tcBorders>
              <w:top w:val="nil"/>
              <w:left w:val="nil"/>
              <w:bottom w:val="nil"/>
              <w:right w:val="single" w:sz="8" w:space="0" w:color="FFFFFF" w:themeColor="background1"/>
            </w:tcBorders>
            <w:shd w:val="clear" w:color="auto" w:fill="4472C4" w:themeFill="accent1"/>
            <w:vAlign w:val="center"/>
            <w:hideMark/>
          </w:tcPr>
          <w:p w14:paraId="62009A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Irradiance</w:t>
            </w:r>
          </w:p>
        </w:tc>
        <w:tc>
          <w:tcPr>
            <w:tcW w:w="1380" w:type="dxa"/>
            <w:tcBorders>
              <w:top w:val="nil"/>
              <w:left w:val="nil"/>
              <w:bottom w:val="nil"/>
              <w:right w:val="single" w:sz="8" w:space="0" w:color="FFFFFF" w:themeColor="background1"/>
            </w:tcBorders>
            <w:shd w:val="clear" w:color="auto" w:fill="4472C4" w:themeFill="accent1"/>
            <w:vAlign w:val="center"/>
            <w:hideMark/>
          </w:tcPr>
          <w:p w14:paraId="4C31BF4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Irradiance</w:t>
            </w:r>
          </w:p>
        </w:tc>
        <w:tc>
          <w:tcPr>
            <w:tcW w:w="1400" w:type="dxa"/>
            <w:tcBorders>
              <w:top w:val="nil"/>
              <w:left w:val="nil"/>
              <w:bottom w:val="nil"/>
              <w:right w:val="single" w:sz="8" w:space="0" w:color="FFFFFF" w:themeColor="background1"/>
            </w:tcBorders>
            <w:shd w:val="clear" w:color="auto" w:fill="4472C4" w:themeFill="accent1"/>
            <w:vAlign w:val="center"/>
            <w:hideMark/>
          </w:tcPr>
          <w:p w14:paraId="2B8526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Measured Avg Temp</w:t>
            </w:r>
          </w:p>
        </w:tc>
        <w:tc>
          <w:tcPr>
            <w:tcW w:w="1140" w:type="dxa"/>
            <w:tcBorders>
              <w:top w:val="nil"/>
              <w:left w:val="nil"/>
              <w:bottom w:val="nil"/>
              <w:right w:val="single" w:sz="8" w:space="0" w:color="FFFFFF" w:themeColor="background1"/>
            </w:tcBorders>
            <w:shd w:val="clear" w:color="auto" w:fill="4472C4" w:themeFill="accent1"/>
            <w:vAlign w:val="center"/>
            <w:hideMark/>
          </w:tcPr>
          <w:p w14:paraId="2E310571"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Assumed Avg Temp</w:t>
            </w:r>
          </w:p>
        </w:tc>
        <w:tc>
          <w:tcPr>
            <w:tcW w:w="2020" w:type="dxa"/>
            <w:tcBorders>
              <w:top w:val="nil"/>
              <w:left w:val="nil"/>
              <w:bottom w:val="nil"/>
              <w:right w:val="single" w:sz="8" w:space="0" w:color="FFFFFF" w:themeColor="background1"/>
            </w:tcBorders>
            <w:shd w:val="clear" w:color="auto" w:fill="4472C4" w:themeFill="accent1"/>
            <w:vAlign w:val="center"/>
            <w:hideMark/>
          </w:tcPr>
          <w:p w14:paraId="29AA7E0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Weather adjusted expected production variance</w:t>
            </w:r>
          </w:p>
        </w:tc>
      </w:tr>
      <w:tr w:rsidR="00654509" w:rsidRPr="00654509" w14:paraId="49741706"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72ED591" w14:textId="77777777"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Month</w:t>
            </w:r>
          </w:p>
        </w:tc>
        <w:tc>
          <w:tcPr>
            <w:tcW w:w="1580" w:type="dxa"/>
            <w:tcBorders>
              <w:top w:val="nil"/>
              <w:left w:val="nil"/>
              <w:bottom w:val="nil"/>
              <w:right w:val="nil"/>
            </w:tcBorders>
            <w:shd w:val="clear" w:color="auto" w:fill="auto"/>
            <w:noWrap/>
            <w:vAlign w:val="bottom"/>
            <w:hideMark/>
          </w:tcPr>
          <w:p w14:paraId="2AC3D1A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380" w:type="dxa"/>
            <w:tcBorders>
              <w:top w:val="nil"/>
              <w:left w:val="nil"/>
              <w:bottom w:val="nil"/>
              <w:right w:val="nil"/>
            </w:tcBorders>
            <w:shd w:val="clear" w:color="auto" w:fill="auto"/>
            <w:noWrap/>
            <w:vAlign w:val="bottom"/>
            <w:hideMark/>
          </w:tcPr>
          <w:p w14:paraId="354DB893"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kWh/m^2</w:t>
            </w:r>
          </w:p>
        </w:tc>
        <w:tc>
          <w:tcPr>
            <w:tcW w:w="1400" w:type="dxa"/>
            <w:tcBorders>
              <w:top w:val="nil"/>
              <w:left w:val="nil"/>
              <w:bottom w:val="nil"/>
              <w:right w:val="nil"/>
            </w:tcBorders>
            <w:shd w:val="clear" w:color="auto" w:fill="auto"/>
            <w:noWrap/>
            <w:vAlign w:val="bottom"/>
            <w:hideMark/>
          </w:tcPr>
          <w:p w14:paraId="01AEA3E4"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1140" w:type="dxa"/>
            <w:tcBorders>
              <w:top w:val="nil"/>
              <w:left w:val="nil"/>
              <w:bottom w:val="nil"/>
              <w:right w:val="nil"/>
            </w:tcBorders>
            <w:shd w:val="clear" w:color="auto" w:fill="auto"/>
            <w:noWrap/>
            <w:vAlign w:val="bottom"/>
            <w:hideMark/>
          </w:tcPr>
          <w:p w14:paraId="23D2160E"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F</w:t>
            </w:r>
          </w:p>
        </w:tc>
        <w:tc>
          <w:tcPr>
            <w:tcW w:w="2020" w:type="dxa"/>
            <w:tcBorders>
              <w:top w:val="nil"/>
              <w:left w:val="nil"/>
              <w:bottom w:val="nil"/>
              <w:right w:val="nil"/>
            </w:tcBorders>
            <w:shd w:val="clear" w:color="auto" w:fill="auto"/>
            <w:noWrap/>
            <w:vAlign w:val="bottom"/>
            <w:hideMark/>
          </w:tcPr>
          <w:p w14:paraId="4DA4E1B7"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Variance</w:t>
            </w:r>
          </w:p>
        </w:tc>
      </w:tr>
      <w:tr w:rsidR="00654509" w:rsidRPr="00654509" w14:paraId="159567E9"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05A43074" w14:textId="29A0B329" w:rsidR="00654509" w:rsidRPr="00654509" w:rsidRDefault="38315689" w:rsidP="38315689">
            <w:pPr>
              <w:spacing w:after="0" w:line="240" w:lineRule="auto"/>
              <w:ind w:left="0" w:firstLine="0"/>
              <w:rPr>
                <w:rFonts w:asciiTheme="minorHAnsi" w:eastAsiaTheme="minorEastAsia" w:hAnsiTheme="minorHAnsi" w:cstheme="minorBidi"/>
                <w:b/>
                <w:bCs/>
                <w:color w:val="FFFFFF" w:themeColor="background1"/>
              </w:rPr>
            </w:pPr>
            <w:r w:rsidRPr="38315689">
              <w:rPr>
                <w:rFonts w:asciiTheme="minorHAnsi" w:eastAsiaTheme="minorEastAsia" w:hAnsiTheme="minorHAnsi" w:cstheme="minorBidi"/>
                <w:b/>
                <w:bCs/>
                <w:color w:val="FFFFFF" w:themeColor="background1"/>
              </w:rPr>
              <w:t>19-Jan</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06E37B81" w14:textId="6A0B63C9" w:rsidR="00654509" w:rsidRPr="00654509" w:rsidRDefault="38315689" w:rsidP="38315689">
            <w:pPr>
              <w:spacing w:after="0" w:line="240" w:lineRule="auto"/>
              <w:ind w:left="0" w:firstLine="0"/>
              <w:jc w:val="center"/>
              <w:rPr>
                <w:rFonts w:eastAsia="Times New Roman"/>
              </w:rPr>
            </w:pPr>
            <w:r w:rsidRPr="38315689">
              <w:rPr>
                <w:rFonts w:eastAsia="Times New Roman"/>
              </w:rPr>
              <w:t xml:space="preserve">   75.85</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6005C187" w14:textId="19946C80" w:rsidR="00654509" w:rsidRPr="00654509" w:rsidRDefault="38315689" w:rsidP="38315689">
            <w:pPr>
              <w:spacing w:after="0" w:line="240" w:lineRule="auto"/>
              <w:ind w:left="0" w:firstLine="0"/>
              <w:jc w:val="center"/>
              <w:rPr>
                <w:rFonts w:eastAsia="Times New Roman"/>
              </w:rPr>
            </w:pPr>
            <w:r w:rsidRPr="38315689">
              <w:rPr>
                <w:rFonts w:eastAsia="Times New Roman"/>
              </w:rPr>
              <w:t>69.7</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7DE44B0" w14:textId="55897F63" w:rsidR="00654509" w:rsidRPr="00654509" w:rsidRDefault="38315689" w:rsidP="38315689">
            <w:pPr>
              <w:spacing w:after="0" w:line="240" w:lineRule="auto"/>
              <w:ind w:left="0" w:firstLine="0"/>
              <w:jc w:val="center"/>
              <w:rPr>
                <w:rFonts w:eastAsia="Times New Roman"/>
              </w:rPr>
            </w:pPr>
            <w:r w:rsidRPr="38315689">
              <w:rPr>
                <w:rFonts w:eastAsia="Times New Roman"/>
              </w:rPr>
              <w:t>73.15</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04FDFC51" w14:textId="08026A89" w:rsidR="00654509" w:rsidRPr="00654509" w:rsidRDefault="38315689" w:rsidP="38315689">
            <w:pPr>
              <w:spacing w:after="0" w:line="240" w:lineRule="auto"/>
              <w:ind w:left="0" w:firstLine="0"/>
              <w:jc w:val="center"/>
              <w:rPr>
                <w:rFonts w:eastAsia="Times New Roman"/>
              </w:rPr>
            </w:pPr>
            <w:r w:rsidRPr="38315689">
              <w:rPr>
                <w:rFonts w:eastAsia="Times New Roman"/>
              </w:rPr>
              <w:t>46.76</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EC563E1" w14:textId="24F774A4" w:rsidR="00654509" w:rsidRPr="00654509" w:rsidRDefault="38315689" w:rsidP="38315689">
            <w:pPr>
              <w:spacing w:after="0" w:line="240" w:lineRule="auto"/>
              <w:ind w:left="0" w:firstLine="0"/>
              <w:jc w:val="center"/>
              <w:rPr>
                <w:rFonts w:eastAsia="Times New Roman"/>
              </w:rPr>
            </w:pPr>
            <w:r w:rsidRPr="38315689">
              <w:rPr>
                <w:rFonts w:eastAsia="Times New Roman"/>
              </w:rPr>
              <w:t>+16%</w:t>
            </w:r>
          </w:p>
        </w:tc>
      </w:tr>
      <w:tr w:rsidR="00654509" w:rsidRPr="00654509" w14:paraId="59EDF4F6"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FC01FD3" w14:textId="5A2A4B0C" w:rsidR="00654509" w:rsidRPr="00654509" w:rsidRDefault="38315689" w:rsidP="38315689">
            <w:pPr>
              <w:spacing w:after="0" w:line="240" w:lineRule="auto"/>
              <w:ind w:left="0" w:firstLine="0"/>
              <w:rPr>
                <w:rFonts w:asciiTheme="minorHAnsi" w:eastAsiaTheme="minorEastAsia" w:hAnsiTheme="minorHAnsi" w:cstheme="minorBidi"/>
                <w:b/>
                <w:bCs/>
                <w:color w:val="FFFFFF" w:themeColor="background1"/>
              </w:rPr>
            </w:pPr>
            <w:r w:rsidRPr="38315689">
              <w:rPr>
                <w:rFonts w:asciiTheme="minorHAnsi" w:eastAsiaTheme="minorEastAsia" w:hAnsiTheme="minorHAnsi" w:cstheme="minorBidi"/>
                <w:b/>
                <w:bCs/>
                <w:color w:val="FFFFFF" w:themeColor="background1"/>
              </w:rPr>
              <w:t>19-Mar</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2891B4C0" w14:textId="5B30D7E7" w:rsidR="00654509" w:rsidRPr="00654509" w:rsidRDefault="38315689" w:rsidP="38315689">
            <w:pPr>
              <w:spacing w:after="0" w:line="240" w:lineRule="auto"/>
              <w:ind w:left="0" w:firstLine="0"/>
              <w:jc w:val="center"/>
              <w:rPr>
                <w:rFonts w:eastAsia="Times New Roman"/>
              </w:rPr>
            </w:pPr>
            <w:r w:rsidRPr="38315689">
              <w:rPr>
                <w:rFonts w:eastAsia="Times New Roman"/>
              </w:rPr>
              <w:t xml:space="preserve"> 96.3</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78CFEE15" w14:textId="2151DC14" w:rsidR="00654509" w:rsidRPr="00654509" w:rsidRDefault="38315689" w:rsidP="38315689">
            <w:pPr>
              <w:spacing w:after="0" w:line="240" w:lineRule="auto"/>
              <w:ind w:left="0" w:firstLine="0"/>
              <w:jc w:val="center"/>
              <w:rPr>
                <w:rFonts w:eastAsia="Times New Roman"/>
              </w:rPr>
            </w:pPr>
            <w:r w:rsidRPr="38315689">
              <w:rPr>
                <w:rFonts w:eastAsia="Times New Roman"/>
              </w:rPr>
              <w:t>88.5</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5BED8EA4" w14:textId="60F9518E" w:rsidR="00654509" w:rsidRPr="00654509" w:rsidRDefault="38315689" w:rsidP="38315689">
            <w:pPr>
              <w:spacing w:after="0" w:line="240" w:lineRule="auto"/>
              <w:ind w:left="0" w:firstLine="0"/>
              <w:jc w:val="center"/>
              <w:rPr>
                <w:rFonts w:eastAsia="Times New Roman"/>
              </w:rPr>
            </w:pPr>
            <w:r w:rsidRPr="38315689">
              <w:rPr>
                <w:rFonts w:eastAsia="Times New Roman"/>
              </w:rPr>
              <w:t>65.17</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438622E3" w14:textId="4037F49D" w:rsidR="00654509" w:rsidRPr="00654509" w:rsidRDefault="38315689" w:rsidP="38315689">
            <w:pPr>
              <w:spacing w:after="0" w:line="240" w:lineRule="auto"/>
              <w:ind w:left="0" w:firstLine="0"/>
              <w:jc w:val="center"/>
              <w:rPr>
                <w:rFonts w:eastAsia="Times New Roman"/>
              </w:rPr>
            </w:pPr>
            <w:r w:rsidRPr="38315689">
              <w:rPr>
                <w:rFonts w:eastAsia="Times New Roman"/>
              </w:rPr>
              <w:t>50.66</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0BF53B3B" w14:textId="6A7D48D6" w:rsidR="00654509" w:rsidRPr="00654509" w:rsidRDefault="38315689" w:rsidP="38315689">
            <w:pPr>
              <w:spacing w:after="0" w:line="240" w:lineRule="auto"/>
              <w:ind w:left="0" w:firstLine="0"/>
              <w:jc w:val="center"/>
              <w:rPr>
                <w:rFonts w:eastAsia="Times New Roman"/>
              </w:rPr>
            </w:pPr>
            <w:r w:rsidRPr="38315689">
              <w:rPr>
                <w:rFonts w:eastAsia="Times New Roman"/>
              </w:rPr>
              <w:t>-4%</w:t>
            </w:r>
          </w:p>
        </w:tc>
      </w:tr>
      <w:tr w:rsidR="00654509" w:rsidRPr="00654509" w14:paraId="1609FF99" w14:textId="77777777" w:rsidTr="38315689">
        <w:trPr>
          <w:trHeight w:val="315"/>
        </w:trPr>
        <w:tc>
          <w:tcPr>
            <w:tcW w:w="960" w:type="dxa"/>
            <w:tcBorders>
              <w:top w:val="nil"/>
              <w:left w:val="single" w:sz="8" w:space="0" w:color="FFFFFF" w:themeColor="background1"/>
              <w:bottom w:val="single" w:sz="8" w:space="0" w:color="FFFFFF" w:themeColor="background1"/>
              <w:right w:val="single" w:sz="8" w:space="0" w:color="FFFFFF" w:themeColor="background1"/>
            </w:tcBorders>
            <w:shd w:val="clear" w:color="auto" w:fill="4471C4"/>
            <w:vAlign w:val="center"/>
            <w:hideMark/>
          </w:tcPr>
          <w:p w14:paraId="18DB79DB" w14:textId="797E909E" w:rsidR="00654509" w:rsidRPr="00654509" w:rsidRDefault="38315689" w:rsidP="38315689">
            <w:pPr>
              <w:spacing w:after="0" w:line="240" w:lineRule="auto"/>
              <w:ind w:left="0" w:firstLine="0"/>
              <w:rPr>
                <w:rFonts w:asciiTheme="minorHAnsi" w:eastAsiaTheme="minorEastAsia" w:hAnsiTheme="minorHAnsi" w:cstheme="minorBidi"/>
                <w:b/>
                <w:bCs/>
                <w:color w:val="FFFFFF" w:themeColor="background1"/>
              </w:rPr>
            </w:pPr>
            <w:r w:rsidRPr="38315689">
              <w:rPr>
                <w:rFonts w:asciiTheme="minorHAnsi" w:eastAsiaTheme="minorEastAsia" w:hAnsiTheme="minorHAnsi" w:cstheme="minorBidi"/>
                <w:b/>
                <w:bCs/>
                <w:color w:val="FFFFFF" w:themeColor="background1"/>
              </w:rPr>
              <w:t>19-Dec</w:t>
            </w:r>
          </w:p>
        </w:tc>
        <w:tc>
          <w:tcPr>
            <w:tcW w:w="1580" w:type="dxa"/>
            <w:tcBorders>
              <w:top w:val="nil"/>
              <w:left w:val="nil"/>
              <w:bottom w:val="single" w:sz="8" w:space="0" w:color="FFFFFF" w:themeColor="background1"/>
              <w:right w:val="single" w:sz="8" w:space="0" w:color="FFFFFF" w:themeColor="background1"/>
            </w:tcBorders>
            <w:shd w:val="clear" w:color="auto" w:fill="D9E1F3"/>
            <w:vAlign w:val="center"/>
          </w:tcPr>
          <w:p w14:paraId="36DE7D08" w14:textId="33549E87" w:rsidR="00654509" w:rsidRPr="00654509" w:rsidRDefault="38315689" w:rsidP="38315689">
            <w:pPr>
              <w:spacing w:after="0" w:line="240" w:lineRule="auto"/>
              <w:ind w:left="0" w:firstLine="0"/>
              <w:jc w:val="center"/>
              <w:rPr>
                <w:rFonts w:eastAsia="Times New Roman"/>
              </w:rPr>
            </w:pPr>
            <w:r w:rsidRPr="38315689">
              <w:rPr>
                <w:rFonts w:eastAsia="Times New Roman"/>
              </w:rPr>
              <w:t>146.5</w:t>
            </w:r>
          </w:p>
        </w:tc>
        <w:tc>
          <w:tcPr>
            <w:tcW w:w="1380" w:type="dxa"/>
            <w:tcBorders>
              <w:top w:val="nil"/>
              <w:left w:val="nil"/>
              <w:bottom w:val="single" w:sz="8" w:space="0" w:color="FFFFFF" w:themeColor="background1"/>
              <w:right w:val="single" w:sz="8" w:space="0" w:color="FFFFFF" w:themeColor="background1"/>
            </w:tcBorders>
            <w:shd w:val="clear" w:color="auto" w:fill="D9E1F3"/>
            <w:vAlign w:val="center"/>
          </w:tcPr>
          <w:p w14:paraId="106F77C6" w14:textId="0BE3513F" w:rsidR="00654509" w:rsidRPr="00654509" w:rsidRDefault="38315689" w:rsidP="38315689">
            <w:pPr>
              <w:spacing w:after="0" w:line="240" w:lineRule="auto"/>
              <w:ind w:left="0" w:firstLine="0"/>
              <w:jc w:val="center"/>
              <w:rPr>
                <w:rFonts w:eastAsia="Times New Roman"/>
              </w:rPr>
            </w:pPr>
            <w:r w:rsidRPr="38315689">
              <w:rPr>
                <w:rFonts w:eastAsia="Times New Roman"/>
              </w:rPr>
              <w:t>149.4</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tcPr>
          <w:p w14:paraId="1F528E92" w14:textId="35BC990C" w:rsidR="00654509" w:rsidRPr="00654509" w:rsidRDefault="38315689" w:rsidP="38315689">
            <w:pPr>
              <w:spacing w:after="0" w:line="240" w:lineRule="auto"/>
              <w:ind w:left="0" w:firstLine="0"/>
              <w:jc w:val="center"/>
              <w:rPr>
                <w:rFonts w:eastAsia="Times New Roman"/>
              </w:rPr>
            </w:pPr>
            <w:r w:rsidRPr="38315689">
              <w:rPr>
                <w:rFonts w:eastAsia="Times New Roman"/>
              </w:rPr>
              <w:t>80.35</w:t>
            </w:r>
          </w:p>
        </w:tc>
        <w:tc>
          <w:tcPr>
            <w:tcW w:w="1140" w:type="dxa"/>
            <w:tcBorders>
              <w:top w:val="nil"/>
              <w:left w:val="nil"/>
              <w:bottom w:val="single" w:sz="8" w:space="0" w:color="FFFFFF" w:themeColor="background1"/>
              <w:right w:val="single" w:sz="8" w:space="0" w:color="FFFFFF" w:themeColor="background1"/>
            </w:tcBorders>
            <w:shd w:val="clear" w:color="auto" w:fill="D9E1F3"/>
            <w:vAlign w:val="center"/>
          </w:tcPr>
          <w:p w14:paraId="3D342DE3" w14:textId="44BDC6B9" w:rsidR="00654509" w:rsidRPr="00654509" w:rsidRDefault="38315689" w:rsidP="38315689">
            <w:pPr>
              <w:spacing w:after="0" w:line="240" w:lineRule="auto"/>
              <w:ind w:left="0" w:firstLine="0"/>
              <w:jc w:val="center"/>
              <w:rPr>
                <w:rFonts w:eastAsia="Times New Roman"/>
              </w:rPr>
            </w:pPr>
            <w:r w:rsidRPr="38315689">
              <w:rPr>
                <w:rFonts w:eastAsia="Times New Roman"/>
              </w:rPr>
              <w:t>55.31</w:t>
            </w:r>
          </w:p>
        </w:tc>
        <w:tc>
          <w:tcPr>
            <w:tcW w:w="2020" w:type="dxa"/>
            <w:tcBorders>
              <w:top w:val="nil"/>
              <w:left w:val="nil"/>
              <w:bottom w:val="single" w:sz="8" w:space="0" w:color="FFFFFF" w:themeColor="background1"/>
              <w:right w:val="single" w:sz="8" w:space="0" w:color="FFFFFF" w:themeColor="background1"/>
            </w:tcBorders>
            <w:shd w:val="clear" w:color="auto" w:fill="D9E1F3"/>
            <w:vAlign w:val="center"/>
          </w:tcPr>
          <w:p w14:paraId="15D135CF" w14:textId="27ABF5BE" w:rsidR="00654509" w:rsidRPr="00654509" w:rsidRDefault="38315689" w:rsidP="38315689">
            <w:pPr>
              <w:spacing w:after="0" w:line="240" w:lineRule="auto"/>
              <w:ind w:left="0" w:firstLine="0"/>
              <w:jc w:val="center"/>
              <w:rPr>
                <w:rFonts w:eastAsia="Times New Roman"/>
              </w:rPr>
            </w:pPr>
            <w:r w:rsidRPr="38315689">
              <w:rPr>
                <w:rFonts w:eastAsia="Times New Roman"/>
              </w:rPr>
              <w:t>0</w:t>
            </w:r>
          </w:p>
        </w:tc>
      </w:tr>
    </w:tbl>
    <w:p w14:paraId="5165650C" w14:textId="4D4E2DEB" w:rsidR="00684DE8" w:rsidRDefault="38315689" w:rsidP="38315689">
      <w:pPr>
        <w:ind w:left="-4"/>
        <w:rPr>
          <w:color w:val="auto"/>
        </w:rPr>
      </w:pPr>
      <w:r w:rsidRPr="38315689">
        <w:rPr>
          <w:color w:val="auto"/>
        </w:rPr>
        <w:t xml:space="preserve"> </w:t>
      </w:r>
    </w:p>
    <w:p w14:paraId="1D281DE9" w14:textId="27102553" w:rsidR="00AE7FCE" w:rsidRDefault="00AE7FCE" w:rsidP="00F0260D">
      <w:pPr>
        <w:ind w:left="-4"/>
        <w:rPr>
          <w:color w:val="auto"/>
        </w:rPr>
      </w:pPr>
    </w:p>
    <w:p w14:paraId="3174A50A" w14:textId="62EC39D6" w:rsidR="00AE7FCE" w:rsidRDefault="00AE7FCE" w:rsidP="00F0260D">
      <w:pPr>
        <w:ind w:left="-4"/>
        <w:rPr>
          <w:color w:val="auto"/>
        </w:rPr>
      </w:pPr>
    </w:p>
    <w:p w14:paraId="1B73B257" w14:textId="77777777" w:rsidR="00AE7FCE" w:rsidRDefault="00AE7FCE" w:rsidP="00F0260D">
      <w:pPr>
        <w:ind w:left="-4"/>
        <w:rPr>
          <w:color w:val="auto"/>
        </w:rPr>
      </w:pPr>
    </w:p>
    <w:p w14:paraId="71EB4EE8" w14:textId="77777777" w:rsidR="00B0033F" w:rsidRPr="00B0033F" w:rsidRDefault="00B0033F" w:rsidP="00B0033F">
      <w:pPr>
        <w:spacing w:line="240" w:lineRule="auto"/>
        <w:ind w:left="-4"/>
        <w:rPr>
          <w:color w:val="auto"/>
        </w:rPr>
      </w:pPr>
    </w:p>
    <w:p w14:paraId="273D760F" w14:textId="77777777" w:rsidR="00CE3959" w:rsidRDefault="00C57C89">
      <w:pPr>
        <w:pStyle w:val="Heading1"/>
        <w:ind w:left="219" w:hanging="233"/>
      </w:pPr>
      <w:r>
        <w:lastRenderedPageBreak/>
        <w:t xml:space="preserve">| Operations &amp; Maintenance  </w:t>
      </w:r>
    </w:p>
    <w:p w14:paraId="7BE6E587" w14:textId="60A7EF98" w:rsidR="00CE3959" w:rsidRDefault="00C57C89">
      <w:pPr>
        <w:ind w:left="-4"/>
      </w:pPr>
      <w:r>
        <w:t xml:space="preserve">The following table details all operations/maintenance related issues and corrective actions </w:t>
      </w:r>
      <w:r w:rsidRPr="00654509">
        <w:t>for Q</w:t>
      </w:r>
      <w:r w:rsidR="00654509" w:rsidRPr="00654509">
        <w:t>3</w:t>
      </w:r>
      <w:r w:rsidRPr="00654509">
        <w:t xml:space="preserve"> 201</w:t>
      </w:r>
      <w:r w:rsidR="00F0260D" w:rsidRPr="00654509">
        <w:t>8</w:t>
      </w:r>
      <w:r w:rsidRPr="00654509">
        <w:t>.</w:t>
      </w:r>
      <w:r>
        <w:t xml:space="preserve">  </w:t>
      </w:r>
    </w:p>
    <w:p w14:paraId="64006DB4" w14:textId="77777777" w:rsidR="00CE3959" w:rsidRDefault="00C57C89">
      <w:pPr>
        <w:spacing w:after="173" w:line="259" w:lineRule="auto"/>
        <w:ind w:left="1" w:firstLine="0"/>
        <w:jc w:val="left"/>
      </w:pPr>
      <w:r>
        <w:t xml:space="preserve"> </w:t>
      </w:r>
    </w:p>
    <w:tbl>
      <w:tblPr>
        <w:tblW w:w="8555" w:type="dxa"/>
        <w:tblInd w:w="-10" w:type="dxa"/>
        <w:tblLook w:val="04A0" w:firstRow="1" w:lastRow="0" w:firstColumn="1" w:lastColumn="0" w:noHBand="0" w:noVBand="1"/>
      </w:tblPr>
      <w:tblGrid>
        <w:gridCol w:w="1323"/>
        <w:gridCol w:w="1400"/>
        <w:gridCol w:w="1854"/>
        <w:gridCol w:w="1713"/>
        <w:gridCol w:w="2265"/>
      </w:tblGrid>
      <w:tr w:rsidR="00654509" w:rsidRPr="00654509" w14:paraId="6B2C6344" w14:textId="77777777" w:rsidTr="38315689">
        <w:trPr>
          <w:trHeight w:val="470"/>
        </w:trPr>
        <w:tc>
          <w:tcPr>
            <w:tcW w:w="1323" w:type="dxa"/>
            <w:tcBorders>
              <w:top w:val="nil"/>
              <w:left w:val="single" w:sz="8" w:space="0" w:color="FFFFFF" w:themeColor="background1"/>
              <w:bottom w:val="nil"/>
              <w:right w:val="single" w:sz="8" w:space="0" w:color="FFFFFF" w:themeColor="background1"/>
            </w:tcBorders>
            <w:shd w:val="clear" w:color="auto" w:fill="4472C4" w:themeFill="accent1"/>
            <w:vAlign w:val="center"/>
            <w:hideMark/>
          </w:tcPr>
          <w:p w14:paraId="0582F2EF" w14:textId="56D97A41" w:rsidR="00654509" w:rsidRPr="00654509" w:rsidRDefault="38315689" w:rsidP="38315689">
            <w:pPr>
              <w:spacing w:after="0" w:line="240" w:lineRule="auto"/>
              <w:ind w:left="0" w:firstLine="0"/>
              <w:jc w:val="center"/>
              <w:rPr>
                <w:rFonts w:eastAsia="Times New Roman"/>
                <w:b/>
                <w:bCs/>
                <w:color w:val="FFFFFF" w:themeColor="background1"/>
              </w:rPr>
            </w:pPr>
            <w:r w:rsidRPr="38315689">
              <w:rPr>
                <w:rFonts w:eastAsia="Times New Roman"/>
                <w:b/>
                <w:bCs/>
                <w:color w:val="FFFFFF" w:themeColor="background1"/>
              </w:rPr>
              <w:t xml:space="preserve">Hanford </w:t>
            </w:r>
          </w:p>
        </w:tc>
        <w:tc>
          <w:tcPr>
            <w:tcW w:w="1400" w:type="dxa"/>
            <w:tcBorders>
              <w:top w:val="nil"/>
              <w:left w:val="nil"/>
              <w:bottom w:val="nil"/>
              <w:right w:val="single" w:sz="8" w:space="0" w:color="FFFFFF" w:themeColor="background1"/>
            </w:tcBorders>
            <w:shd w:val="clear" w:color="auto" w:fill="4472C4" w:themeFill="accent1"/>
            <w:vAlign w:val="center"/>
            <w:hideMark/>
          </w:tcPr>
          <w:p w14:paraId="0BAE7832"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Issue/Date</w:t>
            </w:r>
          </w:p>
        </w:tc>
        <w:tc>
          <w:tcPr>
            <w:tcW w:w="1854" w:type="dxa"/>
            <w:tcBorders>
              <w:top w:val="nil"/>
              <w:left w:val="nil"/>
              <w:bottom w:val="nil"/>
              <w:right w:val="single" w:sz="8" w:space="0" w:color="FFFFFF" w:themeColor="background1"/>
            </w:tcBorders>
            <w:shd w:val="clear" w:color="auto" w:fill="4472C4" w:themeFill="accent1"/>
            <w:vAlign w:val="center"/>
            <w:hideMark/>
          </w:tcPr>
          <w:p w14:paraId="3F45C093"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Corrective Action</w:t>
            </w:r>
          </w:p>
        </w:tc>
        <w:tc>
          <w:tcPr>
            <w:tcW w:w="1713" w:type="dxa"/>
            <w:tcBorders>
              <w:top w:val="nil"/>
              <w:left w:val="nil"/>
              <w:bottom w:val="nil"/>
              <w:right w:val="single" w:sz="8" w:space="0" w:color="FFFFFF" w:themeColor="background1"/>
            </w:tcBorders>
            <w:shd w:val="clear" w:color="auto" w:fill="4472C4" w:themeFill="accent1"/>
            <w:vAlign w:val="center"/>
            <w:hideMark/>
          </w:tcPr>
          <w:p w14:paraId="71F999E5"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Resolved/Not Resolved</w:t>
            </w:r>
          </w:p>
        </w:tc>
        <w:tc>
          <w:tcPr>
            <w:tcW w:w="2265" w:type="dxa"/>
            <w:tcBorders>
              <w:top w:val="nil"/>
              <w:left w:val="nil"/>
              <w:bottom w:val="nil"/>
              <w:right w:val="single" w:sz="8" w:space="0" w:color="FFFFFF" w:themeColor="background1"/>
            </w:tcBorders>
            <w:shd w:val="clear" w:color="auto" w:fill="4472C4" w:themeFill="accent1"/>
            <w:vAlign w:val="center"/>
            <w:hideMark/>
          </w:tcPr>
          <w:p w14:paraId="0F91E5DF" w14:textId="77777777" w:rsidR="00654509" w:rsidRPr="00654509" w:rsidRDefault="00654509" w:rsidP="00654509">
            <w:pPr>
              <w:spacing w:after="0" w:line="240" w:lineRule="auto"/>
              <w:ind w:left="0" w:firstLine="0"/>
              <w:jc w:val="center"/>
              <w:rPr>
                <w:rFonts w:eastAsia="Times New Roman"/>
                <w:b/>
                <w:bCs/>
                <w:color w:val="FFFFFF"/>
              </w:rPr>
            </w:pPr>
            <w:r w:rsidRPr="00654509">
              <w:rPr>
                <w:rFonts w:eastAsia="Times New Roman"/>
                <w:b/>
                <w:bCs/>
                <w:color w:val="FFFFFF"/>
              </w:rPr>
              <w:t>kWh Lost</w:t>
            </w:r>
          </w:p>
        </w:tc>
      </w:tr>
      <w:tr w:rsidR="00654509" w:rsidRPr="00654509" w14:paraId="065532F9" w14:textId="77777777" w:rsidTr="38315689">
        <w:trPr>
          <w:trHeight w:val="253"/>
        </w:trPr>
        <w:tc>
          <w:tcPr>
            <w:tcW w:w="132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0E91DF1" w14:textId="59910752" w:rsidR="00654509" w:rsidRPr="00654509" w:rsidRDefault="38315689" w:rsidP="38315689">
            <w:pPr>
              <w:spacing w:after="0" w:line="240" w:lineRule="auto"/>
              <w:ind w:left="0" w:firstLine="0"/>
              <w:jc w:val="left"/>
              <w:rPr>
                <w:rFonts w:eastAsia="Times New Roman"/>
              </w:rPr>
            </w:pPr>
            <w:r w:rsidRPr="38315689">
              <w:rPr>
                <w:rFonts w:eastAsia="Times New Roman"/>
              </w:rPr>
              <w:t xml:space="preserve"> </w:t>
            </w:r>
          </w:p>
        </w:tc>
        <w:tc>
          <w:tcPr>
            <w:tcW w:w="1400" w:type="dxa"/>
            <w:tcBorders>
              <w:top w:val="nil"/>
              <w:left w:val="nil"/>
              <w:bottom w:val="single" w:sz="8" w:space="0" w:color="FFFFFF" w:themeColor="background1"/>
              <w:right w:val="single" w:sz="8" w:space="0" w:color="FFFFFF" w:themeColor="background1"/>
            </w:tcBorders>
            <w:shd w:val="clear" w:color="auto" w:fill="D9E1F3"/>
            <w:vAlign w:val="center"/>
            <w:hideMark/>
          </w:tcPr>
          <w:p w14:paraId="2A2E724E" w14:textId="3D4E1882" w:rsidR="00654509" w:rsidRPr="00654509" w:rsidRDefault="00654509" w:rsidP="38315689">
            <w:pPr>
              <w:spacing w:after="0" w:line="240" w:lineRule="auto"/>
              <w:ind w:left="0" w:firstLine="0"/>
              <w:jc w:val="left"/>
              <w:rPr>
                <w:rFonts w:eastAsia="Times New Roman"/>
              </w:rPr>
            </w:pPr>
          </w:p>
        </w:tc>
        <w:tc>
          <w:tcPr>
            <w:tcW w:w="1854" w:type="dxa"/>
            <w:tcBorders>
              <w:top w:val="nil"/>
              <w:left w:val="nil"/>
              <w:bottom w:val="single" w:sz="8" w:space="0" w:color="FFFFFF" w:themeColor="background1"/>
              <w:right w:val="single" w:sz="8" w:space="0" w:color="FFFFFF" w:themeColor="background1"/>
            </w:tcBorders>
            <w:shd w:val="clear" w:color="auto" w:fill="D9E1F3"/>
            <w:vAlign w:val="center"/>
            <w:hideMark/>
          </w:tcPr>
          <w:p w14:paraId="52E3E650" w14:textId="73DC3820" w:rsidR="00654509" w:rsidRPr="00654509" w:rsidRDefault="38315689" w:rsidP="38315689">
            <w:pPr>
              <w:spacing w:after="0" w:line="240" w:lineRule="auto"/>
              <w:ind w:left="0" w:firstLine="0"/>
              <w:jc w:val="left"/>
              <w:rPr>
                <w:rFonts w:eastAsia="Times New Roman"/>
              </w:rPr>
            </w:pPr>
            <w:r w:rsidRPr="38315689">
              <w:rPr>
                <w:rFonts w:eastAsia="Times New Roman"/>
              </w:rPr>
              <w:t> </w:t>
            </w:r>
          </w:p>
        </w:tc>
        <w:tc>
          <w:tcPr>
            <w:tcW w:w="1713" w:type="dxa"/>
            <w:tcBorders>
              <w:top w:val="nil"/>
              <w:left w:val="nil"/>
              <w:bottom w:val="single" w:sz="8" w:space="0" w:color="FFFFFF" w:themeColor="background1"/>
              <w:right w:val="single" w:sz="8" w:space="0" w:color="FFFFFF" w:themeColor="background1"/>
            </w:tcBorders>
            <w:shd w:val="clear" w:color="auto" w:fill="D9E1F3"/>
            <w:vAlign w:val="center"/>
            <w:hideMark/>
          </w:tcPr>
          <w:p w14:paraId="0C076BF3" w14:textId="77777777" w:rsidR="00654509" w:rsidRPr="00654509" w:rsidRDefault="00654509" w:rsidP="00654509">
            <w:pPr>
              <w:spacing w:after="0" w:line="240" w:lineRule="auto"/>
              <w:ind w:left="0" w:firstLine="0"/>
              <w:jc w:val="left"/>
              <w:rPr>
                <w:rFonts w:eastAsia="Times New Roman"/>
              </w:rPr>
            </w:pPr>
            <w:r w:rsidRPr="00654509">
              <w:rPr>
                <w:rFonts w:eastAsia="Times New Roman"/>
              </w:rPr>
              <w:t> </w:t>
            </w:r>
          </w:p>
        </w:tc>
        <w:tc>
          <w:tcPr>
            <w:tcW w:w="2265" w:type="dxa"/>
            <w:tcBorders>
              <w:top w:val="nil"/>
              <w:left w:val="nil"/>
              <w:bottom w:val="single" w:sz="8" w:space="0" w:color="FFFFFF" w:themeColor="background1"/>
              <w:right w:val="single" w:sz="8" w:space="0" w:color="FFFFFF" w:themeColor="background1"/>
            </w:tcBorders>
            <w:shd w:val="clear" w:color="auto" w:fill="D9E1F3"/>
            <w:vAlign w:val="center"/>
            <w:hideMark/>
          </w:tcPr>
          <w:p w14:paraId="13C4F770" w14:textId="77777777" w:rsidR="00654509" w:rsidRPr="00654509" w:rsidRDefault="00654509" w:rsidP="00654509">
            <w:pPr>
              <w:spacing w:after="0" w:line="240" w:lineRule="auto"/>
              <w:ind w:left="0" w:firstLine="0"/>
              <w:jc w:val="center"/>
              <w:rPr>
                <w:rFonts w:eastAsia="Times New Roman"/>
              </w:rPr>
            </w:pPr>
            <w:r w:rsidRPr="00654509">
              <w:rPr>
                <w:rFonts w:eastAsia="Times New Roman"/>
              </w:rPr>
              <w:t> </w:t>
            </w:r>
          </w:p>
        </w:tc>
      </w:tr>
    </w:tbl>
    <w:p w14:paraId="1A89B8B7" w14:textId="77777777" w:rsidR="00B0033F" w:rsidRDefault="00B0033F" w:rsidP="009C532C">
      <w:pPr>
        <w:spacing w:after="335" w:line="259" w:lineRule="auto"/>
        <w:ind w:left="0" w:firstLine="0"/>
        <w:jc w:val="left"/>
      </w:pPr>
    </w:p>
    <w:p w14:paraId="7CCF5994" w14:textId="3AD5C527" w:rsidR="00B011DA" w:rsidRPr="00B011DA" w:rsidRDefault="00C57C89" w:rsidP="00B011DA">
      <w:pPr>
        <w:pStyle w:val="Heading1"/>
        <w:ind w:left="219" w:hanging="233"/>
      </w:pPr>
      <w:r>
        <w:t xml:space="preserve">|Availability </w:t>
      </w:r>
    </w:p>
    <w:p w14:paraId="75855E90" w14:textId="3CFECF8A" w:rsidR="00CE3959" w:rsidRDefault="00C57C89" w:rsidP="00B011DA">
      <w:pPr>
        <w:ind w:left="-4"/>
      </w:pPr>
      <w:r>
        <w:t xml:space="preserve">The overall availability for this quarter was </w:t>
      </w:r>
      <w:r w:rsidR="003C738E" w:rsidRPr="00654509">
        <w:rPr>
          <w:b/>
        </w:rPr>
        <w:t>100.00</w:t>
      </w:r>
      <w:r>
        <w:rPr>
          <w:b/>
        </w:rPr>
        <w:t>%</w:t>
      </w:r>
      <w:r w:rsidR="003C738E">
        <w:t xml:space="preserve"> and there were no outages.</w:t>
      </w:r>
    </w:p>
    <w:p w14:paraId="3095C2B7" w14:textId="77777777" w:rsidR="00B011DA" w:rsidRDefault="00B011DA" w:rsidP="00195B24">
      <w:pPr>
        <w:ind w:left="0" w:firstLine="0"/>
      </w:pPr>
    </w:p>
    <w:p w14:paraId="17276F41" w14:textId="58CFD9B5" w:rsidR="008C439D" w:rsidRPr="008C439D" w:rsidRDefault="00195B24" w:rsidP="00684DE8">
      <w:pPr>
        <w:pStyle w:val="Heading1"/>
        <w:ind w:left="219" w:hanging="233"/>
      </w:pPr>
      <w:r>
        <w:t>|</w:t>
      </w:r>
      <w:r w:rsidR="0092159E">
        <w:t xml:space="preserve">Billings &amp; </w:t>
      </w:r>
      <w:r>
        <w:t>Collections</w:t>
      </w:r>
    </w:p>
    <w:tbl>
      <w:tblPr>
        <w:tblW w:w="8820" w:type="dxa"/>
        <w:tblInd w:w="-10" w:type="dxa"/>
        <w:tblLook w:val="04A0" w:firstRow="1" w:lastRow="0" w:firstColumn="1" w:lastColumn="0" w:noHBand="0" w:noVBand="1"/>
      </w:tblPr>
      <w:tblGrid>
        <w:gridCol w:w="1440"/>
        <w:gridCol w:w="4050"/>
        <w:gridCol w:w="3330"/>
      </w:tblGrid>
      <w:tr w:rsidR="00654509" w14:paraId="05F6F003" w14:textId="77777777" w:rsidTr="00654509">
        <w:trPr>
          <w:trHeight w:val="585"/>
        </w:trPr>
        <w:tc>
          <w:tcPr>
            <w:tcW w:w="1440" w:type="dxa"/>
            <w:tcBorders>
              <w:top w:val="nil"/>
              <w:left w:val="single" w:sz="8" w:space="0" w:color="FFFFFF"/>
              <w:bottom w:val="nil"/>
              <w:right w:val="single" w:sz="8" w:space="0" w:color="FFFFFF"/>
            </w:tcBorders>
            <w:shd w:val="clear" w:color="000000" w:fill="4472C4"/>
            <w:vAlign w:val="center"/>
            <w:hideMark/>
          </w:tcPr>
          <w:p w14:paraId="7C0F13E2" w14:textId="77777777" w:rsidR="00654509" w:rsidRDefault="00654509">
            <w:pPr>
              <w:spacing w:after="0" w:line="240" w:lineRule="auto"/>
              <w:ind w:left="0" w:firstLine="0"/>
              <w:jc w:val="center"/>
              <w:rPr>
                <w:rFonts w:eastAsia="Times New Roman"/>
                <w:b/>
                <w:bCs/>
                <w:color w:val="FFFFFF"/>
              </w:rPr>
            </w:pPr>
            <w:r>
              <w:rPr>
                <w:b/>
                <w:bCs/>
                <w:color w:val="FFFFFF"/>
              </w:rPr>
              <w:t>Month</w:t>
            </w:r>
          </w:p>
        </w:tc>
        <w:tc>
          <w:tcPr>
            <w:tcW w:w="4050" w:type="dxa"/>
            <w:tcBorders>
              <w:top w:val="nil"/>
              <w:left w:val="nil"/>
              <w:bottom w:val="nil"/>
              <w:right w:val="single" w:sz="8" w:space="0" w:color="FFFFFF"/>
            </w:tcBorders>
            <w:shd w:val="clear" w:color="000000" w:fill="4472C4"/>
            <w:vAlign w:val="center"/>
            <w:hideMark/>
          </w:tcPr>
          <w:p w14:paraId="697ACA2C" w14:textId="77777777" w:rsidR="00654509" w:rsidRDefault="00654509">
            <w:pPr>
              <w:jc w:val="center"/>
              <w:rPr>
                <w:b/>
                <w:bCs/>
                <w:color w:val="FFFFFF"/>
              </w:rPr>
            </w:pPr>
            <w:r>
              <w:rPr>
                <w:b/>
                <w:bCs/>
                <w:color w:val="FFFFFF"/>
              </w:rPr>
              <w:t xml:space="preserve">Invoice Amount </w:t>
            </w:r>
          </w:p>
        </w:tc>
        <w:tc>
          <w:tcPr>
            <w:tcW w:w="3330" w:type="dxa"/>
            <w:tcBorders>
              <w:top w:val="nil"/>
              <w:left w:val="nil"/>
              <w:bottom w:val="nil"/>
              <w:right w:val="single" w:sz="8" w:space="0" w:color="FFFFFF"/>
            </w:tcBorders>
            <w:shd w:val="clear" w:color="000000" w:fill="4472C4"/>
            <w:vAlign w:val="center"/>
            <w:hideMark/>
          </w:tcPr>
          <w:p w14:paraId="26AAEA9A" w14:textId="77777777" w:rsidR="00654509" w:rsidRDefault="00654509">
            <w:pPr>
              <w:jc w:val="center"/>
              <w:rPr>
                <w:b/>
                <w:bCs/>
                <w:color w:val="FFFFFF"/>
              </w:rPr>
            </w:pPr>
            <w:r>
              <w:rPr>
                <w:b/>
                <w:bCs/>
                <w:color w:val="FFFFFF"/>
              </w:rPr>
              <w:t>Collections</w:t>
            </w:r>
          </w:p>
        </w:tc>
      </w:tr>
      <w:tr w:rsidR="00654509" w14:paraId="22EA76FB"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6D62634D" w14:textId="33E6CC49" w:rsidR="00654509" w:rsidRPr="00654509" w:rsidRDefault="004A273F" w:rsidP="00654509">
            <w:pPr>
              <w:spacing w:after="0" w:line="240" w:lineRule="auto"/>
              <w:ind w:left="0" w:firstLine="0"/>
              <w:rPr>
                <w:rFonts w:eastAsia="Times New Roman"/>
                <w:b/>
                <w:bCs/>
                <w:color w:val="FFFFFF"/>
              </w:rPr>
            </w:pPr>
            <w:r>
              <w:rPr>
                <w:rFonts w:eastAsia="Times New Roman"/>
                <w:b/>
                <w:bCs/>
                <w:color w:val="FFFFFF"/>
              </w:rPr>
              <w:t>19</w:t>
            </w:r>
            <w:r w:rsidR="00654509" w:rsidRPr="00654509">
              <w:rPr>
                <w:rFonts w:eastAsia="Times New Roman"/>
                <w:b/>
                <w:bCs/>
                <w:color w:val="FFFFFF"/>
              </w:rPr>
              <w:t xml:space="preserve"> - </w:t>
            </w:r>
            <w:r>
              <w:rPr>
                <w:rFonts w:eastAsia="Times New Roman"/>
                <w:b/>
                <w:bCs/>
                <w:color w:val="FFFFFF"/>
              </w:rPr>
              <w:t>Jan</w:t>
            </w:r>
          </w:p>
        </w:tc>
        <w:tc>
          <w:tcPr>
            <w:tcW w:w="4050" w:type="dxa"/>
            <w:tcBorders>
              <w:top w:val="nil"/>
              <w:left w:val="nil"/>
              <w:bottom w:val="single" w:sz="8" w:space="0" w:color="FFFFFF"/>
              <w:right w:val="single" w:sz="8" w:space="0" w:color="FFFFFF"/>
            </w:tcBorders>
            <w:shd w:val="clear" w:color="000000" w:fill="D9E1F3"/>
            <w:vAlign w:val="center"/>
          </w:tcPr>
          <w:p w14:paraId="7288745C" w14:textId="57AB3297" w:rsidR="00654509" w:rsidRDefault="00804876" w:rsidP="00654509">
            <w:pPr>
              <w:jc w:val="center"/>
            </w:pPr>
            <w:r w:rsidRPr="00804876">
              <w:t>$25,337.96</w:t>
            </w:r>
          </w:p>
        </w:tc>
        <w:tc>
          <w:tcPr>
            <w:tcW w:w="3330" w:type="dxa"/>
            <w:tcBorders>
              <w:top w:val="nil"/>
              <w:left w:val="nil"/>
              <w:bottom w:val="single" w:sz="8" w:space="0" w:color="FFFFFF"/>
              <w:right w:val="single" w:sz="8" w:space="0" w:color="FFFFFF"/>
            </w:tcBorders>
            <w:shd w:val="clear" w:color="000000" w:fill="D9E1F3"/>
            <w:vAlign w:val="center"/>
          </w:tcPr>
          <w:p w14:paraId="77E4E322" w14:textId="32D09894" w:rsidR="00654509" w:rsidRDefault="00804876" w:rsidP="00654509">
            <w:pPr>
              <w:jc w:val="center"/>
            </w:pPr>
            <w:r w:rsidRPr="00804876">
              <w:t>$25,337.96</w:t>
            </w:r>
          </w:p>
        </w:tc>
      </w:tr>
      <w:tr w:rsidR="00654509" w14:paraId="0F8E02CE"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17E336C1" w14:textId="3B51B594"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 </w:t>
            </w:r>
            <w:r w:rsidR="004A273F">
              <w:rPr>
                <w:rFonts w:eastAsia="Times New Roman"/>
                <w:b/>
                <w:bCs/>
                <w:color w:val="FFFFFF"/>
              </w:rPr>
              <w:t>Feb</w:t>
            </w:r>
          </w:p>
        </w:tc>
        <w:tc>
          <w:tcPr>
            <w:tcW w:w="4050" w:type="dxa"/>
            <w:tcBorders>
              <w:top w:val="nil"/>
              <w:left w:val="nil"/>
              <w:bottom w:val="single" w:sz="8" w:space="0" w:color="FFFFFF"/>
              <w:right w:val="single" w:sz="8" w:space="0" w:color="FFFFFF"/>
            </w:tcBorders>
            <w:shd w:val="clear" w:color="000000" w:fill="D9E1F3"/>
            <w:vAlign w:val="center"/>
          </w:tcPr>
          <w:p w14:paraId="02B84D1A" w14:textId="1D6D1482" w:rsidR="00654509" w:rsidRDefault="00804876" w:rsidP="00654509">
            <w:pPr>
              <w:jc w:val="center"/>
              <w:outlineLvl w:val="0"/>
            </w:pPr>
            <w:r w:rsidRPr="00804876">
              <w:t>$33,267.81</w:t>
            </w:r>
          </w:p>
        </w:tc>
        <w:tc>
          <w:tcPr>
            <w:tcW w:w="3330" w:type="dxa"/>
            <w:tcBorders>
              <w:top w:val="nil"/>
              <w:left w:val="nil"/>
              <w:bottom w:val="single" w:sz="8" w:space="0" w:color="FFFFFF"/>
              <w:right w:val="single" w:sz="8" w:space="0" w:color="FFFFFF"/>
            </w:tcBorders>
            <w:shd w:val="clear" w:color="000000" w:fill="D9E1F3"/>
            <w:vAlign w:val="center"/>
          </w:tcPr>
          <w:p w14:paraId="7372A0C1" w14:textId="55D18AD3" w:rsidR="00654509" w:rsidRDefault="00804876" w:rsidP="00654509">
            <w:pPr>
              <w:jc w:val="center"/>
              <w:outlineLvl w:val="0"/>
            </w:pPr>
            <w:r w:rsidRPr="00804876">
              <w:t>$33,267.81</w:t>
            </w:r>
          </w:p>
        </w:tc>
      </w:tr>
      <w:tr w:rsidR="00654509" w14:paraId="72E69A7D" w14:textId="77777777" w:rsidTr="004A273F">
        <w:trPr>
          <w:trHeight w:val="315"/>
        </w:trPr>
        <w:tc>
          <w:tcPr>
            <w:tcW w:w="1440" w:type="dxa"/>
            <w:tcBorders>
              <w:top w:val="nil"/>
              <w:left w:val="single" w:sz="8" w:space="0" w:color="FFFFFF"/>
              <w:bottom w:val="single" w:sz="8" w:space="0" w:color="FFFFFF"/>
              <w:right w:val="single" w:sz="8" w:space="0" w:color="FFFFFF"/>
            </w:tcBorders>
            <w:shd w:val="clear" w:color="000000" w:fill="4471C4"/>
            <w:vAlign w:val="center"/>
            <w:hideMark/>
          </w:tcPr>
          <w:p w14:paraId="560E5899" w14:textId="1E1DE636" w:rsidR="00654509" w:rsidRPr="00654509" w:rsidRDefault="00654509" w:rsidP="00654509">
            <w:pPr>
              <w:spacing w:after="0" w:line="240" w:lineRule="auto"/>
              <w:ind w:left="0" w:firstLine="0"/>
              <w:rPr>
                <w:rFonts w:eastAsia="Times New Roman"/>
                <w:b/>
                <w:bCs/>
                <w:color w:val="FFFFFF"/>
              </w:rPr>
            </w:pPr>
            <w:r w:rsidRPr="00654509">
              <w:rPr>
                <w:rFonts w:eastAsia="Times New Roman"/>
                <w:b/>
                <w:bCs/>
                <w:color w:val="FFFFFF"/>
              </w:rPr>
              <w:t>1</w:t>
            </w:r>
            <w:r w:rsidR="004A273F">
              <w:rPr>
                <w:rFonts w:eastAsia="Times New Roman"/>
                <w:b/>
                <w:bCs/>
                <w:color w:val="FFFFFF"/>
              </w:rPr>
              <w:t>9</w:t>
            </w:r>
            <w:r w:rsidRPr="00654509">
              <w:rPr>
                <w:rFonts w:eastAsia="Times New Roman"/>
                <w:b/>
                <w:bCs/>
                <w:color w:val="FFFFFF"/>
              </w:rPr>
              <w:t xml:space="preserve"> </w:t>
            </w:r>
            <w:r w:rsidR="00D72E6E">
              <w:rPr>
                <w:rFonts w:eastAsia="Times New Roman"/>
                <w:b/>
                <w:bCs/>
                <w:color w:val="FFFFFF"/>
              </w:rPr>
              <w:t>–</w:t>
            </w:r>
            <w:r w:rsidRPr="00654509">
              <w:rPr>
                <w:rFonts w:eastAsia="Times New Roman"/>
                <w:b/>
                <w:bCs/>
                <w:color w:val="FFFFFF"/>
              </w:rPr>
              <w:t xml:space="preserve"> </w:t>
            </w:r>
            <w:r w:rsidR="004A273F">
              <w:rPr>
                <w:rFonts w:eastAsia="Times New Roman"/>
                <w:b/>
                <w:bCs/>
                <w:color w:val="FFFFFF"/>
              </w:rPr>
              <w:t>Mar</w:t>
            </w:r>
          </w:p>
        </w:tc>
        <w:tc>
          <w:tcPr>
            <w:tcW w:w="4050" w:type="dxa"/>
            <w:tcBorders>
              <w:top w:val="nil"/>
              <w:left w:val="nil"/>
              <w:bottom w:val="single" w:sz="8" w:space="0" w:color="FFFFFF"/>
              <w:right w:val="single" w:sz="8" w:space="0" w:color="FFFFFF"/>
            </w:tcBorders>
            <w:shd w:val="clear" w:color="000000" w:fill="D9E1F3"/>
            <w:vAlign w:val="center"/>
          </w:tcPr>
          <w:p w14:paraId="7F69D585" w14:textId="0F3D109C" w:rsidR="00654509" w:rsidRDefault="00804876" w:rsidP="00654509">
            <w:pPr>
              <w:jc w:val="center"/>
              <w:outlineLvl w:val="0"/>
            </w:pPr>
            <w:r w:rsidRPr="00804876">
              <w:t>$24,487.15</w:t>
            </w:r>
          </w:p>
        </w:tc>
        <w:tc>
          <w:tcPr>
            <w:tcW w:w="3330" w:type="dxa"/>
            <w:tcBorders>
              <w:top w:val="nil"/>
              <w:left w:val="nil"/>
              <w:bottom w:val="single" w:sz="8" w:space="0" w:color="FFFFFF"/>
              <w:right w:val="single" w:sz="8" w:space="0" w:color="FFFFFF"/>
            </w:tcBorders>
            <w:shd w:val="clear" w:color="000000" w:fill="D9E1F3"/>
            <w:vAlign w:val="center"/>
          </w:tcPr>
          <w:p w14:paraId="1A315DC2" w14:textId="28B319C3" w:rsidR="00654509" w:rsidRDefault="00654509" w:rsidP="00654509">
            <w:pPr>
              <w:jc w:val="center"/>
              <w:outlineLvl w:val="0"/>
            </w:pPr>
          </w:p>
        </w:tc>
      </w:tr>
    </w:tbl>
    <w:p w14:paraId="4F7DE4CB" w14:textId="332C24EE" w:rsidR="0092159E" w:rsidRDefault="00654509" w:rsidP="0092159E">
      <w:pPr>
        <w:rPr>
          <w:color w:val="FFFFFF" w:themeColor="background1"/>
        </w:rPr>
      </w:pPr>
      <w:r>
        <w:rPr>
          <w:color w:val="FFFFFF" w:themeColor="background1"/>
        </w:rPr>
        <w:t>\\\\\\\</w:t>
      </w:r>
    </w:p>
    <w:p w14:paraId="3F9180D9" w14:textId="4C08DC20" w:rsidR="00654509" w:rsidRDefault="00654509" w:rsidP="0092159E">
      <w:pPr>
        <w:rPr>
          <w:color w:val="FFFFFF" w:themeColor="background1"/>
        </w:rPr>
      </w:pPr>
    </w:p>
    <w:p w14:paraId="0AF1828F" w14:textId="77777777" w:rsidR="00654509" w:rsidRPr="00ED2597" w:rsidRDefault="00654509" w:rsidP="0092159E">
      <w:pPr>
        <w:rPr>
          <w:color w:val="FFFFFF" w:themeColor="background1"/>
        </w:rPr>
      </w:pPr>
    </w:p>
    <w:p w14:paraId="6BE1217D" w14:textId="77777777" w:rsidR="003174AD" w:rsidRDefault="003174AD" w:rsidP="003174AD">
      <w:pPr>
        <w:pStyle w:val="Heading1"/>
        <w:ind w:left="219" w:hanging="233"/>
      </w:pPr>
      <w:r>
        <w:t>|Financials</w:t>
      </w:r>
    </w:p>
    <w:p w14:paraId="13296DBD" w14:textId="13E5615F" w:rsidR="00B011DA" w:rsidRDefault="003174AD" w:rsidP="00CD7914">
      <w:r>
        <w:t>Financials are attached below or sent in separate document</w:t>
      </w:r>
      <w:r w:rsidR="00F934E6">
        <w:t>.</w:t>
      </w:r>
    </w:p>
    <w:sectPr w:rsidR="00B011DA" w:rsidSect="00454851">
      <w:headerReference w:type="default" r:id="rId10"/>
      <w:footerReference w:type="even" r:id="rId11"/>
      <w:footerReference w:type="default" r:id="rId12"/>
      <w:footerReference w:type="first" r:id="rId13"/>
      <w:pgSz w:w="12240" w:h="15840"/>
      <w:pgMar w:top="720" w:right="720" w:bottom="720" w:left="720" w:header="720" w:footer="60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620A51" w14:textId="77777777" w:rsidR="00730C49" w:rsidRDefault="00730C49">
      <w:pPr>
        <w:spacing w:after="0" w:line="240" w:lineRule="auto"/>
      </w:pPr>
      <w:r>
        <w:separator/>
      </w:r>
    </w:p>
  </w:endnote>
  <w:endnote w:type="continuationSeparator" w:id="0">
    <w:p w14:paraId="670883FF" w14:textId="77777777" w:rsidR="00730C49" w:rsidRDefault="00730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5F362"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6569401"/>
      <w:docPartObj>
        <w:docPartGallery w:val="Page Numbers (Bottom of Page)"/>
        <w:docPartUnique/>
      </w:docPartObj>
    </w:sdtPr>
    <w:sdtEndPr>
      <w:rPr>
        <w:noProof/>
      </w:rPr>
    </w:sdtEndPr>
    <w:sdtContent>
      <w:p w14:paraId="14682A47" w14:textId="7DE3084C" w:rsidR="00696B0E" w:rsidRDefault="00696B0E">
        <w:pPr>
          <w:pStyle w:val="Footer"/>
          <w:jc w:val="right"/>
        </w:pPr>
        <w:r>
          <w:fldChar w:fldCharType="begin"/>
        </w:r>
        <w:r>
          <w:instrText xml:space="preserve"> PAGE   \* MERGEFORMAT </w:instrText>
        </w:r>
        <w:r>
          <w:fldChar w:fldCharType="separate"/>
        </w:r>
        <w:r w:rsidR="003174AD">
          <w:rPr>
            <w:noProof/>
          </w:rPr>
          <w:t>2</w:t>
        </w:r>
        <w:r>
          <w:rPr>
            <w:noProof/>
          </w:rPr>
          <w:fldChar w:fldCharType="end"/>
        </w:r>
      </w:p>
    </w:sdtContent>
  </w:sdt>
  <w:p w14:paraId="7B2AA840" w14:textId="77777777" w:rsidR="00696B0E" w:rsidRDefault="00696B0E">
    <w:pPr>
      <w:spacing w:after="0" w:line="259" w:lineRule="auto"/>
      <w:ind w:left="0" w:right="4"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C8F55" w14:textId="77777777" w:rsidR="00CE3959" w:rsidRDefault="00C57C89">
    <w:pPr>
      <w:spacing w:after="0" w:line="259" w:lineRule="auto"/>
      <w:ind w:left="0" w:right="4" w:firstLine="0"/>
      <w:jc w:val="center"/>
    </w:pPr>
    <w:r>
      <w:rPr>
        <w:rFonts w:ascii="Courier New" w:eastAsia="Courier New" w:hAnsi="Courier New" w:cs="Courier New"/>
        <w:sz w:val="28"/>
      </w:rPr>
      <w:t xml:space="preserve">CONFIDENTIAL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3990F" w14:textId="77777777" w:rsidR="00730C49" w:rsidRDefault="00730C49">
      <w:pPr>
        <w:spacing w:after="0" w:line="240" w:lineRule="auto"/>
      </w:pPr>
      <w:r>
        <w:separator/>
      </w:r>
    </w:p>
  </w:footnote>
  <w:footnote w:type="continuationSeparator" w:id="0">
    <w:p w14:paraId="26AF29E2" w14:textId="77777777" w:rsidR="00730C49" w:rsidRDefault="00730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47E0" w14:textId="2D4AFB68" w:rsidR="00696B0E" w:rsidRPr="00CB140D" w:rsidRDefault="00C91FCB" w:rsidP="00696B0E">
    <w:pPr>
      <w:pStyle w:val="Header"/>
      <w:jc w:val="right"/>
    </w:pPr>
    <w:r w:rsidRPr="00CB140D">
      <w:t xml:space="preserve">Blue Sky Utility </w:t>
    </w:r>
    <w:r w:rsidR="002E7B0C" w:rsidRPr="00CB140D">
      <w:t>2017 III, LLC</w:t>
    </w:r>
  </w:p>
  <w:p w14:paraId="35270B82" w14:textId="565159C7" w:rsidR="00696B0E" w:rsidRDefault="00696B0E" w:rsidP="00696B0E">
    <w:pPr>
      <w:pStyle w:val="Header"/>
      <w:jc w:val="right"/>
    </w:pPr>
    <w:r w:rsidRPr="00CB140D">
      <w:t>Quarterly Performance Summary – Q</w:t>
    </w:r>
    <w:r w:rsidR="004A273F">
      <w:t>1</w:t>
    </w:r>
    <w:r w:rsidRPr="00CB140D">
      <w:t xml:space="preserve"> 201</w:t>
    </w:r>
    <w:r w:rsidR="004A273F">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D5DDA"/>
    <w:multiLevelType w:val="hybridMultilevel"/>
    <w:tmpl w:val="89C82756"/>
    <w:lvl w:ilvl="0" w:tplc="1968F2D6">
      <w:numFmt w:val="bullet"/>
      <w:lvlText w:val=""/>
      <w:lvlJc w:val="left"/>
      <w:pPr>
        <w:ind w:left="361" w:hanging="360"/>
      </w:pPr>
      <w:rPr>
        <w:rFonts w:ascii="Symbol" w:eastAsia="Calibri" w:hAnsi="Symbol"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 w15:restartNumberingAfterBreak="0">
    <w:nsid w:val="45F34895"/>
    <w:multiLevelType w:val="hybridMultilevel"/>
    <w:tmpl w:val="B882E286"/>
    <w:lvl w:ilvl="0" w:tplc="5DE6CC5E">
      <w:start w:val="18"/>
      <w:numFmt w:val="bullet"/>
      <w:lvlText w:val=""/>
      <w:lvlJc w:val="left"/>
      <w:pPr>
        <w:ind w:left="721" w:hanging="360"/>
      </w:pPr>
      <w:rPr>
        <w:rFonts w:ascii="Symbol" w:eastAsia="Calibri" w:hAnsi="Symbol" w:cs="Calibri"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 w15:restartNumberingAfterBreak="0">
    <w:nsid w:val="4C534CEA"/>
    <w:multiLevelType w:val="hybridMultilevel"/>
    <w:tmpl w:val="363CE26E"/>
    <w:lvl w:ilvl="0" w:tplc="9C7E0D50">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D3836"/>
    <w:multiLevelType w:val="hybridMultilevel"/>
    <w:tmpl w:val="8BB2CC9E"/>
    <w:lvl w:ilvl="0" w:tplc="5B8C647E">
      <w:numFmt w:val="bullet"/>
      <w:lvlText w:val=""/>
      <w:lvlJc w:val="left"/>
      <w:pPr>
        <w:ind w:left="346" w:hanging="360"/>
      </w:pPr>
      <w:rPr>
        <w:rFonts w:ascii="Symbol" w:eastAsia="Calibri" w:hAnsi="Symbol" w:cs="Calibri" w:hint="default"/>
      </w:rPr>
    </w:lvl>
    <w:lvl w:ilvl="1" w:tplc="04090003" w:tentative="1">
      <w:start w:val="1"/>
      <w:numFmt w:val="bullet"/>
      <w:lvlText w:val="o"/>
      <w:lvlJc w:val="left"/>
      <w:pPr>
        <w:ind w:left="1066" w:hanging="360"/>
      </w:pPr>
      <w:rPr>
        <w:rFonts w:ascii="Courier New" w:hAnsi="Courier New" w:cs="Courier New" w:hint="default"/>
      </w:rPr>
    </w:lvl>
    <w:lvl w:ilvl="2" w:tplc="04090005" w:tentative="1">
      <w:start w:val="1"/>
      <w:numFmt w:val="bullet"/>
      <w:lvlText w:val=""/>
      <w:lvlJc w:val="left"/>
      <w:pPr>
        <w:ind w:left="1786" w:hanging="360"/>
      </w:pPr>
      <w:rPr>
        <w:rFonts w:ascii="Wingdings" w:hAnsi="Wingdings" w:hint="default"/>
      </w:rPr>
    </w:lvl>
    <w:lvl w:ilvl="3" w:tplc="04090001" w:tentative="1">
      <w:start w:val="1"/>
      <w:numFmt w:val="bullet"/>
      <w:lvlText w:val=""/>
      <w:lvlJc w:val="left"/>
      <w:pPr>
        <w:ind w:left="2506" w:hanging="360"/>
      </w:pPr>
      <w:rPr>
        <w:rFonts w:ascii="Symbol" w:hAnsi="Symbol" w:hint="default"/>
      </w:rPr>
    </w:lvl>
    <w:lvl w:ilvl="4" w:tplc="04090003" w:tentative="1">
      <w:start w:val="1"/>
      <w:numFmt w:val="bullet"/>
      <w:lvlText w:val="o"/>
      <w:lvlJc w:val="left"/>
      <w:pPr>
        <w:ind w:left="3226" w:hanging="360"/>
      </w:pPr>
      <w:rPr>
        <w:rFonts w:ascii="Courier New" w:hAnsi="Courier New" w:cs="Courier New" w:hint="default"/>
      </w:rPr>
    </w:lvl>
    <w:lvl w:ilvl="5" w:tplc="04090005" w:tentative="1">
      <w:start w:val="1"/>
      <w:numFmt w:val="bullet"/>
      <w:lvlText w:val=""/>
      <w:lvlJc w:val="left"/>
      <w:pPr>
        <w:ind w:left="3946" w:hanging="360"/>
      </w:pPr>
      <w:rPr>
        <w:rFonts w:ascii="Wingdings" w:hAnsi="Wingdings" w:hint="default"/>
      </w:rPr>
    </w:lvl>
    <w:lvl w:ilvl="6" w:tplc="04090001" w:tentative="1">
      <w:start w:val="1"/>
      <w:numFmt w:val="bullet"/>
      <w:lvlText w:val=""/>
      <w:lvlJc w:val="left"/>
      <w:pPr>
        <w:ind w:left="4666" w:hanging="360"/>
      </w:pPr>
      <w:rPr>
        <w:rFonts w:ascii="Symbol" w:hAnsi="Symbol" w:hint="default"/>
      </w:rPr>
    </w:lvl>
    <w:lvl w:ilvl="7" w:tplc="04090003" w:tentative="1">
      <w:start w:val="1"/>
      <w:numFmt w:val="bullet"/>
      <w:lvlText w:val="o"/>
      <w:lvlJc w:val="left"/>
      <w:pPr>
        <w:ind w:left="5386" w:hanging="360"/>
      </w:pPr>
      <w:rPr>
        <w:rFonts w:ascii="Courier New" w:hAnsi="Courier New" w:cs="Courier New" w:hint="default"/>
      </w:rPr>
    </w:lvl>
    <w:lvl w:ilvl="8" w:tplc="04090005" w:tentative="1">
      <w:start w:val="1"/>
      <w:numFmt w:val="bullet"/>
      <w:lvlText w:val=""/>
      <w:lvlJc w:val="left"/>
      <w:pPr>
        <w:ind w:left="6106" w:hanging="360"/>
      </w:pPr>
      <w:rPr>
        <w:rFonts w:ascii="Wingdings" w:hAnsi="Wingdings" w:hint="default"/>
      </w:rPr>
    </w:lvl>
  </w:abstractNum>
  <w:abstractNum w:abstractNumId="4" w15:restartNumberingAfterBreak="0">
    <w:nsid w:val="72E7567E"/>
    <w:multiLevelType w:val="hybridMultilevel"/>
    <w:tmpl w:val="8D8A65A4"/>
    <w:lvl w:ilvl="0" w:tplc="24843FD0">
      <w:start w:val="18"/>
      <w:numFmt w:val="bullet"/>
      <w:lvlText w:val=""/>
      <w:lvlJc w:val="left"/>
      <w:pPr>
        <w:ind w:left="371" w:hanging="360"/>
      </w:pPr>
      <w:rPr>
        <w:rFonts w:ascii="Symbol" w:eastAsia="Calibri" w:hAnsi="Symbol" w:cs="Calibri" w:hint="default"/>
      </w:rPr>
    </w:lvl>
    <w:lvl w:ilvl="1" w:tplc="04090003" w:tentative="1">
      <w:start w:val="1"/>
      <w:numFmt w:val="bullet"/>
      <w:lvlText w:val="o"/>
      <w:lvlJc w:val="left"/>
      <w:pPr>
        <w:ind w:left="1091" w:hanging="360"/>
      </w:pPr>
      <w:rPr>
        <w:rFonts w:ascii="Courier New" w:hAnsi="Courier New" w:cs="Courier New" w:hint="default"/>
      </w:rPr>
    </w:lvl>
    <w:lvl w:ilvl="2" w:tplc="04090005" w:tentative="1">
      <w:start w:val="1"/>
      <w:numFmt w:val="bullet"/>
      <w:lvlText w:val=""/>
      <w:lvlJc w:val="left"/>
      <w:pPr>
        <w:ind w:left="1811" w:hanging="360"/>
      </w:pPr>
      <w:rPr>
        <w:rFonts w:ascii="Wingdings" w:hAnsi="Wingdings" w:hint="default"/>
      </w:rPr>
    </w:lvl>
    <w:lvl w:ilvl="3" w:tplc="04090001" w:tentative="1">
      <w:start w:val="1"/>
      <w:numFmt w:val="bullet"/>
      <w:lvlText w:val=""/>
      <w:lvlJc w:val="left"/>
      <w:pPr>
        <w:ind w:left="2531" w:hanging="360"/>
      </w:pPr>
      <w:rPr>
        <w:rFonts w:ascii="Symbol" w:hAnsi="Symbol" w:hint="default"/>
      </w:rPr>
    </w:lvl>
    <w:lvl w:ilvl="4" w:tplc="04090003" w:tentative="1">
      <w:start w:val="1"/>
      <w:numFmt w:val="bullet"/>
      <w:lvlText w:val="o"/>
      <w:lvlJc w:val="left"/>
      <w:pPr>
        <w:ind w:left="3251" w:hanging="360"/>
      </w:pPr>
      <w:rPr>
        <w:rFonts w:ascii="Courier New" w:hAnsi="Courier New" w:cs="Courier New" w:hint="default"/>
      </w:rPr>
    </w:lvl>
    <w:lvl w:ilvl="5" w:tplc="04090005" w:tentative="1">
      <w:start w:val="1"/>
      <w:numFmt w:val="bullet"/>
      <w:lvlText w:val=""/>
      <w:lvlJc w:val="left"/>
      <w:pPr>
        <w:ind w:left="3971" w:hanging="360"/>
      </w:pPr>
      <w:rPr>
        <w:rFonts w:ascii="Wingdings" w:hAnsi="Wingdings" w:hint="default"/>
      </w:rPr>
    </w:lvl>
    <w:lvl w:ilvl="6" w:tplc="04090001" w:tentative="1">
      <w:start w:val="1"/>
      <w:numFmt w:val="bullet"/>
      <w:lvlText w:val=""/>
      <w:lvlJc w:val="left"/>
      <w:pPr>
        <w:ind w:left="4691" w:hanging="360"/>
      </w:pPr>
      <w:rPr>
        <w:rFonts w:ascii="Symbol" w:hAnsi="Symbol" w:hint="default"/>
      </w:rPr>
    </w:lvl>
    <w:lvl w:ilvl="7" w:tplc="04090003" w:tentative="1">
      <w:start w:val="1"/>
      <w:numFmt w:val="bullet"/>
      <w:lvlText w:val="o"/>
      <w:lvlJc w:val="left"/>
      <w:pPr>
        <w:ind w:left="5411" w:hanging="360"/>
      </w:pPr>
      <w:rPr>
        <w:rFonts w:ascii="Courier New" w:hAnsi="Courier New" w:cs="Courier New" w:hint="default"/>
      </w:rPr>
    </w:lvl>
    <w:lvl w:ilvl="8" w:tplc="04090005" w:tentative="1">
      <w:start w:val="1"/>
      <w:numFmt w:val="bullet"/>
      <w:lvlText w:val=""/>
      <w:lvlJc w:val="left"/>
      <w:pPr>
        <w:ind w:left="6131" w:hanging="360"/>
      </w:pPr>
      <w:rPr>
        <w:rFonts w:ascii="Wingdings" w:hAnsi="Wingdings" w:hint="default"/>
      </w:rPr>
    </w:lvl>
  </w:abstractNum>
  <w:abstractNum w:abstractNumId="5" w15:restartNumberingAfterBreak="0">
    <w:nsid w:val="772771B4"/>
    <w:multiLevelType w:val="hybridMultilevel"/>
    <w:tmpl w:val="D86ADA6C"/>
    <w:lvl w:ilvl="0" w:tplc="D952AD4C">
      <w:start w:val="18"/>
      <w:numFmt w:val="bullet"/>
      <w:lvlText w:val="-"/>
      <w:lvlJc w:val="left"/>
      <w:pPr>
        <w:ind w:left="361" w:hanging="360"/>
      </w:pPr>
      <w:rPr>
        <w:rFonts w:ascii="Calibri" w:eastAsia="Calibri" w:hAnsi="Calibri" w:cs="Calibri"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6" w15:restartNumberingAfterBreak="0">
    <w:nsid w:val="7F25757D"/>
    <w:multiLevelType w:val="hybridMultilevel"/>
    <w:tmpl w:val="2DE4CCD4"/>
    <w:lvl w:ilvl="0" w:tplc="556A4888">
      <w:start w:val="1"/>
      <w:numFmt w:val="decimal"/>
      <w:pStyle w:val="Heading1"/>
      <w:lvlText w:val="%1"/>
      <w:lvlJc w:val="left"/>
      <w:pPr>
        <w:ind w:left="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1" w:tplc="DC543BC8">
      <w:start w:val="1"/>
      <w:numFmt w:val="lowerLetter"/>
      <w:lvlText w:val="%2"/>
      <w:lvlJc w:val="left"/>
      <w:pPr>
        <w:ind w:left="10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2" w:tplc="DE3C210A">
      <w:start w:val="1"/>
      <w:numFmt w:val="lowerRoman"/>
      <w:lvlText w:val="%3"/>
      <w:lvlJc w:val="left"/>
      <w:pPr>
        <w:ind w:left="18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3" w:tplc="CF5A66C6">
      <w:start w:val="1"/>
      <w:numFmt w:val="decimal"/>
      <w:lvlText w:val="%4"/>
      <w:lvlJc w:val="left"/>
      <w:pPr>
        <w:ind w:left="25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4" w:tplc="345ACFE2">
      <w:start w:val="1"/>
      <w:numFmt w:val="lowerLetter"/>
      <w:lvlText w:val="%5"/>
      <w:lvlJc w:val="left"/>
      <w:pPr>
        <w:ind w:left="324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5" w:tplc="CD6A0DF4">
      <w:start w:val="1"/>
      <w:numFmt w:val="lowerRoman"/>
      <w:lvlText w:val="%6"/>
      <w:lvlJc w:val="left"/>
      <w:pPr>
        <w:ind w:left="396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6" w:tplc="C802AAFE">
      <w:start w:val="1"/>
      <w:numFmt w:val="decimal"/>
      <w:lvlText w:val="%7"/>
      <w:lvlJc w:val="left"/>
      <w:pPr>
        <w:ind w:left="468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7" w:tplc="56DA80AA">
      <w:start w:val="1"/>
      <w:numFmt w:val="lowerLetter"/>
      <w:lvlText w:val="%8"/>
      <w:lvlJc w:val="left"/>
      <w:pPr>
        <w:ind w:left="540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lvl w:ilvl="8" w:tplc="938C0490">
      <w:start w:val="1"/>
      <w:numFmt w:val="lowerRoman"/>
      <w:lvlText w:val="%9"/>
      <w:lvlJc w:val="left"/>
      <w:pPr>
        <w:ind w:left="6120"/>
      </w:pPr>
      <w:rPr>
        <w:rFonts w:ascii="Calibri" w:eastAsia="Calibri" w:hAnsi="Calibri" w:cs="Calibri"/>
        <w:b w:val="0"/>
        <w:i w:val="0"/>
        <w:strike w:val="0"/>
        <w:dstrike w:val="0"/>
        <w:color w:val="2E5395"/>
        <w:sz w:val="32"/>
        <w:szCs w:val="32"/>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87"/>
  <w:drawingGridVerticalSpacing w:val="187"/>
  <w:doNotUseMarginsForDrawingGridOrigin/>
  <w:drawingGridHorizontalOrigin w:val="1152"/>
  <w:drawingGridVerticalOrigin w:val="76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959"/>
    <w:rsid w:val="00004598"/>
    <w:rsid w:val="000050A8"/>
    <w:rsid w:val="0000561E"/>
    <w:rsid w:val="0001659C"/>
    <w:rsid w:val="00020F4F"/>
    <w:rsid w:val="00021E28"/>
    <w:rsid w:val="000251F4"/>
    <w:rsid w:val="00026639"/>
    <w:rsid w:val="000650C8"/>
    <w:rsid w:val="000700C9"/>
    <w:rsid w:val="00070E22"/>
    <w:rsid w:val="00090107"/>
    <w:rsid w:val="00090B99"/>
    <w:rsid w:val="000A1FF9"/>
    <w:rsid w:val="000B3A95"/>
    <w:rsid w:val="000B577F"/>
    <w:rsid w:val="000B7E0E"/>
    <w:rsid w:val="000C464B"/>
    <w:rsid w:val="000D2DE6"/>
    <w:rsid w:val="000E5101"/>
    <w:rsid w:val="000E55BB"/>
    <w:rsid w:val="000F1BB6"/>
    <w:rsid w:val="00101B4A"/>
    <w:rsid w:val="0010303B"/>
    <w:rsid w:val="001052CA"/>
    <w:rsid w:val="0011375C"/>
    <w:rsid w:val="00113952"/>
    <w:rsid w:val="00120BEE"/>
    <w:rsid w:val="00127192"/>
    <w:rsid w:val="00140ED3"/>
    <w:rsid w:val="00146D20"/>
    <w:rsid w:val="00152C75"/>
    <w:rsid w:val="00154224"/>
    <w:rsid w:val="0016620D"/>
    <w:rsid w:val="00177E29"/>
    <w:rsid w:val="001829D4"/>
    <w:rsid w:val="00187E2E"/>
    <w:rsid w:val="00195B24"/>
    <w:rsid w:val="00197B4C"/>
    <w:rsid w:val="001A7372"/>
    <w:rsid w:val="001B0B93"/>
    <w:rsid w:val="001B2821"/>
    <w:rsid w:val="001B63B3"/>
    <w:rsid w:val="001B695B"/>
    <w:rsid w:val="001C3931"/>
    <w:rsid w:val="001C5708"/>
    <w:rsid w:val="001E03F4"/>
    <w:rsid w:val="001F348B"/>
    <w:rsid w:val="00203060"/>
    <w:rsid w:val="002124CF"/>
    <w:rsid w:val="00212889"/>
    <w:rsid w:val="0021428F"/>
    <w:rsid w:val="00222A8A"/>
    <w:rsid w:val="00230E0D"/>
    <w:rsid w:val="00235240"/>
    <w:rsid w:val="00237B72"/>
    <w:rsid w:val="002419C8"/>
    <w:rsid w:val="00241EDD"/>
    <w:rsid w:val="00265A37"/>
    <w:rsid w:val="002676EE"/>
    <w:rsid w:val="00271254"/>
    <w:rsid w:val="00283B5B"/>
    <w:rsid w:val="00290925"/>
    <w:rsid w:val="002C40DF"/>
    <w:rsid w:val="002D17C2"/>
    <w:rsid w:val="002D4C70"/>
    <w:rsid w:val="002E0D1D"/>
    <w:rsid w:val="002E7B0C"/>
    <w:rsid w:val="002F171E"/>
    <w:rsid w:val="002F46A1"/>
    <w:rsid w:val="00304948"/>
    <w:rsid w:val="00311AF8"/>
    <w:rsid w:val="00316D40"/>
    <w:rsid w:val="003174AD"/>
    <w:rsid w:val="00324995"/>
    <w:rsid w:val="003279EF"/>
    <w:rsid w:val="003440FD"/>
    <w:rsid w:val="003540D8"/>
    <w:rsid w:val="00362A42"/>
    <w:rsid w:val="003767E8"/>
    <w:rsid w:val="00381BEA"/>
    <w:rsid w:val="00386E98"/>
    <w:rsid w:val="003969BB"/>
    <w:rsid w:val="003A0212"/>
    <w:rsid w:val="003A0C70"/>
    <w:rsid w:val="003A6AFF"/>
    <w:rsid w:val="003C738E"/>
    <w:rsid w:val="003D0948"/>
    <w:rsid w:val="003D5F41"/>
    <w:rsid w:val="003D60FA"/>
    <w:rsid w:val="003E32CD"/>
    <w:rsid w:val="003F0E4B"/>
    <w:rsid w:val="00406457"/>
    <w:rsid w:val="00411520"/>
    <w:rsid w:val="00412F47"/>
    <w:rsid w:val="004378EF"/>
    <w:rsid w:val="00451D3A"/>
    <w:rsid w:val="00454851"/>
    <w:rsid w:val="0045486F"/>
    <w:rsid w:val="00466834"/>
    <w:rsid w:val="00487ADF"/>
    <w:rsid w:val="00493A2D"/>
    <w:rsid w:val="004976DB"/>
    <w:rsid w:val="004A273F"/>
    <w:rsid w:val="004A3057"/>
    <w:rsid w:val="004B34FF"/>
    <w:rsid w:val="004C76CA"/>
    <w:rsid w:val="004E0544"/>
    <w:rsid w:val="004E488A"/>
    <w:rsid w:val="004E65F5"/>
    <w:rsid w:val="004E6A41"/>
    <w:rsid w:val="004E767C"/>
    <w:rsid w:val="004F22A8"/>
    <w:rsid w:val="004F7320"/>
    <w:rsid w:val="00511FB8"/>
    <w:rsid w:val="00524376"/>
    <w:rsid w:val="0055008D"/>
    <w:rsid w:val="0058236B"/>
    <w:rsid w:val="005832B5"/>
    <w:rsid w:val="00596C06"/>
    <w:rsid w:val="0059799B"/>
    <w:rsid w:val="005B0232"/>
    <w:rsid w:val="005B4D0D"/>
    <w:rsid w:val="005B7DF2"/>
    <w:rsid w:val="005C0697"/>
    <w:rsid w:val="005F0FB3"/>
    <w:rsid w:val="006065DA"/>
    <w:rsid w:val="006114BA"/>
    <w:rsid w:val="00611A34"/>
    <w:rsid w:val="006133AC"/>
    <w:rsid w:val="00614376"/>
    <w:rsid w:val="00614E37"/>
    <w:rsid w:val="00616A02"/>
    <w:rsid w:val="00630466"/>
    <w:rsid w:val="006405CE"/>
    <w:rsid w:val="0064186B"/>
    <w:rsid w:val="00645C09"/>
    <w:rsid w:val="00650C2E"/>
    <w:rsid w:val="00653EE5"/>
    <w:rsid w:val="00653FDF"/>
    <w:rsid w:val="00654509"/>
    <w:rsid w:val="00655C51"/>
    <w:rsid w:val="00662059"/>
    <w:rsid w:val="00662453"/>
    <w:rsid w:val="00663320"/>
    <w:rsid w:val="0066439D"/>
    <w:rsid w:val="006845B8"/>
    <w:rsid w:val="00684DE8"/>
    <w:rsid w:val="006914E5"/>
    <w:rsid w:val="006958F8"/>
    <w:rsid w:val="00696B0E"/>
    <w:rsid w:val="006A6240"/>
    <w:rsid w:val="006D375C"/>
    <w:rsid w:val="006D4811"/>
    <w:rsid w:val="006D7E6D"/>
    <w:rsid w:val="006F0D74"/>
    <w:rsid w:val="0072672E"/>
    <w:rsid w:val="00730C49"/>
    <w:rsid w:val="0073138C"/>
    <w:rsid w:val="00733DE2"/>
    <w:rsid w:val="00743620"/>
    <w:rsid w:val="007439F4"/>
    <w:rsid w:val="00752B7C"/>
    <w:rsid w:val="00755725"/>
    <w:rsid w:val="00755BAE"/>
    <w:rsid w:val="00761023"/>
    <w:rsid w:val="00764B66"/>
    <w:rsid w:val="007779FB"/>
    <w:rsid w:val="007A2790"/>
    <w:rsid w:val="007B0E53"/>
    <w:rsid w:val="007D0C8A"/>
    <w:rsid w:val="007E0564"/>
    <w:rsid w:val="007E226C"/>
    <w:rsid w:val="007E55C8"/>
    <w:rsid w:val="00800E98"/>
    <w:rsid w:val="00801BB0"/>
    <w:rsid w:val="00804876"/>
    <w:rsid w:val="0081220C"/>
    <w:rsid w:val="00817BF1"/>
    <w:rsid w:val="008519B6"/>
    <w:rsid w:val="008527E7"/>
    <w:rsid w:val="008742BD"/>
    <w:rsid w:val="00887FB3"/>
    <w:rsid w:val="008930D0"/>
    <w:rsid w:val="008A6BD7"/>
    <w:rsid w:val="008C2762"/>
    <w:rsid w:val="008C439D"/>
    <w:rsid w:val="008D6566"/>
    <w:rsid w:val="008E5473"/>
    <w:rsid w:val="008F0A07"/>
    <w:rsid w:val="008F221C"/>
    <w:rsid w:val="008F2342"/>
    <w:rsid w:val="008F484A"/>
    <w:rsid w:val="009042C1"/>
    <w:rsid w:val="00904FF0"/>
    <w:rsid w:val="00911AC4"/>
    <w:rsid w:val="0092159E"/>
    <w:rsid w:val="00922FA8"/>
    <w:rsid w:val="00926A2D"/>
    <w:rsid w:val="00934D57"/>
    <w:rsid w:val="00941CA2"/>
    <w:rsid w:val="00943841"/>
    <w:rsid w:val="009634C1"/>
    <w:rsid w:val="00965CFC"/>
    <w:rsid w:val="00970E39"/>
    <w:rsid w:val="00971BD4"/>
    <w:rsid w:val="00994585"/>
    <w:rsid w:val="009A03FF"/>
    <w:rsid w:val="009A0626"/>
    <w:rsid w:val="009B0772"/>
    <w:rsid w:val="009B6929"/>
    <w:rsid w:val="009C532C"/>
    <w:rsid w:val="009C53E3"/>
    <w:rsid w:val="009E50E1"/>
    <w:rsid w:val="009E7760"/>
    <w:rsid w:val="009F32C0"/>
    <w:rsid w:val="009F5B42"/>
    <w:rsid w:val="00A15F0D"/>
    <w:rsid w:val="00A2640C"/>
    <w:rsid w:val="00A34D67"/>
    <w:rsid w:val="00A35823"/>
    <w:rsid w:val="00A47C29"/>
    <w:rsid w:val="00A547EF"/>
    <w:rsid w:val="00A54E77"/>
    <w:rsid w:val="00A676D8"/>
    <w:rsid w:val="00A70D1F"/>
    <w:rsid w:val="00A71EA0"/>
    <w:rsid w:val="00A73670"/>
    <w:rsid w:val="00A95929"/>
    <w:rsid w:val="00AA142E"/>
    <w:rsid w:val="00AB6156"/>
    <w:rsid w:val="00AC274B"/>
    <w:rsid w:val="00AC6597"/>
    <w:rsid w:val="00AD0876"/>
    <w:rsid w:val="00AD5B35"/>
    <w:rsid w:val="00AD7C49"/>
    <w:rsid w:val="00AE1ACC"/>
    <w:rsid w:val="00AE7A33"/>
    <w:rsid w:val="00AE7FCE"/>
    <w:rsid w:val="00B0033F"/>
    <w:rsid w:val="00B011DA"/>
    <w:rsid w:val="00B04B55"/>
    <w:rsid w:val="00B04BB5"/>
    <w:rsid w:val="00B14A79"/>
    <w:rsid w:val="00B20697"/>
    <w:rsid w:val="00B252D4"/>
    <w:rsid w:val="00B27752"/>
    <w:rsid w:val="00B4233C"/>
    <w:rsid w:val="00B46B52"/>
    <w:rsid w:val="00B71EB6"/>
    <w:rsid w:val="00B74FC1"/>
    <w:rsid w:val="00B7751E"/>
    <w:rsid w:val="00B81337"/>
    <w:rsid w:val="00B845D9"/>
    <w:rsid w:val="00B858AB"/>
    <w:rsid w:val="00B86A52"/>
    <w:rsid w:val="00B958B0"/>
    <w:rsid w:val="00B95C1C"/>
    <w:rsid w:val="00B95FCF"/>
    <w:rsid w:val="00BA059D"/>
    <w:rsid w:val="00BA66DF"/>
    <w:rsid w:val="00BC112A"/>
    <w:rsid w:val="00BD539C"/>
    <w:rsid w:val="00BD5AD6"/>
    <w:rsid w:val="00BE71E4"/>
    <w:rsid w:val="00BF1CD4"/>
    <w:rsid w:val="00BF3BEA"/>
    <w:rsid w:val="00C01513"/>
    <w:rsid w:val="00C11430"/>
    <w:rsid w:val="00C373B0"/>
    <w:rsid w:val="00C44C6C"/>
    <w:rsid w:val="00C53502"/>
    <w:rsid w:val="00C5369F"/>
    <w:rsid w:val="00C57674"/>
    <w:rsid w:val="00C57C89"/>
    <w:rsid w:val="00C66835"/>
    <w:rsid w:val="00C72075"/>
    <w:rsid w:val="00C72984"/>
    <w:rsid w:val="00C73182"/>
    <w:rsid w:val="00C91FCB"/>
    <w:rsid w:val="00CA7CF4"/>
    <w:rsid w:val="00CB140D"/>
    <w:rsid w:val="00CB3FD9"/>
    <w:rsid w:val="00CC34C2"/>
    <w:rsid w:val="00CD7914"/>
    <w:rsid w:val="00CE3959"/>
    <w:rsid w:val="00CE49F0"/>
    <w:rsid w:val="00CF0DEB"/>
    <w:rsid w:val="00D003FA"/>
    <w:rsid w:val="00D04063"/>
    <w:rsid w:val="00D16821"/>
    <w:rsid w:val="00D170C2"/>
    <w:rsid w:val="00D240AC"/>
    <w:rsid w:val="00D26561"/>
    <w:rsid w:val="00D315BD"/>
    <w:rsid w:val="00D366C9"/>
    <w:rsid w:val="00D4600B"/>
    <w:rsid w:val="00D535AA"/>
    <w:rsid w:val="00D53638"/>
    <w:rsid w:val="00D55457"/>
    <w:rsid w:val="00D6020F"/>
    <w:rsid w:val="00D71638"/>
    <w:rsid w:val="00D72E6E"/>
    <w:rsid w:val="00D75804"/>
    <w:rsid w:val="00D77C5D"/>
    <w:rsid w:val="00D912F7"/>
    <w:rsid w:val="00D918EC"/>
    <w:rsid w:val="00D93768"/>
    <w:rsid w:val="00D93B03"/>
    <w:rsid w:val="00DA7EC2"/>
    <w:rsid w:val="00DB36E9"/>
    <w:rsid w:val="00DC757C"/>
    <w:rsid w:val="00DD6A48"/>
    <w:rsid w:val="00DE3FB7"/>
    <w:rsid w:val="00DE5493"/>
    <w:rsid w:val="00E0027F"/>
    <w:rsid w:val="00E20083"/>
    <w:rsid w:val="00E23F12"/>
    <w:rsid w:val="00E45979"/>
    <w:rsid w:val="00E4761D"/>
    <w:rsid w:val="00E47CA0"/>
    <w:rsid w:val="00E50DED"/>
    <w:rsid w:val="00E53A6B"/>
    <w:rsid w:val="00E61F4B"/>
    <w:rsid w:val="00E663EF"/>
    <w:rsid w:val="00E737FE"/>
    <w:rsid w:val="00E74404"/>
    <w:rsid w:val="00E75834"/>
    <w:rsid w:val="00E8032F"/>
    <w:rsid w:val="00E80C9E"/>
    <w:rsid w:val="00E86E46"/>
    <w:rsid w:val="00E91124"/>
    <w:rsid w:val="00E9254C"/>
    <w:rsid w:val="00E942C7"/>
    <w:rsid w:val="00EB08BB"/>
    <w:rsid w:val="00EC0C8D"/>
    <w:rsid w:val="00EC7F8C"/>
    <w:rsid w:val="00ED2597"/>
    <w:rsid w:val="00F0023B"/>
    <w:rsid w:val="00F0260D"/>
    <w:rsid w:val="00F038FA"/>
    <w:rsid w:val="00F20020"/>
    <w:rsid w:val="00F22FF6"/>
    <w:rsid w:val="00F32323"/>
    <w:rsid w:val="00F36B56"/>
    <w:rsid w:val="00F47E13"/>
    <w:rsid w:val="00F55B1F"/>
    <w:rsid w:val="00F641DE"/>
    <w:rsid w:val="00F934E6"/>
    <w:rsid w:val="00F95771"/>
    <w:rsid w:val="00FC6FA9"/>
    <w:rsid w:val="00FD004C"/>
    <w:rsid w:val="00FD28F0"/>
    <w:rsid w:val="00FD559A"/>
    <w:rsid w:val="00FD5F8C"/>
    <w:rsid w:val="00FD6815"/>
    <w:rsid w:val="00FE2C88"/>
    <w:rsid w:val="00FE56AA"/>
    <w:rsid w:val="38315689"/>
    <w:rsid w:val="3BE7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DD9E"/>
  <w15:docId w15:val="{3FC61DAE-742A-4DCC-B16D-39EE23B77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7" w:lineRule="auto"/>
      <w:ind w:left="11"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1"/>
      </w:numPr>
      <w:spacing w:after="0"/>
      <w:ind w:left="11" w:hanging="10"/>
      <w:outlineLvl w:val="0"/>
    </w:pPr>
    <w:rPr>
      <w:rFonts w:ascii="Calibri" w:eastAsia="Calibri" w:hAnsi="Calibri" w:cs="Calibri"/>
      <w:color w:val="2E539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539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D6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0FA"/>
    <w:rPr>
      <w:rFonts w:ascii="Calibri" w:eastAsia="Calibri" w:hAnsi="Calibri" w:cs="Calibri"/>
      <w:color w:val="000000"/>
    </w:rPr>
  </w:style>
  <w:style w:type="paragraph" w:styleId="Footer">
    <w:name w:val="footer"/>
    <w:basedOn w:val="Normal"/>
    <w:link w:val="FooterChar"/>
    <w:uiPriority w:val="99"/>
    <w:unhideWhenUsed/>
    <w:rsid w:val="00696B0E"/>
    <w:pPr>
      <w:tabs>
        <w:tab w:val="center" w:pos="4680"/>
        <w:tab w:val="right" w:pos="9360"/>
      </w:tabs>
      <w:spacing w:after="0" w:line="240" w:lineRule="auto"/>
      <w:ind w:left="0" w:firstLine="0"/>
      <w:jc w:val="left"/>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96B0E"/>
    <w:rPr>
      <w:rFonts w:cs="Times New Roman"/>
    </w:rPr>
  </w:style>
  <w:style w:type="paragraph" w:styleId="BalloonText">
    <w:name w:val="Balloon Text"/>
    <w:basedOn w:val="Normal"/>
    <w:link w:val="BalloonTextChar"/>
    <w:uiPriority w:val="99"/>
    <w:semiHidden/>
    <w:unhideWhenUsed/>
    <w:rsid w:val="00B011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DA"/>
    <w:rPr>
      <w:rFonts w:ascii="Segoe UI" w:eastAsia="Calibri" w:hAnsi="Segoe UI" w:cs="Segoe UI"/>
      <w:color w:val="000000"/>
      <w:sz w:val="18"/>
      <w:szCs w:val="18"/>
    </w:rPr>
  </w:style>
  <w:style w:type="table" w:styleId="TableGrid0">
    <w:name w:val="Table Grid"/>
    <w:basedOn w:val="TableNormal"/>
    <w:uiPriority w:val="39"/>
    <w:rsid w:val="0092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2159E"/>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726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6954">
      <w:bodyDiv w:val="1"/>
      <w:marLeft w:val="0"/>
      <w:marRight w:val="0"/>
      <w:marTop w:val="0"/>
      <w:marBottom w:val="0"/>
      <w:divBdr>
        <w:top w:val="none" w:sz="0" w:space="0" w:color="auto"/>
        <w:left w:val="none" w:sz="0" w:space="0" w:color="auto"/>
        <w:bottom w:val="none" w:sz="0" w:space="0" w:color="auto"/>
        <w:right w:val="none" w:sz="0" w:space="0" w:color="auto"/>
      </w:divBdr>
    </w:div>
    <w:div w:id="58328000">
      <w:bodyDiv w:val="1"/>
      <w:marLeft w:val="0"/>
      <w:marRight w:val="0"/>
      <w:marTop w:val="0"/>
      <w:marBottom w:val="0"/>
      <w:divBdr>
        <w:top w:val="none" w:sz="0" w:space="0" w:color="auto"/>
        <w:left w:val="none" w:sz="0" w:space="0" w:color="auto"/>
        <w:bottom w:val="none" w:sz="0" w:space="0" w:color="auto"/>
        <w:right w:val="none" w:sz="0" w:space="0" w:color="auto"/>
      </w:divBdr>
    </w:div>
    <w:div w:id="112483367">
      <w:bodyDiv w:val="1"/>
      <w:marLeft w:val="0"/>
      <w:marRight w:val="0"/>
      <w:marTop w:val="0"/>
      <w:marBottom w:val="0"/>
      <w:divBdr>
        <w:top w:val="none" w:sz="0" w:space="0" w:color="auto"/>
        <w:left w:val="none" w:sz="0" w:space="0" w:color="auto"/>
        <w:bottom w:val="none" w:sz="0" w:space="0" w:color="auto"/>
        <w:right w:val="none" w:sz="0" w:space="0" w:color="auto"/>
      </w:divBdr>
    </w:div>
    <w:div w:id="227889317">
      <w:bodyDiv w:val="1"/>
      <w:marLeft w:val="0"/>
      <w:marRight w:val="0"/>
      <w:marTop w:val="0"/>
      <w:marBottom w:val="0"/>
      <w:divBdr>
        <w:top w:val="none" w:sz="0" w:space="0" w:color="auto"/>
        <w:left w:val="none" w:sz="0" w:space="0" w:color="auto"/>
        <w:bottom w:val="none" w:sz="0" w:space="0" w:color="auto"/>
        <w:right w:val="none" w:sz="0" w:space="0" w:color="auto"/>
      </w:divBdr>
    </w:div>
    <w:div w:id="231425999">
      <w:bodyDiv w:val="1"/>
      <w:marLeft w:val="0"/>
      <w:marRight w:val="0"/>
      <w:marTop w:val="0"/>
      <w:marBottom w:val="0"/>
      <w:divBdr>
        <w:top w:val="none" w:sz="0" w:space="0" w:color="auto"/>
        <w:left w:val="none" w:sz="0" w:space="0" w:color="auto"/>
        <w:bottom w:val="none" w:sz="0" w:space="0" w:color="auto"/>
        <w:right w:val="none" w:sz="0" w:space="0" w:color="auto"/>
      </w:divBdr>
    </w:div>
    <w:div w:id="245770888">
      <w:bodyDiv w:val="1"/>
      <w:marLeft w:val="0"/>
      <w:marRight w:val="0"/>
      <w:marTop w:val="0"/>
      <w:marBottom w:val="0"/>
      <w:divBdr>
        <w:top w:val="none" w:sz="0" w:space="0" w:color="auto"/>
        <w:left w:val="none" w:sz="0" w:space="0" w:color="auto"/>
        <w:bottom w:val="none" w:sz="0" w:space="0" w:color="auto"/>
        <w:right w:val="none" w:sz="0" w:space="0" w:color="auto"/>
      </w:divBdr>
    </w:div>
    <w:div w:id="375929826">
      <w:bodyDiv w:val="1"/>
      <w:marLeft w:val="0"/>
      <w:marRight w:val="0"/>
      <w:marTop w:val="0"/>
      <w:marBottom w:val="0"/>
      <w:divBdr>
        <w:top w:val="none" w:sz="0" w:space="0" w:color="auto"/>
        <w:left w:val="none" w:sz="0" w:space="0" w:color="auto"/>
        <w:bottom w:val="none" w:sz="0" w:space="0" w:color="auto"/>
        <w:right w:val="none" w:sz="0" w:space="0" w:color="auto"/>
      </w:divBdr>
    </w:div>
    <w:div w:id="416247768">
      <w:bodyDiv w:val="1"/>
      <w:marLeft w:val="0"/>
      <w:marRight w:val="0"/>
      <w:marTop w:val="0"/>
      <w:marBottom w:val="0"/>
      <w:divBdr>
        <w:top w:val="none" w:sz="0" w:space="0" w:color="auto"/>
        <w:left w:val="none" w:sz="0" w:space="0" w:color="auto"/>
        <w:bottom w:val="none" w:sz="0" w:space="0" w:color="auto"/>
        <w:right w:val="none" w:sz="0" w:space="0" w:color="auto"/>
      </w:divBdr>
    </w:div>
    <w:div w:id="425997373">
      <w:bodyDiv w:val="1"/>
      <w:marLeft w:val="0"/>
      <w:marRight w:val="0"/>
      <w:marTop w:val="0"/>
      <w:marBottom w:val="0"/>
      <w:divBdr>
        <w:top w:val="none" w:sz="0" w:space="0" w:color="auto"/>
        <w:left w:val="none" w:sz="0" w:space="0" w:color="auto"/>
        <w:bottom w:val="none" w:sz="0" w:space="0" w:color="auto"/>
        <w:right w:val="none" w:sz="0" w:space="0" w:color="auto"/>
      </w:divBdr>
    </w:div>
    <w:div w:id="498274950">
      <w:bodyDiv w:val="1"/>
      <w:marLeft w:val="0"/>
      <w:marRight w:val="0"/>
      <w:marTop w:val="0"/>
      <w:marBottom w:val="0"/>
      <w:divBdr>
        <w:top w:val="none" w:sz="0" w:space="0" w:color="auto"/>
        <w:left w:val="none" w:sz="0" w:space="0" w:color="auto"/>
        <w:bottom w:val="none" w:sz="0" w:space="0" w:color="auto"/>
        <w:right w:val="none" w:sz="0" w:space="0" w:color="auto"/>
      </w:divBdr>
    </w:div>
    <w:div w:id="506674912">
      <w:bodyDiv w:val="1"/>
      <w:marLeft w:val="0"/>
      <w:marRight w:val="0"/>
      <w:marTop w:val="0"/>
      <w:marBottom w:val="0"/>
      <w:divBdr>
        <w:top w:val="none" w:sz="0" w:space="0" w:color="auto"/>
        <w:left w:val="none" w:sz="0" w:space="0" w:color="auto"/>
        <w:bottom w:val="none" w:sz="0" w:space="0" w:color="auto"/>
        <w:right w:val="none" w:sz="0" w:space="0" w:color="auto"/>
      </w:divBdr>
    </w:div>
    <w:div w:id="531769616">
      <w:bodyDiv w:val="1"/>
      <w:marLeft w:val="0"/>
      <w:marRight w:val="0"/>
      <w:marTop w:val="0"/>
      <w:marBottom w:val="0"/>
      <w:divBdr>
        <w:top w:val="none" w:sz="0" w:space="0" w:color="auto"/>
        <w:left w:val="none" w:sz="0" w:space="0" w:color="auto"/>
        <w:bottom w:val="none" w:sz="0" w:space="0" w:color="auto"/>
        <w:right w:val="none" w:sz="0" w:space="0" w:color="auto"/>
      </w:divBdr>
    </w:div>
    <w:div w:id="534196750">
      <w:bodyDiv w:val="1"/>
      <w:marLeft w:val="0"/>
      <w:marRight w:val="0"/>
      <w:marTop w:val="0"/>
      <w:marBottom w:val="0"/>
      <w:divBdr>
        <w:top w:val="none" w:sz="0" w:space="0" w:color="auto"/>
        <w:left w:val="none" w:sz="0" w:space="0" w:color="auto"/>
        <w:bottom w:val="none" w:sz="0" w:space="0" w:color="auto"/>
        <w:right w:val="none" w:sz="0" w:space="0" w:color="auto"/>
      </w:divBdr>
    </w:div>
    <w:div w:id="603616430">
      <w:bodyDiv w:val="1"/>
      <w:marLeft w:val="0"/>
      <w:marRight w:val="0"/>
      <w:marTop w:val="0"/>
      <w:marBottom w:val="0"/>
      <w:divBdr>
        <w:top w:val="none" w:sz="0" w:space="0" w:color="auto"/>
        <w:left w:val="none" w:sz="0" w:space="0" w:color="auto"/>
        <w:bottom w:val="none" w:sz="0" w:space="0" w:color="auto"/>
        <w:right w:val="none" w:sz="0" w:space="0" w:color="auto"/>
      </w:divBdr>
    </w:div>
    <w:div w:id="608587060">
      <w:bodyDiv w:val="1"/>
      <w:marLeft w:val="0"/>
      <w:marRight w:val="0"/>
      <w:marTop w:val="0"/>
      <w:marBottom w:val="0"/>
      <w:divBdr>
        <w:top w:val="none" w:sz="0" w:space="0" w:color="auto"/>
        <w:left w:val="none" w:sz="0" w:space="0" w:color="auto"/>
        <w:bottom w:val="none" w:sz="0" w:space="0" w:color="auto"/>
        <w:right w:val="none" w:sz="0" w:space="0" w:color="auto"/>
      </w:divBdr>
    </w:div>
    <w:div w:id="629676272">
      <w:bodyDiv w:val="1"/>
      <w:marLeft w:val="0"/>
      <w:marRight w:val="0"/>
      <w:marTop w:val="0"/>
      <w:marBottom w:val="0"/>
      <w:divBdr>
        <w:top w:val="none" w:sz="0" w:space="0" w:color="auto"/>
        <w:left w:val="none" w:sz="0" w:space="0" w:color="auto"/>
        <w:bottom w:val="none" w:sz="0" w:space="0" w:color="auto"/>
        <w:right w:val="none" w:sz="0" w:space="0" w:color="auto"/>
      </w:divBdr>
    </w:div>
    <w:div w:id="694424096">
      <w:bodyDiv w:val="1"/>
      <w:marLeft w:val="0"/>
      <w:marRight w:val="0"/>
      <w:marTop w:val="0"/>
      <w:marBottom w:val="0"/>
      <w:divBdr>
        <w:top w:val="none" w:sz="0" w:space="0" w:color="auto"/>
        <w:left w:val="none" w:sz="0" w:space="0" w:color="auto"/>
        <w:bottom w:val="none" w:sz="0" w:space="0" w:color="auto"/>
        <w:right w:val="none" w:sz="0" w:space="0" w:color="auto"/>
      </w:divBdr>
    </w:div>
    <w:div w:id="709689806">
      <w:bodyDiv w:val="1"/>
      <w:marLeft w:val="0"/>
      <w:marRight w:val="0"/>
      <w:marTop w:val="0"/>
      <w:marBottom w:val="0"/>
      <w:divBdr>
        <w:top w:val="none" w:sz="0" w:space="0" w:color="auto"/>
        <w:left w:val="none" w:sz="0" w:space="0" w:color="auto"/>
        <w:bottom w:val="none" w:sz="0" w:space="0" w:color="auto"/>
        <w:right w:val="none" w:sz="0" w:space="0" w:color="auto"/>
      </w:divBdr>
    </w:div>
    <w:div w:id="840893625">
      <w:bodyDiv w:val="1"/>
      <w:marLeft w:val="0"/>
      <w:marRight w:val="0"/>
      <w:marTop w:val="0"/>
      <w:marBottom w:val="0"/>
      <w:divBdr>
        <w:top w:val="none" w:sz="0" w:space="0" w:color="auto"/>
        <w:left w:val="none" w:sz="0" w:space="0" w:color="auto"/>
        <w:bottom w:val="none" w:sz="0" w:space="0" w:color="auto"/>
        <w:right w:val="none" w:sz="0" w:space="0" w:color="auto"/>
      </w:divBdr>
    </w:div>
    <w:div w:id="859860196">
      <w:bodyDiv w:val="1"/>
      <w:marLeft w:val="0"/>
      <w:marRight w:val="0"/>
      <w:marTop w:val="0"/>
      <w:marBottom w:val="0"/>
      <w:divBdr>
        <w:top w:val="none" w:sz="0" w:space="0" w:color="auto"/>
        <w:left w:val="none" w:sz="0" w:space="0" w:color="auto"/>
        <w:bottom w:val="none" w:sz="0" w:space="0" w:color="auto"/>
        <w:right w:val="none" w:sz="0" w:space="0" w:color="auto"/>
      </w:divBdr>
    </w:div>
    <w:div w:id="870532888">
      <w:bodyDiv w:val="1"/>
      <w:marLeft w:val="0"/>
      <w:marRight w:val="0"/>
      <w:marTop w:val="0"/>
      <w:marBottom w:val="0"/>
      <w:divBdr>
        <w:top w:val="none" w:sz="0" w:space="0" w:color="auto"/>
        <w:left w:val="none" w:sz="0" w:space="0" w:color="auto"/>
        <w:bottom w:val="none" w:sz="0" w:space="0" w:color="auto"/>
        <w:right w:val="none" w:sz="0" w:space="0" w:color="auto"/>
      </w:divBdr>
    </w:div>
    <w:div w:id="884296022">
      <w:bodyDiv w:val="1"/>
      <w:marLeft w:val="0"/>
      <w:marRight w:val="0"/>
      <w:marTop w:val="0"/>
      <w:marBottom w:val="0"/>
      <w:divBdr>
        <w:top w:val="none" w:sz="0" w:space="0" w:color="auto"/>
        <w:left w:val="none" w:sz="0" w:space="0" w:color="auto"/>
        <w:bottom w:val="none" w:sz="0" w:space="0" w:color="auto"/>
        <w:right w:val="none" w:sz="0" w:space="0" w:color="auto"/>
      </w:divBdr>
    </w:div>
    <w:div w:id="967126399">
      <w:bodyDiv w:val="1"/>
      <w:marLeft w:val="0"/>
      <w:marRight w:val="0"/>
      <w:marTop w:val="0"/>
      <w:marBottom w:val="0"/>
      <w:divBdr>
        <w:top w:val="none" w:sz="0" w:space="0" w:color="auto"/>
        <w:left w:val="none" w:sz="0" w:space="0" w:color="auto"/>
        <w:bottom w:val="none" w:sz="0" w:space="0" w:color="auto"/>
        <w:right w:val="none" w:sz="0" w:space="0" w:color="auto"/>
      </w:divBdr>
    </w:div>
    <w:div w:id="1060177985">
      <w:bodyDiv w:val="1"/>
      <w:marLeft w:val="0"/>
      <w:marRight w:val="0"/>
      <w:marTop w:val="0"/>
      <w:marBottom w:val="0"/>
      <w:divBdr>
        <w:top w:val="none" w:sz="0" w:space="0" w:color="auto"/>
        <w:left w:val="none" w:sz="0" w:space="0" w:color="auto"/>
        <w:bottom w:val="none" w:sz="0" w:space="0" w:color="auto"/>
        <w:right w:val="none" w:sz="0" w:space="0" w:color="auto"/>
      </w:divBdr>
    </w:div>
    <w:div w:id="1062873713">
      <w:bodyDiv w:val="1"/>
      <w:marLeft w:val="0"/>
      <w:marRight w:val="0"/>
      <w:marTop w:val="0"/>
      <w:marBottom w:val="0"/>
      <w:divBdr>
        <w:top w:val="none" w:sz="0" w:space="0" w:color="auto"/>
        <w:left w:val="none" w:sz="0" w:space="0" w:color="auto"/>
        <w:bottom w:val="none" w:sz="0" w:space="0" w:color="auto"/>
        <w:right w:val="none" w:sz="0" w:space="0" w:color="auto"/>
      </w:divBdr>
    </w:div>
    <w:div w:id="1070662401">
      <w:bodyDiv w:val="1"/>
      <w:marLeft w:val="0"/>
      <w:marRight w:val="0"/>
      <w:marTop w:val="0"/>
      <w:marBottom w:val="0"/>
      <w:divBdr>
        <w:top w:val="none" w:sz="0" w:space="0" w:color="auto"/>
        <w:left w:val="none" w:sz="0" w:space="0" w:color="auto"/>
        <w:bottom w:val="none" w:sz="0" w:space="0" w:color="auto"/>
        <w:right w:val="none" w:sz="0" w:space="0" w:color="auto"/>
      </w:divBdr>
    </w:div>
    <w:div w:id="1085152583">
      <w:bodyDiv w:val="1"/>
      <w:marLeft w:val="0"/>
      <w:marRight w:val="0"/>
      <w:marTop w:val="0"/>
      <w:marBottom w:val="0"/>
      <w:divBdr>
        <w:top w:val="none" w:sz="0" w:space="0" w:color="auto"/>
        <w:left w:val="none" w:sz="0" w:space="0" w:color="auto"/>
        <w:bottom w:val="none" w:sz="0" w:space="0" w:color="auto"/>
        <w:right w:val="none" w:sz="0" w:space="0" w:color="auto"/>
      </w:divBdr>
    </w:div>
    <w:div w:id="1105417741">
      <w:bodyDiv w:val="1"/>
      <w:marLeft w:val="0"/>
      <w:marRight w:val="0"/>
      <w:marTop w:val="0"/>
      <w:marBottom w:val="0"/>
      <w:divBdr>
        <w:top w:val="none" w:sz="0" w:space="0" w:color="auto"/>
        <w:left w:val="none" w:sz="0" w:space="0" w:color="auto"/>
        <w:bottom w:val="none" w:sz="0" w:space="0" w:color="auto"/>
        <w:right w:val="none" w:sz="0" w:space="0" w:color="auto"/>
      </w:divBdr>
    </w:div>
    <w:div w:id="1162743790">
      <w:bodyDiv w:val="1"/>
      <w:marLeft w:val="0"/>
      <w:marRight w:val="0"/>
      <w:marTop w:val="0"/>
      <w:marBottom w:val="0"/>
      <w:divBdr>
        <w:top w:val="none" w:sz="0" w:space="0" w:color="auto"/>
        <w:left w:val="none" w:sz="0" w:space="0" w:color="auto"/>
        <w:bottom w:val="none" w:sz="0" w:space="0" w:color="auto"/>
        <w:right w:val="none" w:sz="0" w:space="0" w:color="auto"/>
      </w:divBdr>
    </w:div>
    <w:div w:id="1174345900">
      <w:bodyDiv w:val="1"/>
      <w:marLeft w:val="0"/>
      <w:marRight w:val="0"/>
      <w:marTop w:val="0"/>
      <w:marBottom w:val="0"/>
      <w:divBdr>
        <w:top w:val="none" w:sz="0" w:space="0" w:color="auto"/>
        <w:left w:val="none" w:sz="0" w:space="0" w:color="auto"/>
        <w:bottom w:val="none" w:sz="0" w:space="0" w:color="auto"/>
        <w:right w:val="none" w:sz="0" w:space="0" w:color="auto"/>
      </w:divBdr>
    </w:div>
    <w:div w:id="1199510421">
      <w:bodyDiv w:val="1"/>
      <w:marLeft w:val="0"/>
      <w:marRight w:val="0"/>
      <w:marTop w:val="0"/>
      <w:marBottom w:val="0"/>
      <w:divBdr>
        <w:top w:val="none" w:sz="0" w:space="0" w:color="auto"/>
        <w:left w:val="none" w:sz="0" w:space="0" w:color="auto"/>
        <w:bottom w:val="none" w:sz="0" w:space="0" w:color="auto"/>
        <w:right w:val="none" w:sz="0" w:space="0" w:color="auto"/>
      </w:divBdr>
    </w:div>
    <w:div w:id="1251543117">
      <w:bodyDiv w:val="1"/>
      <w:marLeft w:val="0"/>
      <w:marRight w:val="0"/>
      <w:marTop w:val="0"/>
      <w:marBottom w:val="0"/>
      <w:divBdr>
        <w:top w:val="none" w:sz="0" w:space="0" w:color="auto"/>
        <w:left w:val="none" w:sz="0" w:space="0" w:color="auto"/>
        <w:bottom w:val="none" w:sz="0" w:space="0" w:color="auto"/>
        <w:right w:val="none" w:sz="0" w:space="0" w:color="auto"/>
      </w:divBdr>
    </w:div>
    <w:div w:id="1322926858">
      <w:bodyDiv w:val="1"/>
      <w:marLeft w:val="0"/>
      <w:marRight w:val="0"/>
      <w:marTop w:val="0"/>
      <w:marBottom w:val="0"/>
      <w:divBdr>
        <w:top w:val="none" w:sz="0" w:space="0" w:color="auto"/>
        <w:left w:val="none" w:sz="0" w:space="0" w:color="auto"/>
        <w:bottom w:val="none" w:sz="0" w:space="0" w:color="auto"/>
        <w:right w:val="none" w:sz="0" w:space="0" w:color="auto"/>
      </w:divBdr>
    </w:div>
    <w:div w:id="1356230657">
      <w:bodyDiv w:val="1"/>
      <w:marLeft w:val="0"/>
      <w:marRight w:val="0"/>
      <w:marTop w:val="0"/>
      <w:marBottom w:val="0"/>
      <w:divBdr>
        <w:top w:val="none" w:sz="0" w:space="0" w:color="auto"/>
        <w:left w:val="none" w:sz="0" w:space="0" w:color="auto"/>
        <w:bottom w:val="none" w:sz="0" w:space="0" w:color="auto"/>
        <w:right w:val="none" w:sz="0" w:space="0" w:color="auto"/>
      </w:divBdr>
    </w:div>
    <w:div w:id="1387486686">
      <w:bodyDiv w:val="1"/>
      <w:marLeft w:val="0"/>
      <w:marRight w:val="0"/>
      <w:marTop w:val="0"/>
      <w:marBottom w:val="0"/>
      <w:divBdr>
        <w:top w:val="none" w:sz="0" w:space="0" w:color="auto"/>
        <w:left w:val="none" w:sz="0" w:space="0" w:color="auto"/>
        <w:bottom w:val="none" w:sz="0" w:space="0" w:color="auto"/>
        <w:right w:val="none" w:sz="0" w:space="0" w:color="auto"/>
      </w:divBdr>
    </w:div>
    <w:div w:id="1397824828">
      <w:bodyDiv w:val="1"/>
      <w:marLeft w:val="0"/>
      <w:marRight w:val="0"/>
      <w:marTop w:val="0"/>
      <w:marBottom w:val="0"/>
      <w:divBdr>
        <w:top w:val="none" w:sz="0" w:space="0" w:color="auto"/>
        <w:left w:val="none" w:sz="0" w:space="0" w:color="auto"/>
        <w:bottom w:val="none" w:sz="0" w:space="0" w:color="auto"/>
        <w:right w:val="none" w:sz="0" w:space="0" w:color="auto"/>
      </w:divBdr>
    </w:div>
    <w:div w:id="1406994292">
      <w:bodyDiv w:val="1"/>
      <w:marLeft w:val="0"/>
      <w:marRight w:val="0"/>
      <w:marTop w:val="0"/>
      <w:marBottom w:val="0"/>
      <w:divBdr>
        <w:top w:val="none" w:sz="0" w:space="0" w:color="auto"/>
        <w:left w:val="none" w:sz="0" w:space="0" w:color="auto"/>
        <w:bottom w:val="none" w:sz="0" w:space="0" w:color="auto"/>
        <w:right w:val="none" w:sz="0" w:space="0" w:color="auto"/>
      </w:divBdr>
    </w:div>
    <w:div w:id="1417096770">
      <w:bodyDiv w:val="1"/>
      <w:marLeft w:val="0"/>
      <w:marRight w:val="0"/>
      <w:marTop w:val="0"/>
      <w:marBottom w:val="0"/>
      <w:divBdr>
        <w:top w:val="none" w:sz="0" w:space="0" w:color="auto"/>
        <w:left w:val="none" w:sz="0" w:space="0" w:color="auto"/>
        <w:bottom w:val="none" w:sz="0" w:space="0" w:color="auto"/>
        <w:right w:val="none" w:sz="0" w:space="0" w:color="auto"/>
      </w:divBdr>
    </w:div>
    <w:div w:id="1435008932">
      <w:bodyDiv w:val="1"/>
      <w:marLeft w:val="0"/>
      <w:marRight w:val="0"/>
      <w:marTop w:val="0"/>
      <w:marBottom w:val="0"/>
      <w:divBdr>
        <w:top w:val="none" w:sz="0" w:space="0" w:color="auto"/>
        <w:left w:val="none" w:sz="0" w:space="0" w:color="auto"/>
        <w:bottom w:val="none" w:sz="0" w:space="0" w:color="auto"/>
        <w:right w:val="none" w:sz="0" w:space="0" w:color="auto"/>
      </w:divBdr>
    </w:div>
    <w:div w:id="1560626197">
      <w:bodyDiv w:val="1"/>
      <w:marLeft w:val="0"/>
      <w:marRight w:val="0"/>
      <w:marTop w:val="0"/>
      <w:marBottom w:val="0"/>
      <w:divBdr>
        <w:top w:val="none" w:sz="0" w:space="0" w:color="auto"/>
        <w:left w:val="none" w:sz="0" w:space="0" w:color="auto"/>
        <w:bottom w:val="none" w:sz="0" w:space="0" w:color="auto"/>
        <w:right w:val="none" w:sz="0" w:space="0" w:color="auto"/>
      </w:divBdr>
    </w:div>
    <w:div w:id="1572277007">
      <w:bodyDiv w:val="1"/>
      <w:marLeft w:val="0"/>
      <w:marRight w:val="0"/>
      <w:marTop w:val="0"/>
      <w:marBottom w:val="0"/>
      <w:divBdr>
        <w:top w:val="none" w:sz="0" w:space="0" w:color="auto"/>
        <w:left w:val="none" w:sz="0" w:space="0" w:color="auto"/>
        <w:bottom w:val="none" w:sz="0" w:space="0" w:color="auto"/>
        <w:right w:val="none" w:sz="0" w:space="0" w:color="auto"/>
      </w:divBdr>
    </w:div>
    <w:div w:id="1660116790">
      <w:bodyDiv w:val="1"/>
      <w:marLeft w:val="0"/>
      <w:marRight w:val="0"/>
      <w:marTop w:val="0"/>
      <w:marBottom w:val="0"/>
      <w:divBdr>
        <w:top w:val="none" w:sz="0" w:space="0" w:color="auto"/>
        <w:left w:val="none" w:sz="0" w:space="0" w:color="auto"/>
        <w:bottom w:val="none" w:sz="0" w:space="0" w:color="auto"/>
        <w:right w:val="none" w:sz="0" w:space="0" w:color="auto"/>
      </w:divBdr>
    </w:div>
    <w:div w:id="1664967544">
      <w:bodyDiv w:val="1"/>
      <w:marLeft w:val="0"/>
      <w:marRight w:val="0"/>
      <w:marTop w:val="0"/>
      <w:marBottom w:val="0"/>
      <w:divBdr>
        <w:top w:val="none" w:sz="0" w:space="0" w:color="auto"/>
        <w:left w:val="none" w:sz="0" w:space="0" w:color="auto"/>
        <w:bottom w:val="none" w:sz="0" w:space="0" w:color="auto"/>
        <w:right w:val="none" w:sz="0" w:space="0" w:color="auto"/>
      </w:divBdr>
    </w:div>
    <w:div w:id="1677028963">
      <w:bodyDiv w:val="1"/>
      <w:marLeft w:val="0"/>
      <w:marRight w:val="0"/>
      <w:marTop w:val="0"/>
      <w:marBottom w:val="0"/>
      <w:divBdr>
        <w:top w:val="none" w:sz="0" w:space="0" w:color="auto"/>
        <w:left w:val="none" w:sz="0" w:space="0" w:color="auto"/>
        <w:bottom w:val="none" w:sz="0" w:space="0" w:color="auto"/>
        <w:right w:val="none" w:sz="0" w:space="0" w:color="auto"/>
      </w:divBdr>
    </w:div>
    <w:div w:id="1684279779">
      <w:bodyDiv w:val="1"/>
      <w:marLeft w:val="0"/>
      <w:marRight w:val="0"/>
      <w:marTop w:val="0"/>
      <w:marBottom w:val="0"/>
      <w:divBdr>
        <w:top w:val="none" w:sz="0" w:space="0" w:color="auto"/>
        <w:left w:val="none" w:sz="0" w:space="0" w:color="auto"/>
        <w:bottom w:val="none" w:sz="0" w:space="0" w:color="auto"/>
        <w:right w:val="none" w:sz="0" w:space="0" w:color="auto"/>
      </w:divBdr>
    </w:div>
    <w:div w:id="1706950708">
      <w:bodyDiv w:val="1"/>
      <w:marLeft w:val="0"/>
      <w:marRight w:val="0"/>
      <w:marTop w:val="0"/>
      <w:marBottom w:val="0"/>
      <w:divBdr>
        <w:top w:val="none" w:sz="0" w:space="0" w:color="auto"/>
        <w:left w:val="none" w:sz="0" w:space="0" w:color="auto"/>
        <w:bottom w:val="none" w:sz="0" w:space="0" w:color="auto"/>
        <w:right w:val="none" w:sz="0" w:space="0" w:color="auto"/>
      </w:divBdr>
    </w:div>
    <w:div w:id="1718316827">
      <w:bodyDiv w:val="1"/>
      <w:marLeft w:val="0"/>
      <w:marRight w:val="0"/>
      <w:marTop w:val="0"/>
      <w:marBottom w:val="0"/>
      <w:divBdr>
        <w:top w:val="none" w:sz="0" w:space="0" w:color="auto"/>
        <w:left w:val="none" w:sz="0" w:space="0" w:color="auto"/>
        <w:bottom w:val="none" w:sz="0" w:space="0" w:color="auto"/>
        <w:right w:val="none" w:sz="0" w:space="0" w:color="auto"/>
      </w:divBdr>
    </w:div>
    <w:div w:id="1747992748">
      <w:bodyDiv w:val="1"/>
      <w:marLeft w:val="0"/>
      <w:marRight w:val="0"/>
      <w:marTop w:val="0"/>
      <w:marBottom w:val="0"/>
      <w:divBdr>
        <w:top w:val="none" w:sz="0" w:space="0" w:color="auto"/>
        <w:left w:val="none" w:sz="0" w:space="0" w:color="auto"/>
        <w:bottom w:val="none" w:sz="0" w:space="0" w:color="auto"/>
        <w:right w:val="none" w:sz="0" w:space="0" w:color="auto"/>
      </w:divBdr>
    </w:div>
    <w:div w:id="1807045951">
      <w:bodyDiv w:val="1"/>
      <w:marLeft w:val="0"/>
      <w:marRight w:val="0"/>
      <w:marTop w:val="0"/>
      <w:marBottom w:val="0"/>
      <w:divBdr>
        <w:top w:val="none" w:sz="0" w:space="0" w:color="auto"/>
        <w:left w:val="none" w:sz="0" w:space="0" w:color="auto"/>
        <w:bottom w:val="none" w:sz="0" w:space="0" w:color="auto"/>
        <w:right w:val="none" w:sz="0" w:space="0" w:color="auto"/>
      </w:divBdr>
    </w:div>
    <w:div w:id="1941375006">
      <w:bodyDiv w:val="1"/>
      <w:marLeft w:val="0"/>
      <w:marRight w:val="0"/>
      <w:marTop w:val="0"/>
      <w:marBottom w:val="0"/>
      <w:divBdr>
        <w:top w:val="none" w:sz="0" w:space="0" w:color="auto"/>
        <w:left w:val="none" w:sz="0" w:space="0" w:color="auto"/>
        <w:bottom w:val="none" w:sz="0" w:space="0" w:color="auto"/>
        <w:right w:val="none" w:sz="0" w:space="0" w:color="auto"/>
      </w:divBdr>
    </w:div>
    <w:div w:id="1979803140">
      <w:bodyDiv w:val="1"/>
      <w:marLeft w:val="0"/>
      <w:marRight w:val="0"/>
      <w:marTop w:val="0"/>
      <w:marBottom w:val="0"/>
      <w:divBdr>
        <w:top w:val="none" w:sz="0" w:space="0" w:color="auto"/>
        <w:left w:val="none" w:sz="0" w:space="0" w:color="auto"/>
        <w:bottom w:val="none" w:sz="0" w:space="0" w:color="auto"/>
        <w:right w:val="none" w:sz="0" w:space="0" w:color="auto"/>
      </w:divBdr>
    </w:div>
    <w:div w:id="1987779114">
      <w:bodyDiv w:val="1"/>
      <w:marLeft w:val="0"/>
      <w:marRight w:val="0"/>
      <w:marTop w:val="0"/>
      <w:marBottom w:val="0"/>
      <w:divBdr>
        <w:top w:val="none" w:sz="0" w:space="0" w:color="auto"/>
        <w:left w:val="none" w:sz="0" w:space="0" w:color="auto"/>
        <w:bottom w:val="none" w:sz="0" w:space="0" w:color="auto"/>
        <w:right w:val="none" w:sz="0" w:space="0" w:color="auto"/>
      </w:divBdr>
    </w:div>
    <w:div w:id="2023629023">
      <w:bodyDiv w:val="1"/>
      <w:marLeft w:val="0"/>
      <w:marRight w:val="0"/>
      <w:marTop w:val="0"/>
      <w:marBottom w:val="0"/>
      <w:divBdr>
        <w:top w:val="none" w:sz="0" w:space="0" w:color="auto"/>
        <w:left w:val="none" w:sz="0" w:space="0" w:color="auto"/>
        <w:bottom w:val="none" w:sz="0" w:space="0" w:color="auto"/>
        <w:right w:val="none" w:sz="0" w:space="0" w:color="auto"/>
      </w:divBdr>
    </w:div>
    <w:div w:id="2039578532">
      <w:bodyDiv w:val="1"/>
      <w:marLeft w:val="0"/>
      <w:marRight w:val="0"/>
      <w:marTop w:val="0"/>
      <w:marBottom w:val="0"/>
      <w:divBdr>
        <w:top w:val="none" w:sz="0" w:space="0" w:color="auto"/>
        <w:left w:val="none" w:sz="0" w:space="0" w:color="auto"/>
        <w:bottom w:val="none" w:sz="0" w:space="0" w:color="auto"/>
        <w:right w:val="none" w:sz="0" w:space="0" w:color="auto"/>
      </w:divBdr>
    </w:div>
    <w:div w:id="2061243098">
      <w:bodyDiv w:val="1"/>
      <w:marLeft w:val="0"/>
      <w:marRight w:val="0"/>
      <w:marTop w:val="0"/>
      <w:marBottom w:val="0"/>
      <w:divBdr>
        <w:top w:val="none" w:sz="0" w:space="0" w:color="auto"/>
        <w:left w:val="none" w:sz="0" w:space="0" w:color="auto"/>
        <w:bottom w:val="none" w:sz="0" w:space="0" w:color="auto"/>
        <w:right w:val="none" w:sz="0" w:space="0" w:color="auto"/>
      </w:divBdr>
    </w:div>
    <w:div w:id="2069913462">
      <w:bodyDiv w:val="1"/>
      <w:marLeft w:val="0"/>
      <w:marRight w:val="0"/>
      <w:marTop w:val="0"/>
      <w:marBottom w:val="0"/>
      <w:divBdr>
        <w:top w:val="none" w:sz="0" w:space="0" w:color="auto"/>
        <w:left w:val="none" w:sz="0" w:space="0" w:color="auto"/>
        <w:bottom w:val="none" w:sz="0" w:space="0" w:color="auto"/>
        <w:right w:val="none" w:sz="0" w:space="0" w:color="auto"/>
      </w:divBdr>
    </w:div>
    <w:div w:id="2121100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4D307-A37E-2145-89BA-F50743029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Watt</dc:creator>
  <cp:keywords/>
  <cp:lastModifiedBy>Johann Smit</cp:lastModifiedBy>
  <cp:revision>4</cp:revision>
  <cp:lastPrinted>2018-10-16T18:33:00Z</cp:lastPrinted>
  <dcterms:created xsi:type="dcterms:W3CDTF">2019-05-17T19:57:00Z</dcterms:created>
  <dcterms:modified xsi:type="dcterms:W3CDTF">2019-05-21T17:10:00Z</dcterms:modified>
</cp:coreProperties>
</file>